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20-F/A</w:t>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83" w:lineRule="exact"/>
        <w:rPr>
          <w:sz w:val="24"/>
          <w:szCs w:val="24"/>
          <w:color w:val="auto"/>
        </w:rPr>
      </w:pPr>
    </w:p>
    <w:p>
      <w:pPr>
        <w:ind w:left="1800" w:hanging="333"/>
        <w:spacing w:after="0"/>
        <w:tabs>
          <w:tab w:leader="none" w:pos="18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REGISTRATION STATEMENT PURSUANT TO SECTION 12(b) OR (g)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4100" w:right="1260" w:hanging="2633"/>
        <w:spacing w:after="0" w:line="563" w:lineRule="auto"/>
        <w:tabs>
          <w:tab w:leader="none" w:pos="179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2007</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79" w:lineRule="exact"/>
        <w:rPr>
          <w:sz w:val="24"/>
          <w:szCs w:val="24"/>
          <w:color w:val="auto"/>
        </w:rPr>
      </w:pPr>
    </w:p>
    <w:p>
      <w:pPr>
        <w:ind w:left="5580" w:right="940" w:hanging="4113"/>
        <w:spacing w:after="0" w:line="544" w:lineRule="auto"/>
        <w:tabs>
          <w:tab w:leader="none" w:pos="178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OR</w:t>
      </w:r>
    </w:p>
    <w:p>
      <w:pPr>
        <w:spacing w:after="0" w:line="34" w:lineRule="exact"/>
        <w:rPr>
          <w:rFonts w:ascii="MS PGothic" w:cs="MS PGothic" w:eastAsia="MS PGothic" w:hAnsi="MS PGothic"/>
          <w:sz w:val="18"/>
          <w:szCs w:val="18"/>
          <w:color w:val="auto"/>
        </w:rPr>
      </w:pPr>
    </w:p>
    <w:p>
      <w:pPr>
        <w:ind w:left="1800" w:hanging="333"/>
        <w:spacing w:after="0"/>
        <w:tabs>
          <w:tab w:leader="none" w:pos="18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SHELL COMPANY REPORT PURSUANT TO SECTION 13 OR 15 (d) OF THE SECURITIES EXCHANGE ACT OF 1934</w:t>
      </w:r>
    </w:p>
    <w:p>
      <w:pPr>
        <w:spacing w:after="0" w:line="29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279"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1-14014</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Securities registered or to be registered pursuant to Section 12(b) of the Act.</w:t>
            </w:r>
          </w:p>
        </w:tc>
        <w:tc>
          <w:tcPr>
            <w:tcW w:w="4700" w:type="dxa"/>
            <w:vAlign w:val="bottom"/>
          </w:tcPr>
          <w:p>
            <w:pPr>
              <w:spacing w:after="0"/>
              <w:rPr>
                <w:sz w:val="20"/>
                <w:szCs w:val="20"/>
                <w:color w:val="auto"/>
              </w:rPr>
            </w:pPr>
          </w:p>
        </w:tc>
      </w:tr>
      <w:tr>
        <w:trPr>
          <w:trHeight w:val="493"/>
        </w:trPr>
        <w:tc>
          <w:tcPr>
            <w:tcW w:w="6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6"/>
              </w:rPr>
              <w:t>Title of each class</w:t>
            </w:r>
          </w:p>
        </w:tc>
        <w:tc>
          <w:tcPr>
            <w:tcW w:w="4700" w:type="dxa"/>
            <w:vAlign w:val="bottom"/>
          </w:tcPr>
          <w:p>
            <w:pPr>
              <w:jc w:val="center"/>
              <w:ind w:right="7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700" w:type="dxa"/>
            <w:vAlign w:val="bottom"/>
            <w:tcBorders>
              <w:top w:val="single" w:sz="8" w:color="auto"/>
            </w:tcBorders>
          </w:tcPr>
          <w:p>
            <w:pPr>
              <w:jc w:val="center"/>
              <w:ind w:right="810"/>
              <w:spacing w:after="0"/>
              <w:rPr>
                <w:sz w:val="20"/>
                <w:szCs w:val="20"/>
                <w:color w:val="auto"/>
              </w:rPr>
            </w:pPr>
            <w:r>
              <w:rPr>
                <w:rFonts w:ascii="Arial" w:cs="Arial" w:eastAsia="Arial" w:hAnsi="Arial"/>
                <w:sz w:val="18"/>
                <w:szCs w:val="18"/>
                <w:b w:val="1"/>
                <w:bCs w:val="1"/>
                <w:color w:val="auto"/>
                <w:w w:val="90"/>
              </w:rPr>
              <w:t>New York Stock Exchange</w:t>
            </w:r>
          </w:p>
        </w:tc>
      </w:tr>
      <w:tr>
        <w:trPr>
          <w:trHeight w:val="481"/>
        </w:trPr>
        <w:tc>
          <w:tcPr>
            <w:tcW w:w="672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Securities registered or to be registered pursuant to Section 12(g) of the Act.</w:t>
            </w:r>
          </w:p>
        </w:tc>
        <w:tc>
          <w:tcPr>
            <w:tcW w:w="4700" w:type="dxa"/>
            <w:vAlign w:val="bottom"/>
          </w:tcPr>
          <w:p>
            <w:pPr>
              <w:spacing w:after="0"/>
              <w:rPr>
                <w:sz w:val="24"/>
                <w:szCs w:val="24"/>
                <w:color w:val="auto"/>
              </w:rPr>
            </w:pPr>
          </w:p>
        </w:tc>
      </w:tr>
      <w:tr>
        <w:trPr>
          <w:trHeight w:val="230"/>
        </w:trPr>
        <w:tc>
          <w:tcPr>
            <w:tcW w:w="6720" w:type="dxa"/>
            <w:vAlign w:val="bottom"/>
            <w:gridSpan w:val="3"/>
          </w:tcPr>
          <w:p>
            <w:pPr>
              <w:ind w:left="5520"/>
              <w:spacing w:after="0"/>
              <w:rPr>
                <w:sz w:val="20"/>
                <w:szCs w:val="20"/>
                <w:color w:val="auto"/>
              </w:rPr>
            </w:pPr>
            <w:r>
              <w:rPr>
                <w:rFonts w:ascii="Arial" w:cs="Arial" w:eastAsia="Arial" w:hAnsi="Arial"/>
                <w:sz w:val="18"/>
                <w:szCs w:val="18"/>
                <w:color w:val="auto"/>
              </w:rPr>
              <w:t>None</w:t>
            </w:r>
          </w:p>
        </w:tc>
        <w:tc>
          <w:tcPr>
            <w:tcW w:w="4700" w:type="dxa"/>
            <w:vAlign w:val="bottom"/>
          </w:tcPr>
          <w:p>
            <w:pPr>
              <w:spacing w:after="0"/>
              <w:rPr>
                <w:sz w:val="20"/>
                <w:szCs w:val="20"/>
                <w:color w:val="auto"/>
              </w:rPr>
            </w:pPr>
          </w:p>
        </w:tc>
      </w:tr>
    </w:tbl>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261" w:lineRule="exact"/>
        <w:rPr>
          <w:sz w:val="24"/>
          <w:szCs w:val="24"/>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tbl>
      <w:tblPr>
        <w:tblLayout w:type="fixed"/>
        <w:tblInd w:w="66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Common Shares, par value $5.00 per share</w:t>
            </w:r>
          </w:p>
        </w:tc>
        <w:tc>
          <w:tcPr>
            <w:tcW w:w="1680" w:type="dxa"/>
            <w:vAlign w:val="bottom"/>
          </w:tcPr>
          <w:p>
            <w:pPr>
              <w:jc w:val="right"/>
              <w:spacing w:after="0"/>
              <w:rPr>
                <w:sz w:val="20"/>
                <w:szCs w:val="20"/>
                <w:color w:val="auto"/>
              </w:rPr>
            </w:pPr>
            <w:r>
              <w:rPr>
                <w:rFonts w:ascii="Arial" w:cs="Arial" w:eastAsia="Arial" w:hAnsi="Arial"/>
                <w:sz w:val="18"/>
                <w:szCs w:val="18"/>
                <w:color w:val="auto"/>
              </w:rPr>
              <w:t>94,382,317</w:t>
            </w:r>
          </w:p>
        </w:tc>
      </w:tr>
    </w:tbl>
    <w:p>
      <w:pPr>
        <w:spacing w:after="0" w:line="210"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2" w:lineRule="exact"/>
        <w:rPr>
          <w:sz w:val="24"/>
          <w:szCs w:val="24"/>
          <w:color w:val="auto"/>
        </w:rPr>
      </w:pPr>
    </w:p>
    <w:p>
      <w:pPr>
        <w:ind w:left="4740"/>
        <w:spacing w:after="0" w:line="207" w:lineRule="exact"/>
        <w:tabs>
          <w:tab w:leader="none" w:pos="5440" w:val="left"/>
          <w:tab w:leader="none" w:pos="5920" w:val="left"/>
          <w:tab w:leader="none" w:pos="6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187" w:lineRule="exact"/>
        <w:rPr>
          <w:sz w:val="24"/>
          <w:szCs w:val="24"/>
          <w:color w:val="auto"/>
        </w:rPr>
      </w:pPr>
    </w:p>
    <w:p>
      <w:pPr>
        <w:jc w:val="center"/>
        <w:spacing w:after="0" w:line="207" w:lineRule="exact"/>
        <w:tabs>
          <w:tab w:leader="none" w:pos="440" w:val="left"/>
          <w:tab w:leader="none" w:pos="380" w:val="left"/>
          <w:tab w:leader="none" w:pos="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308" w:lineRule="exact"/>
        <w:rPr>
          <w:sz w:val="24"/>
          <w:szCs w:val="24"/>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ectPr>
          <w:pgSz w:w="11900" w:h="16838" w:orient="portrait"/>
          <w:cols w:equalWidth="0" w:num="1">
            <w:col w:w="11420"/>
          </w:cols>
          <w:pgMar w:left="240" w:top="558"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subject to such filing requirements for the past 90 days.</w:t>
      </w:r>
    </w:p>
    <w:p>
      <w:pPr>
        <w:spacing w:after="0" w:line="251" w:lineRule="exact"/>
        <w:rPr>
          <w:sz w:val="20"/>
          <w:szCs w:val="20"/>
          <w:color w:val="auto"/>
        </w:rPr>
      </w:pPr>
    </w:p>
    <w:p>
      <w:pPr>
        <w:ind w:left="4740"/>
        <w:spacing w:after="0" w:line="207" w:lineRule="exact"/>
        <w:tabs>
          <w:tab w:leader="none" w:pos="5440" w:val="left"/>
          <w:tab w:leader="none" w:pos="5920" w:val="left"/>
          <w:tab w:leader="none" w:pos="6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30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87" w:lineRule="exact"/>
        <w:rPr>
          <w:sz w:val="20"/>
          <w:szCs w:val="20"/>
          <w:color w:val="auto"/>
        </w:rPr>
      </w:pPr>
    </w:p>
    <w:p>
      <w:pPr>
        <w:ind w:left="2720"/>
        <w:spacing w:after="0" w:line="207" w:lineRule="exact"/>
        <w:tabs>
          <w:tab w:leader="none" w:pos="4480" w:val="left"/>
          <w:tab w:leader="none" w:pos="4980" w:val="left"/>
          <w:tab w:leader="none" w:pos="6880" w:val="left"/>
        </w:tabs>
        <w:rPr>
          <w:sz w:val="20"/>
          <w:szCs w:val="20"/>
          <w:color w:val="auto"/>
        </w:rPr>
      </w:pPr>
      <w:r>
        <w:rPr>
          <w:rFonts w:ascii="Arial" w:cs="Arial" w:eastAsia="Arial" w:hAnsi="Arial"/>
          <w:sz w:val="18"/>
          <w:szCs w:val="18"/>
          <w:color w:val="auto"/>
        </w:rPr>
        <w:t>Large accelerated filer</w:t>
        <w:tab/>
        <w:t>x</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251" w:lineRule="exact"/>
        <w:rPr>
          <w:sz w:val="20"/>
          <w:szCs w:val="20"/>
          <w:color w:val="auto"/>
        </w:rPr>
      </w:pPr>
    </w:p>
    <w:p>
      <w:pPr>
        <w:jc w:val="center"/>
        <w:ind w:right="-359"/>
        <w:spacing w:after="0" w:line="207" w:lineRule="exact"/>
        <w:tabs>
          <w:tab w:leader="none" w:pos="3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Item 18 x</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is an annual report, indicate by check mark whether the registrant is a shell company (as defined in Rule 12b-2 of the Exchange Act).</w:t>
      </w:r>
    </w:p>
    <w:p>
      <w:pPr>
        <w:spacing w:after="0" w:line="274" w:lineRule="exact"/>
        <w:rPr>
          <w:sz w:val="20"/>
          <w:szCs w:val="20"/>
          <w:color w:val="auto"/>
        </w:rPr>
      </w:pPr>
    </w:p>
    <w:p>
      <w:pPr>
        <w:jc w:val="center"/>
        <w:ind w:right="-299"/>
        <w:spacing w:after="0" w:line="207" w:lineRule="exact"/>
        <w:tabs>
          <w:tab w:leader="none" w:pos="440" w:val="left"/>
          <w:tab w:leader="none" w:pos="380" w:val="left"/>
          <w:tab w:leader="none" w:pos="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Credicorp Ltd. is filing this amendment to its Form 20-F for the year ended December 31, 2007 to supplement information concerning share ownership in the original Form 20-F filed on June 30, 2008 (the “Original Filing”).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amendment amends and restates the following Items of Credicorp’s Form 20-F:</w:t>
      </w:r>
    </w:p>
    <w:p>
      <w:pPr>
        <w:spacing w:after="0" w:line="279"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6(E) "Share Ownership"</w:t>
      </w:r>
    </w:p>
    <w:p>
      <w:pPr>
        <w:spacing w:after="0" w:line="3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and the Original Filing continue to speak as of June 30, 2008, the date on which the Original Filing was made. Except as described above, this amendment does not, and does not purport to, amend or restate the information in any other Item of the Original Filing, or update the disclosure for or on account of any events that have occurred after the date on which the Original Filing was made.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convenience of the reader, the document has been re-filed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042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93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93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UNRESOLVED STAFF COMMENTS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EXHIBITS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(the “Annual Report”) to “$,” “US$,” “Dollars,” “U.S. Dollars,” are to United States Dollars, and references to “S/.,” “Nuevo Sol” or “Nuevos Soles” are to Peruvian Nuevos Soles and references to “foreign currency” are to U.S. Dollars. Each Nuevo Sol is divided into 100 céntimos (cents).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2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Credicorp operates primarily through its four principal subsidiaries, Banco de Crédito del Perú (together with its consolidated subsidiaries, “BCP”), Atlantic Security Holding Corporation (together with its consolidated subsidiaries, “ASHC”), El Pacífico-Peruano Suiza Compañía de Seguros y Reaseguros (together with its consolidated subsidiaries, “PPS”) and Grupo Crédito S.A (together with its consolidated subsidiaries, “Grupo Crédito”). BCP’s activities include commercial banking, investment banking and retail banking. As of and for the year ended December 31, 2007, BCP, accounted for 69.8% of Credicorp’s total revenues, 82.9% of total assets, 103.0% of net income and 65.4% of net equity. Unless otherwise specified, the individual financial information for BCP, ASHC, PPS and Grupo Crédito included herein has been derived from the audited consolidated financial statements of each such entity. See “Item 3. Key Information—(A) Selected Financial Data” and “Item 4. Information on the Company—(A) History and Development of the Company.”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Credicorp’s performance. Such information was obtained mainly from Credicorp’s consolidated financial statements as of December 31, 2003, 2004, 2005, 2006 and 2007.</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Credicorp’s subsidiaries maintain their operations and balances in Nuevo Soles. As a result, this Annual Report contains certain Nuevo Sol amounts translated into U.S. Dollars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such U.S. Dollar amounts have been translated from Nuevos Soles at an exchange rate of S/.2.996= US$1.00, the December 31, 2007 exchange rate set by the Peruvian Superintendencia de Banca, Seguros y AFP (the Superintendency of Banks, Insurance and Pension Funds, or “SBS”). The average of the bid and offered free market exchange rates published by SBS for June 6, 2008 was S/.2.807 per US$1.00. The translation of amounts expressed in Nuevos Soles as of a specified date by the then prevailing exchange rate may result in presentation of U.S. Dollar amounts that differ from the U.S. Dollar amounts that would have been obtained by translating Nuevos Soles as of another specified date by the prevailing exchange rate on that specified date. See also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CAUTIONARY STATEMENT WITH RESPECT TO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the statements contained in this Annual Report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4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3. Key Information—(D) Risk Factors,” and “Item 5. Operating and Financial Review and Prospects.”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7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consolidated financial data as of, and for the years ended, December 31, 2003, 2004, 2005, 2006 and 2007 are derived from the Credicorp Consolidated Financial Statements audited by Medina, Zaldívar, Paredes &amp; Asociados S.C.R.L, member of Ernst &amp; Young Global, independent registered public accountants.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Credicorp Consolidated Financial Statements as of December 31, 2006 and 2007 and for the years ended December 31, 2005, 2006 and 2007 appears elsewhere in this Annual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5"/>
          </w:tcPr>
          <w:p>
            <w:pPr>
              <w:jc w:val="right"/>
              <w:spacing w:after="0"/>
              <w:rPr>
                <w:sz w:val="20"/>
                <w:szCs w:val="20"/>
                <w:color w:val="auto"/>
              </w:rPr>
            </w:pPr>
            <w:r>
              <w:rPr>
                <w:rFonts w:ascii="Arial" w:cs="Arial" w:eastAsia="Arial" w:hAnsi="Arial"/>
                <w:sz w:val="18"/>
                <w:szCs w:val="18"/>
                <w:b w:val="1"/>
                <w:bCs w:val="1"/>
                <w:color w:val="auto"/>
              </w:rPr>
              <w:t>SELECTED FINANCIAL DATA</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13"/>
        </w:trPr>
        <w:tc>
          <w:tcPr>
            <w:tcW w:w="1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60" w:type="dxa"/>
            <w:vAlign w:val="bottom"/>
            <w:gridSpan w:val="7"/>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17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3"/>
                <w:szCs w:val="23"/>
                <w:color w:val="auto"/>
              </w:rPr>
            </w:pPr>
          </w:p>
        </w:tc>
      </w:tr>
      <w:tr>
        <w:trPr>
          <w:trHeight w:val="237"/>
        </w:trPr>
        <w:tc>
          <w:tcPr>
            <w:tcW w:w="1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80" w:type="dxa"/>
            <w:vAlign w:val="bottom"/>
            <w:gridSpan w:val="14"/>
          </w:tcPr>
          <w:p>
            <w:pPr>
              <w:jc w:val="right"/>
              <w:ind w:right="700"/>
              <w:spacing w:after="0"/>
              <w:rPr>
                <w:sz w:val="20"/>
                <w:szCs w:val="20"/>
                <w:color w:val="auto"/>
              </w:rPr>
            </w:pPr>
            <w:r>
              <w:rPr>
                <w:rFonts w:ascii="Arial" w:cs="Arial" w:eastAsia="Arial" w:hAnsi="Arial"/>
                <w:sz w:val="18"/>
                <w:szCs w:val="18"/>
                <w:i w:val="1"/>
                <w:iCs w:val="1"/>
                <w:color w:val="auto"/>
                <w:w w:val="93"/>
              </w:rPr>
              <w:t>(U.S. Dollars in thousands, except percentages, ratios, and per common share data)</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INCOME STATEMENT DATA:</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tcBorders>
              <w:right w:val="single" w:sz="8" w:color="CCFFCC"/>
            </w:tcBorders>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IFRS: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85"/>
              </w:rPr>
              <w:t>US$</w:t>
            </w:r>
          </w:p>
        </w:tc>
        <w:tc>
          <w:tcPr>
            <w:tcW w:w="1500" w:type="dxa"/>
            <w:vAlign w:val="bottom"/>
            <w:gridSpan w:val="3"/>
            <w:shd w:val="clear" w:color="auto" w:fill="CCFFCC"/>
          </w:tcPr>
          <w:p>
            <w:pPr>
              <w:ind w:left="380"/>
              <w:spacing w:after="0"/>
              <w:rPr>
                <w:sz w:val="20"/>
                <w:szCs w:val="20"/>
                <w:color w:val="auto"/>
              </w:rPr>
            </w:pPr>
            <w:r>
              <w:rPr>
                <w:rFonts w:ascii="Arial" w:cs="Arial" w:eastAsia="Arial" w:hAnsi="Arial"/>
                <w:sz w:val="18"/>
                <w:szCs w:val="18"/>
                <w:color w:val="auto"/>
                <w:w w:val="99"/>
              </w:rPr>
              <w:t>548,285  US$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542,842</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612,432</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782,002</w:t>
            </w: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1,065,974</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(163,580)</w:t>
            </w:r>
          </w:p>
        </w:tc>
        <w:tc>
          <w:tcPr>
            <w:tcW w:w="3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(160,298)</w:t>
            </w: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(173,159)</w:t>
            </w: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(283,478)</w:t>
            </w: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(432,000)</w:t>
            </w:r>
          </w:p>
        </w:tc>
      </w:tr>
      <w:tr>
        <w:trPr>
          <w:trHeight w:val="20"/>
        </w:trPr>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384,705</w:t>
            </w: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382,544</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439,273</w:t>
            </w:r>
          </w:p>
        </w:tc>
        <w:tc>
          <w:tcPr>
            <w:tcW w:w="40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498,524</w:t>
            </w:r>
          </w:p>
        </w:tc>
        <w:tc>
          <w:tcPr>
            <w:tcW w:w="1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633,974</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Provision for loan losses (1)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(66,421)</w:t>
            </w:r>
          </w:p>
        </w:tc>
        <w:tc>
          <w:tcPr>
            <w:tcW w:w="3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(16,131)</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4,243</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r>
      <w:tr>
        <w:trPr>
          <w:trHeight w:val="20"/>
        </w:trPr>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9"/>
              </w:rPr>
              <w:t>Net interest income after provision for loan losses</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318,284</w:t>
            </w: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366,413</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445,629</w:t>
            </w:r>
          </w:p>
        </w:tc>
        <w:tc>
          <w:tcPr>
            <w:tcW w:w="40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502,767</w:t>
            </w:r>
          </w:p>
        </w:tc>
        <w:tc>
          <w:tcPr>
            <w:tcW w:w="1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605,535</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Fees and commissions from banking services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189,472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201,474</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206,163</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243,778</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324,761</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(losses) from sales of securities</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3,235</w:t>
            </w: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10,135</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8,965</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27,281</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41,359</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23,681</w:t>
            </w: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24,165</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29,286</w:t>
            </w:r>
          </w:p>
        </w:tc>
        <w:tc>
          <w:tcPr>
            <w:tcW w:w="4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41,638</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61,778</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125,115</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192,672</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218,955</w:t>
            </w: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251,261</w:t>
            </w: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297,272</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23,227</w:t>
            </w: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8,105</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21,571</w:t>
            </w:r>
          </w:p>
        </w:tc>
        <w:tc>
          <w:tcPr>
            <w:tcW w:w="4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26,197</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90,022</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Claims on insurance activities</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(99,774)</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(154,325)</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(175,500)</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(186,522)</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(238,600)</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(430,373)</w:t>
            </w:r>
          </w:p>
        </w:tc>
        <w:tc>
          <w:tcPr>
            <w:tcW w:w="3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(459,928)</w:t>
            </w: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(477,073)</w:t>
            </w: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(585,058)</w:t>
            </w: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(742,072)</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Merger costs</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(18,587)</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(3,742)</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(5,706)</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r>
      <w:tr>
        <w:trPr>
          <w:trHeight w:val="20"/>
        </w:trPr>
        <w:tc>
          <w:tcPr>
            <w:tcW w:w="1760" w:type="dxa"/>
            <w:vAlign w:val="bottom"/>
            <w:shd w:val="clear" w:color="auto" w:fill="CCFFCC"/>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Income before translation result and income tax</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134,280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184,969</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277,996</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315,636</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440,055</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(3,675)</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2,040</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(9,597)</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15,216</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34,627</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(39,695)</w:t>
            </w:r>
          </w:p>
        </w:tc>
        <w:tc>
          <w:tcPr>
            <w:tcW w:w="3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(45,497)</w:t>
            </w: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(73,546)</w:t>
            </w: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(83,587)</w:t>
            </w: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(102,287)</w:t>
            </w:r>
          </w:p>
        </w:tc>
      </w:tr>
      <w:tr>
        <w:trPr>
          <w:trHeight w:val="20"/>
        </w:trPr>
        <w:tc>
          <w:tcPr>
            <w:tcW w:w="1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90,910</w:t>
            </w: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141,512</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194,853</w:t>
            </w:r>
          </w:p>
        </w:tc>
        <w:tc>
          <w:tcPr>
            <w:tcW w:w="40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247,265</w:t>
            </w:r>
          </w:p>
        </w:tc>
        <w:tc>
          <w:tcPr>
            <w:tcW w:w="1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372,395</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w w:val="93"/>
              </w:rPr>
              <w:t>Net income attributable to Credicorp’s equity holders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80,607</w:t>
            </w: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130,747</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181,885</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230,013</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350,735</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Minority interests</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10,303</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10,765</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12,968</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17,252</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21,660</w:t>
            </w: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Net income per Common Share attributable to</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Credicorp’s equity holders (2)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0.40</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0.80</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r>
      <w:tr>
        <w:trPr>
          <w:trHeight w:val="243"/>
        </w:trPr>
        <w:tc>
          <w:tcPr>
            <w:tcW w:w="1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tcBorders>
              <w:right w:val="single" w:sz="8" w:color="CCFFCC"/>
            </w:tcBorders>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IFRS: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8,321,783</w:t>
            </w: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9,087,560</w:t>
            </w: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11,036,075</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12,881,529</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17,705,898</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Total loans (3)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4,481,496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4,559,018</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4,972,975</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5,877,361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8,183,845</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Reserves for loan losses (1)</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(326,677)</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(271,873)</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(218,636)</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(210,586)</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(229,700)</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5,976,506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6,270,972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7,067,754</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8,799,134</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11,299,671</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attributable to Credicorp's equity holders</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910,730</w:t>
            </w: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1,065,197</w:t>
            </w: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1,190,440</w:t>
            </w: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1,396,822</w:t>
            </w: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1,676,009</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72,841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85,253</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101,515</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136,946</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139,264</w:t>
            </w:r>
          </w:p>
        </w:tc>
      </w:tr>
      <w:tr>
        <w:trPr>
          <w:trHeight w:val="237"/>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Equity</w:t>
            </w:r>
          </w:p>
        </w:tc>
        <w:tc>
          <w:tcPr>
            <w:tcW w:w="180" w:type="dxa"/>
            <w:vAlign w:val="bottom"/>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983,571</w:t>
            </w:r>
          </w:p>
        </w:tc>
        <w:tc>
          <w:tcPr>
            <w:tcW w:w="160" w:type="dxa"/>
            <w:vAlign w:val="bottom"/>
            <w:shd w:val="clear" w:color="auto" w:fill="CCFFCC"/>
          </w:tcPr>
          <w:p>
            <w:pPr>
              <w:spacing w:after="0"/>
              <w:rPr>
                <w:sz w:val="20"/>
                <w:szCs w:val="20"/>
                <w:color w:val="auto"/>
              </w:rPr>
            </w:pPr>
          </w:p>
        </w:tc>
        <w:tc>
          <w:tcPr>
            <w:tcW w:w="380" w:type="dxa"/>
            <w:vAlign w:val="bottom"/>
            <w:tcBorders>
              <w:top w:val="single" w:sz="8" w:color="auto"/>
            </w:tcBorders>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1,150,450</w:t>
            </w:r>
          </w:p>
        </w:tc>
        <w:tc>
          <w:tcPr>
            <w:tcW w:w="16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1,291,955</w:t>
            </w:r>
          </w:p>
        </w:tc>
        <w:tc>
          <w:tcPr>
            <w:tcW w:w="160" w:type="dxa"/>
            <w:vAlign w:val="bottom"/>
            <w:tcBorders>
              <w:right w:val="single" w:sz="8" w:color="CCFFCC"/>
            </w:tcBorders>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1,533,768</w:t>
            </w:r>
          </w:p>
        </w:tc>
        <w:tc>
          <w:tcPr>
            <w:tcW w:w="16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1,815,273</w:t>
            </w:r>
          </w:p>
        </w:tc>
        <w:tc>
          <w:tcPr>
            <w:tcW w:w="160" w:type="dxa"/>
            <w:vAlign w:val="bottom"/>
            <w:shd w:val="clear" w:color="auto" w:fill="CCFFCC"/>
          </w:tcPr>
          <w:p>
            <w:pPr>
              <w:spacing w:after="0"/>
              <w:rPr>
                <w:sz w:val="20"/>
                <w:szCs w:val="20"/>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SELECTED RATIOS: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IFRS:</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tcBorders>
              <w:right w:val="single" w:sz="8" w:color="CCFFCC"/>
            </w:tcBorders>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Net interest margin (4)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3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4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4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4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43"/>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total assets (5)</w:t>
            </w:r>
          </w:p>
        </w:tc>
        <w:tc>
          <w:tcPr>
            <w:tcW w:w="1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0.95</w:t>
            </w:r>
          </w:p>
        </w:tc>
        <w:tc>
          <w:tcPr>
            <w:tcW w:w="3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FFCC"/>
          </w:tcPr>
          <w:p>
            <w:pPr>
              <w:spacing w:after="0"/>
              <w:rPr>
                <w:sz w:val="21"/>
                <w:szCs w:val="21"/>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1.81</w:t>
            </w:r>
          </w:p>
        </w:tc>
        <w:tc>
          <w:tcPr>
            <w:tcW w:w="40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2.29</w:t>
            </w: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w w:val="95"/>
              </w:rPr>
              <w:t>Return on average equity attributable to Credicorp's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equity holders (6)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16.39</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22.67</w:t>
            </w:r>
          </w:p>
        </w:tc>
      </w:tr>
      <w:tr>
        <w:trPr>
          <w:trHeight w:val="202"/>
        </w:trPr>
        <w:tc>
          <w:tcPr>
            <w:tcW w:w="3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88"/>
              </w:rPr>
              <w:t>Operating expenses as a percentage of net interest and</w:t>
            </w:r>
          </w:p>
        </w:tc>
        <w:tc>
          <w:tcPr>
            <w:tcW w:w="1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non-interest income (7)</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50.66</w:t>
            </w: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49.18</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46.25</w:t>
            </w:r>
          </w:p>
        </w:tc>
        <w:tc>
          <w:tcPr>
            <w:tcW w:w="40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50.26</w:t>
            </w:r>
          </w:p>
        </w:tc>
        <w:tc>
          <w:tcPr>
            <w:tcW w:w="1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50.62</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w w:val="88"/>
              </w:rPr>
              <w:t>Operating expenses as a percentage of average assets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4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r>
      <w:tr>
        <w:trPr>
          <w:trHeight w:val="202"/>
        </w:trPr>
        <w:tc>
          <w:tcPr>
            <w:tcW w:w="3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4"/>
              </w:rPr>
              <w:t>Equity attributable to Credicorp’s equity holders as a</w:t>
            </w:r>
          </w:p>
        </w:tc>
        <w:tc>
          <w:tcPr>
            <w:tcW w:w="1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percentage of period end total assets</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11.72</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10.79</w:t>
            </w:r>
          </w:p>
        </w:tc>
        <w:tc>
          <w:tcPr>
            <w:tcW w:w="40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10.84</w:t>
            </w:r>
          </w:p>
        </w:tc>
        <w:tc>
          <w:tcPr>
            <w:tcW w:w="1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9.47</w:t>
            </w: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w w:val="95"/>
              </w:rPr>
              <w:t>Regulatory capital as a percentage of risk-weighted</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assets (8)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14.04</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4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11.98</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12.80</w:t>
            </w:r>
          </w:p>
        </w:tc>
      </w:tr>
      <w:tr>
        <w:trPr>
          <w:trHeight w:val="202"/>
        </w:trPr>
        <w:tc>
          <w:tcPr>
            <w:tcW w:w="3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3"/>
              </w:rPr>
              <w:t>Total past due loan amounts as a percentage of total</w:t>
            </w:r>
          </w:p>
        </w:tc>
        <w:tc>
          <w:tcPr>
            <w:tcW w:w="1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loans (9)</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5.72</w:t>
            </w: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3.49</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0.75</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w w:val="89"/>
              </w:rPr>
              <w:t>Reserves for loan losses as a percentage of total loans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4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4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r>
      <w:tr>
        <w:trPr>
          <w:trHeight w:val="202"/>
        </w:trPr>
        <w:tc>
          <w:tcPr>
            <w:tcW w:w="3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89"/>
              </w:rPr>
              <w:t>Reserves for loan losses as a percentage of total loans</w:t>
            </w:r>
          </w:p>
        </w:tc>
        <w:tc>
          <w:tcPr>
            <w:tcW w:w="1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and other contingent credits (10)</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5.38</w:t>
            </w: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4.99</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w:t>
            </w:r>
          </w:p>
        </w:tc>
        <w:tc>
          <w:tcPr>
            <w:tcW w:w="4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2.17</w:t>
            </w: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w w:val="91"/>
              </w:rPr>
              <w:t>Reserves for loan losses as a percentage of total past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due loans (11)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127.50</w:t>
            </w: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170.93</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206.22</w:t>
            </w:r>
          </w:p>
        </w:tc>
        <w:tc>
          <w:tcPr>
            <w:tcW w:w="4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247.85</w:t>
            </w:r>
          </w:p>
        </w:tc>
        <w:tc>
          <w:tcPr>
            <w:tcW w:w="4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343.68</w:t>
            </w:r>
          </w:p>
        </w:tc>
      </w:tr>
      <w:tr>
        <w:trPr>
          <w:trHeight w:val="202"/>
        </w:trPr>
        <w:tc>
          <w:tcPr>
            <w:tcW w:w="39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Reserves for loan losses as a percentage of</w:t>
            </w:r>
          </w:p>
        </w:tc>
        <w:tc>
          <w:tcPr>
            <w:tcW w:w="1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substandard loans (12)</w:t>
            </w: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50.26</w:t>
            </w: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54.11</w:t>
            </w:r>
          </w:p>
        </w:tc>
        <w:tc>
          <w:tcPr>
            <w:tcW w:w="400" w:type="dxa"/>
            <w:vAlign w:val="bottom"/>
            <w:shd w:val="clear" w:color="auto" w:fill="CCFFCC"/>
          </w:tcPr>
          <w:p>
            <w:pPr>
              <w:spacing w:after="0"/>
              <w:rPr>
                <w:sz w:val="20"/>
                <w:szCs w:val="20"/>
                <w:color w:val="auto"/>
              </w:rPr>
            </w:pP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65.42</w:t>
            </w:r>
          </w:p>
        </w:tc>
        <w:tc>
          <w:tcPr>
            <w:tcW w:w="40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78.24</w:t>
            </w:r>
          </w:p>
        </w:tc>
        <w:tc>
          <w:tcPr>
            <w:tcW w:w="1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101.98</w:t>
            </w:r>
          </w:p>
        </w:tc>
      </w:tr>
      <w:tr>
        <w:trPr>
          <w:trHeight w:val="378"/>
        </w:trPr>
        <w:tc>
          <w:tcPr>
            <w:tcW w:w="1760" w:type="dxa"/>
            <w:vAlign w:val="bottom"/>
            <w:tcBorders>
              <w:bottom w:val="single" w:sz="8" w:color="808080"/>
            </w:tcBorders>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310" w:lineRule="exact"/>
        <w:rPr>
          <w:sz w:val="20"/>
          <w:szCs w:val="20"/>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 off recoveries.</w:t>
      </w:r>
    </w:p>
    <w:p>
      <w:pPr>
        <w:sectPr>
          <w:pgSz w:w="11900" w:h="16838" w:orient="portrait"/>
          <w:cols w:equalWidth="0" w:num="1">
            <w:col w:w="11420"/>
          </w:cols>
          <w:pgMar w:left="240" w:top="364" w:right="239" w:bottom="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8" w:name="page9"/>
    <w:bookmarkEnd w:id="8"/>
    <w:p>
      <w:pPr>
        <w:jc w:val="both"/>
        <w:ind w:left="660" w:hanging="652"/>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Credicorp has 100 million authorized common shares (“Common Shares”). As of December 31, 2007, Credicorp had issued 94.4 million Common Shares, of which 14.6 million are held by ASHC. Per Common Share data presented considers net outstanding shares (Common Shares net of shares held by BCP, ASHC and PPS) of 79.7 million in 2002 to 2007. See Notes 18 and 27 to the Credicorp Consolidated Financial Statements.</w:t>
      </w:r>
    </w:p>
    <w:p>
      <w:pPr>
        <w:spacing w:after="0" w:line="200"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unearned interest, but prior to reserve for loan losses. In addition to loans outstanding, Credicorp had contingent loans of US$782.9 million, US$889.1 million, US$1,220.9 million, US$1,455.4 million and US$1,564.5 million, as of December 31, 2003, 2004, 2005, 2006 and 2007, respectively. See Note 21 to the Credicorp Consolidated Financial Statements.</w:t>
      </w:r>
    </w:p>
    <w:p>
      <w:pPr>
        <w:spacing w:after="0" w:line="23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7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Credicorp´s equity holders, computed as the average of period-beginning and period-ending balances. Calculated on a monthly basis.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22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capital calculated in accordance with guidelines by the Basel Committee on Banking Regulations and Supervisory Practices of International Settlements (the “BIS I Accord”) as adopted by the SBS. See “Item 5. Operating and Financial Review and Prospects—(B) Liquidity and Capital Resources—Regulatory Capital and Capital Adequacy Ratios.”</w:t>
      </w:r>
    </w:p>
    <w:p>
      <w:pPr>
        <w:spacing w:after="0" w:line="23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For IFRS 7 disclosure requirements on past due loans, see Note 31.1 to the Credicorp Consolidated Financial Statements. See “Item 4. Information on the Company—(B) Business Overview—(12) Selected Statistical Information—(iii) Loan Portfolio—Classification of the Loan Portfolio Based on the Borrower’s Payment Performance.”</w:t>
      </w:r>
    </w:p>
    <w:p>
      <w:pPr>
        <w:spacing w:after="0" w:line="24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contingent credits primarily consist of guarantees, stand-by letters and letters of credit. See Note 21 to the Credicorp Consolidated Financial Statements.</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 due loans, with no reduction for collateral securing such loans. Reserves for loan and contingent credit losses includes reserves with respect to total loans and other credits.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loans classified in categories C, D or E. See “Item 4. Information on the Company —(B) Business Overview—(12) Selected Statistical Information—(iii) Loan Portfolio—Classification of Loan Portfolio.”</w:t>
      </w:r>
    </w:p>
    <w:p>
      <w:pPr>
        <w:spacing w:after="0" w:line="19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Exchange Rates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Low(1)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Average(2)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Period-end(3)</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280"/>
              <w:spacing w:after="0"/>
              <w:rPr>
                <w:sz w:val="20"/>
                <w:szCs w:val="20"/>
                <w:color w:val="auto"/>
              </w:rPr>
            </w:pPr>
            <w:r>
              <w:rPr>
                <w:rFonts w:ascii="Arial" w:cs="Arial" w:eastAsia="Arial" w:hAnsi="Arial"/>
                <w:sz w:val="18"/>
                <w:szCs w:val="18"/>
                <w:i w:val="1"/>
                <w:iCs w:val="1"/>
                <w:color w:val="auto"/>
                <w:w w:val="91"/>
              </w:rPr>
              <w:t>(Nominal Nuevos Soles per U.S. Dollar)</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3.496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3.477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2004</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3.500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3.283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3.440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3.249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3.295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2006</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3.455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3.195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3.197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2.998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32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0"/>
              </w:rPr>
              <w:t>High(1)</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Low(1)</w:t>
            </w:r>
          </w:p>
        </w:tc>
        <w:tc>
          <w:tcPr>
            <w:tcW w:w="100" w:type="dxa"/>
            <w:vAlign w:val="bottom"/>
          </w:tcPr>
          <w:p>
            <w:pPr>
              <w:spacing w:after="0"/>
              <w:rPr>
                <w:sz w:val="20"/>
                <w:szCs w:val="20"/>
                <w:color w:val="auto"/>
              </w:rPr>
            </w:pPr>
          </w:p>
        </w:tc>
      </w:tr>
      <w:tr>
        <w:trPr>
          <w:trHeight w:val="237"/>
        </w:trPr>
        <w:tc>
          <w:tcPr>
            <w:tcW w:w="5020" w:type="dxa"/>
            <w:vAlign w:val="bottom"/>
          </w:tcPr>
          <w:p>
            <w:pPr>
              <w:spacing w:after="0"/>
              <w:rPr>
                <w:sz w:val="20"/>
                <w:szCs w:val="20"/>
                <w:color w:val="auto"/>
              </w:rPr>
            </w:pPr>
          </w:p>
        </w:tc>
        <w:tc>
          <w:tcPr>
            <w:tcW w:w="3520" w:type="dxa"/>
            <w:vAlign w:val="bottom"/>
            <w:gridSpan w:val="5"/>
          </w:tcPr>
          <w:p>
            <w:pPr>
              <w:jc w:val="right"/>
              <w:ind w:right="360"/>
              <w:spacing w:after="0"/>
              <w:rPr>
                <w:sz w:val="20"/>
                <w:szCs w:val="20"/>
                <w:color w:val="auto"/>
              </w:rPr>
            </w:pPr>
            <w:r>
              <w:rPr>
                <w:rFonts w:ascii="Arial" w:cs="Arial" w:eastAsia="Arial" w:hAnsi="Arial"/>
                <w:sz w:val="18"/>
                <w:szCs w:val="18"/>
                <w:i w:val="1"/>
                <w:iCs w:val="1"/>
                <w:color w:val="auto"/>
                <w:w w:val="99"/>
              </w:rPr>
              <w:t>(Nominal Nuevos Soles per U.S. Dollar)</w:t>
            </w:r>
          </w:p>
        </w:tc>
      </w:tr>
      <w:tr>
        <w:trPr>
          <w:trHeight w:val="243"/>
        </w:trPr>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2007</w:t>
            </w:r>
          </w:p>
        </w:tc>
        <w:tc>
          <w:tcPr>
            <w:tcW w:w="116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180" w:type="dxa"/>
            <w:vAlign w:val="bottom"/>
            <w:gridSpan w:val="2"/>
          </w:tcPr>
          <w:p>
            <w:pPr>
              <w:ind w:left="160"/>
              <w:spacing w:after="0"/>
              <w:rPr>
                <w:sz w:val="20"/>
                <w:szCs w:val="20"/>
                <w:color w:val="auto"/>
              </w:rPr>
            </w:pPr>
            <w:r>
              <w:rPr>
                <w:rFonts w:ascii="Arial" w:cs="Arial" w:eastAsia="Arial" w:hAnsi="Arial"/>
                <w:sz w:val="18"/>
                <w:szCs w:val="18"/>
                <w:color w:val="auto"/>
              </w:rPr>
              <w:t>December</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2.998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2.969</w:t>
            </w:r>
          </w:p>
        </w:tc>
      </w:tr>
      <w:tr>
        <w:trPr>
          <w:trHeight w:val="243"/>
        </w:trPr>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2008</w:t>
            </w:r>
          </w:p>
        </w:tc>
        <w:tc>
          <w:tcPr>
            <w:tcW w:w="116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180" w:type="dxa"/>
            <w:vAlign w:val="bottom"/>
            <w:gridSpan w:val="2"/>
          </w:tcPr>
          <w:p>
            <w:pPr>
              <w:ind w:left="160"/>
              <w:spacing w:after="0"/>
              <w:rPr>
                <w:sz w:val="20"/>
                <w:szCs w:val="20"/>
                <w:color w:val="auto"/>
              </w:rPr>
            </w:pPr>
            <w:r>
              <w:rPr>
                <w:rFonts w:ascii="Arial" w:cs="Arial" w:eastAsia="Arial" w:hAnsi="Arial"/>
                <w:sz w:val="18"/>
                <w:szCs w:val="18"/>
                <w:color w:val="auto"/>
              </w:rPr>
              <w:t>January</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2.978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r>
      <w:tr>
        <w:trPr>
          <w:trHeight w:val="243"/>
        </w:trPr>
        <w:tc>
          <w:tcPr>
            <w:tcW w:w="61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6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88"/>
              </w:rPr>
              <w:t>2.940</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2.889</w:t>
            </w:r>
          </w:p>
        </w:tc>
      </w:tr>
      <w:tr>
        <w:trPr>
          <w:trHeight w:val="243"/>
        </w:trPr>
        <w:tc>
          <w:tcPr>
            <w:tcW w:w="6180" w:type="dxa"/>
            <w:vAlign w:val="bottom"/>
            <w:gridSpan w:val="2"/>
          </w:tcPr>
          <w:p>
            <w:pPr>
              <w:ind w:left="160"/>
              <w:spacing w:after="0"/>
              <w:rPr>
                <w:sz w:val="20"/>
                <w:szCs w:val="20"/>
                <w:color w:val="auto"/>
              </w:rPr>
            </w:pPr>
            <w:r>
              <w:rPr>
                <w:rFonts w:ascii="Arial" w:cs="Arial" w:eastAsia="Arial" w:hAnsi="Arial"/>
                <w:sz w:val="18"/>
                <w:szCs w:val="18"/>
                <w:color w:val="auto"/>
              </w:rPr>
              <w:t>March</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2.884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2.746</w:t>
            </w:r>
          </w:p>
        </w:tc>
      </w:tr>
      <w:tr>
        <w:trPr>
          <w:trHeight w:val="243"/>
        </w:trPr>
        <w:tc>
          <w:tcPr>
            <w:tcW w:w="61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6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88"/>
              </w:rPr>
              <w:t>2.861</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2.694</w:t>
            </w:r>
          </w:p>
        </w:tc>
      </w:tr>
      <w:tr>
        <w:trPr>
          <w:trHeight w:val="243"/>
        </w:trPr>
        <w:tc>
          <w:tcPr>
            <w:tcW w:w="6180" w:type="dxa"/>
            <w:vAlign w:val="bottom"/>
            <w:gridSpan w:val="2"/>
          </w:tcPr>
          <w:p>
            <w:pPr>
              <w:ind w:left="160"/>
              <w:spacing w:after="0"/>
              <w:rPr>
                <w:sz w:val="20"/>
                <w:szCs w:val="20"/>
                <w:color w:val="auto"/>
              </w:rPr>
            </w:pPr>
            <w:r>
              <w:rPr>
                <w:rFonts w:ascii="Arial" w:cs="Arial" w:eastAsia="Arial" w:hAnsi="Arial"/>
                <w:sz w:val="18"/>
                <w:szCs w:val="18"/>
                <w:color w:val="auto"/>
              </w:rPr>
              <w:t>May</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2.868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r>
      <w:tr>
        <w:trPr>
          <w:trHeight w:val="243"/>
        </w:trPr>
        <w:tc>
          <w:tcPr>
            <w:tcW w:w="61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June (through June 26)</w:t>
            </w:r>
          </w:p>
        </w:tc>
        <w:tc>
          <w:tcPr>
            <w:tcW w:w="6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88"/>
              </w:rPr>
              <w:t>2.963</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046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Bloomberg</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Highest and lowest of the daily closing exchange rates for each month based on the offered rate.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average of the bid and offered free market exchange rates published by the SBS for June 26, 2008 was S/.2.965 per US$1.00.</w:t>
      </w:r>
    </w:p>
    <w:p>
      <w:pPr>
        <w:spacing w:after="0" w:line="275" w:lineRule="exact"/>
        <w:rPr>
          <w:sz w:val="20"/>
          <w:szCs w:val="20"/>
          <w:color w:val="auto"/>
        </w:rPr>
      </w:pPr>
    </w:p>
    <w:p>
      <w:pPr>
        <w:ind w:left="660" w:right="8280" w:hanging="652"/>
        <w:spacing w:after="0" w:line="563"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7520" w:hanging="652"/>
        <w:spacing w:after="0" w:line="563"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Group’s geographic location exposes it to risk related to the Peruvian political and economic conditions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Substantially all of BCP’s and PPS’s operations and customers are located in Peru. In addition, although ASHC is based outside of Peru, substantially all of its customers are located in Peru. Accordingly, the results of operations and the financial condition of Credicorp will be dependent on the level of economic activity in Peru.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Peru, including government-induced effects on inflation, devaluation and economic growth.</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several decades, Peru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restricted the ability of companies to dismiss employees; expropriated private sector assets; and prohibited the remittance of profits to foreign investors.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color w:val="auto"/>
        </w:rPr>
        <w:t>In July 1990, Alberto Fujimori was elected President, and his administration implemented a broad-based reform of Peru’s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Mr. Paniagua took office in November 2000 and in July 2001 handed over the presidency to Alejandro Toledo, the winner of the elections decided in the second round held on June 3, 2001, ending two years of political turmoil. President Toledo retained, for the most part, the economic policies of the previous government, focusing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at times faced public unrest spurred by the high rates of unemployment, underemployment and poverty.</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President Toledo transferred the presidency to Alan García Pérez on July 28, 2006 following Mr. Garcia’s victory in the run-off of the presidential elections held on June 4, 2006.</w:t>
      </w:r>
    </w:p>
    <w:p>
      <w:pPr>
        <w:spacing w:after="0" w:line="2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President García had previously served as president of Peru from 1985 to 1990, a period which was marked by a severe economic crisis. President García is following conservative economic policies and has indicated a desire to avoid the mistakes of his past government. García named banker Luis Carranza as Minister of Economy and Finance. Carranza has held a senior position at Banco Bilbao Vizcaya Argentaria (“BBVA”) in Spain and was a key adviser to Pedro Pablo Kuczynski, the Prime Minister (and former Minister of Economy and Finance) of former president Alejandro Toledo. García has indicated that his administration would generally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Credicorp’s financial condition and results of operations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though the functional currency of Credicorp’s financial statements is the U.S. Dollar, and its dividends are paid in U.S. Dollars, BCP and PPS, for local statutory purposes, prepare their financial statements and pay dividends in Nuevos Soles. As declared in the Peruvian Constitution, the Peruvian government currently imposes no restrictions on a company’s ability to transfer U.S. Dollars from Peru to other countries, to convert Peruvian currency into U.S. Dollars or to remit dividends abroad. Peru has had restrictive exchange controls in the past and there can be no assurance that the Peruvian government will continue to permit such transfers, remittances or conversion without any restriction. See “Item 10. Additional Information—(D) Exchange Controls.” In addition, a depreciation would decrease the U.S. Dollar value of any dividends BCP and PPS pay to Credicorp, which would have a negative impact on Credicorp’s ability to pay dividends to shareholders.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color w:val="auto"/>
        </w:rPr>
        <w:t>Although the current level of Peru’s foreign reserves compares favorably with those of other Latin American countries, there can be no assurance that Peru will be able to maintain adequate foreign reserves to meet its foreign currency-denominated obligations, or that Peru will not impose exchange controls should its foreign reserves decline. A decline in Peruvian foreign reserves to inadequate levels, among other economic circumstances, could lead to a currency devaluation or a volatility of short-term capital inflows. While Credicorp seeks to manage the gap between its foreign currency-denominated assets and liabilities, for instance by matching the volumes and maturities of its Nuevo Sol-denominated loans against its Nuevo Sol-denominated deposits, a sudden and significant devaluation could have a material adverse effect on Credicorp’s financial condition and results of operations. See “Item 11. Quantitative and Qualitative Disclosures about Market Risk—Exchange Rate Sensitivity.” Also, a significant group of BCP’s borrowers and PPS’s insureds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It may be difficult to serve process on or enforce judgments against Credicorp or Credicorp’s principals residing outside of the United States</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significant majority of Credicorp’s directors and officers reside outside the United States (principally in Peru).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Credicorp or its directors or officers under the securities laws of those jurisdictions or entertain actions in Bermuda against Credicorp or its directors or officers under the securities laws of other jurisdictions.</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 a holding company, Credicorp’s ability to pay dividends to its shareholders and to pay corporate expenses may be adversely affected by restrictions on its subsidiaries to pay dividends to Credicorp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648"/>
        <w:spacing w:after="0" w:line="270" w:lineRule="auto"/>
        <w:rPr>
          <w:sz w:val="20"/>
          <w:szCs w:val="20"/>
          <w:color w:val="auto"/>
        </w:rPr>
      </w:pPr>
      <w:r>
        <w:rPr>
          <w:rFonts w:ascii="Arial" w:cs="Arial" w:eastAsia="Arial" w:hAnsi="Arial"/>
          <w:sz w:val="17"/>
          <w:szCs w:val="17"/>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Grupo Crédito. To the extent that Credicorp’s subsidiaries do not have funds available or are otherwise restricted from paying dividends to Credicorp, Credicorp’s ability to pay dividends to its shareholders will be adversely affected. Currently, there are no restrictions on the ability of BCP, ASHC, PPS or Grupo Crédito to remit dividends abroad. In addition, the right of Credicorp to participate in any distribution of assets of any subsidiary, including BCP, PPS, ASHC and Grupo Crédito,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Given that a significant percentage of Credicorp’s revenues are related to banking activities, a deterioration of loan quality may have an adverse impact on Credicorp’s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Peru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We are subject to banking regulations and supervision in Peru. Changes in the regulatory framework in Peru could adversely affect our business</w:t>
      </w:r>
    </w:p>
    <w:p>
      <w:pPr>
        <w:spacing w:after="0" w:line="3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Credicorp is subject to extensive supervision and regulation through the SBS’s consolidated supervision regulations, which oversee all of Credicorp’s subsidiaries and offices including those located outside Peru. BCP’s operations are supervised and regulated by the SBS and the </w:t>
      </w:r>
      <w:r>
        <w:rPr>
          <w:rFonts w:ascii="Arial" w:cs="Arial" w:eastAsia="Arial" w:hAnsi="Arial"/>
          <w:sz w:val="17"/>
          <w:szCs w:val="17"/>
          <w:i w:val="1"/>
          <w:iCs w:val="1"/>
          <w:color w:val="auto"/>
        </w:rPr>
        <w:t>Banco Central de Reserva</w:t>
      </w:r>
      <w:r>
        <w:rPr>
          <w:rFonts w:ascii="Arial" w:cs="Arial" w:eastAsia="Arial" w:hAnsi="Arial"/>
          <w:sz w:val="17"/>
          <w:szCs w:val="17"/>
          <w:color w:val="auto"/>
        </w:rPr>
        <w:t xml:space="preserve"> (“Central Bank”).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i w:val="1"/>
          <w:iCs w:val="1"/>
          <w:color w:val="auto"/>
        </w:rPr>
        <w:t>We are subject to insurance regulation in Peru. Changes in insurance regulations may impact the ability of our insurance subsidiary to underwrite and price risk effectively and may adversely affect Credicorp’s operating performance and financial condition</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insurance business, carried out by its subsidiary PPS, is subject to regulation by the SBS. Insurance regulation in Peru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2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7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Ltd. is a limited liability company incorporated in Bermuda on October 20,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on Peru and Bolivia and with limited investments in other countries of the region. It conducts its financial services business exclusively through its subsidiaries. Credicorp’s registered address is Clarendon House 2 Church Street, Bermuda. Its management and administrative offices are located at Calle Centenario 156, La Molina, Lima 12, Perú, and its phone number is 51-1-313-2000.</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Credicorp is the largest financial services holding company in Peru and is closely identified with its principal subsidiary, BCP, the country’s largest bank and the leading supplier of integrated financial services in Peru.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trust, custody and securitization services, asset management and proprietary trading and investment). As of December 31, 2007, Credicorp’s total assets were US$17.7 billion and its net equity was US$1.8 billion. Its net income attributable to Credicorp’s equity holders in 2006 and 2007 was US$230.0 million and US$350.7 million, respectively. See “Item 3. Key Information—(A) Selected Financial Data” and “Item 5. Operating and Financial Review and Prospects.” The following table presents certain financial information for Credicorp by principal business segments as of and for the year ended December 31, 2007 (see Note 28 to the Credicorp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0" w:type="dxa"/>
            <w:vAlign w:val="bottom"/>
            <w:gridSpan w:val="9"/>
          </w:tcPr>
          <w:p>
            <w:pPr>
              <w:jc w:val="center"/>
              <w:ind w:right="480"/>
              <w:spacing w:after="0"/>
              <w:rPr>
                <w:sz w:val="20"/>
                <w:szCs w:val="20"/>
                <w:color w:val="auto"/>
              </w:rPr>
            </w:pPr>
            <w:r>
              <w:rPr>
                <w:rFonts w:ascii="Arial" w:cs="Arial" w:eastAsia="Arial" w:hAnsi="Arial"/>
                <w:sz w:val="18"/>
                <w:szCs w:val="18"/>
                <w:b w:val="1"/>
                <w:bCs w:val="1"/>
                <w:color w:val="auto"/>
                <w:w w:val="89"/>
              </w:rPr>
              <w:t>As of and for the Year ended December 31, 2007</w:t>
            </w:r>
          </w:p>
        </w:tc>
        <w:tc>
          <w:tcPr>
            <w:tcW w:w="1080" w:type="dxa"/>
            <w:vAlign w:val="bottom"/>
          </w:tcPr>
          <w:p>
            <w:pPr>
              <w:spacing w:after="0"/>
              <w:rPr>
                <w:sz w:val="20"/>
                <w:szCs w:val="20"/>
                <w:color w:val="auto"/>
              </w:rPr>
            </w:pPr>
          </w:p>
        </w:tc>
      </w:tr>
      <w:tr>
        <w:trPr>
          <w:trHeight w:val="191"/>
        </w:trPr>
        <w:tc>
          <w:tcPr>
            <w:tcW w:w="6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6"/>
              </w:rPr>
              <w:t>Operating</w:t>
            </w: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Revenues</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Income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40" w:type="dxa"/>
            <w:vAlign w:val="bottom"/>
            <w:gridSpan w:val="6"/>
          </w:tcPr>
          <w:p>
            <w:pPr>
              <w:jc w:val="center"/>
              <w:ind w:right="400"/>
              <w:spacing w:after="0"/>
              <w:rPr>
                <w:sz w:val="20"/>
                <w:szCs w:val="20"/>
                <w:color w:val="auto"/>
              </w:rPr>
            </w:pPr>
            <w:r>
              <w:rPr>
                <w:rFonts w:ascii="Arial" w:cs="Arial" w:eastAsia="Arial" w:hAnsi="Arial"/>
                <w:sz w:val="18"/>
                <w:szCs w:val="18"/>
                <w:i w:val="1"/>
                <w:iCs w:val="1"/>
                <w:color w:val="auto"/>
                <w:w w:val="95"/>
              </w:rPr>
              <w:t>(U.S. Dollars in millions)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Commercial Banking</w:t>
            </w:r>
          </w:p>
        </w:tc>
        <w:tc>
          <w:tcPr>
            <w:tcW w:w="1720" w:type="dxa"/>
            <w:vAlign w:val="bottom"/>
            <w:gridSpan w:val="2"/>
            <w:shd w:val="clear" w:color="auto" w:fill="CCFFCC"/>
          </w:tcPr>
          <w:p>
            <w:pPr>
              <w:jc w:val="center"/>
              <w:ind w:left="1190"/>
              <w:spacing w:after="0"/>
              <w:rPr>
                <w:sz w:val="20"/>
                <w:szCs w:val="20"/>
                <w:color w:val="auto"/>
              </w:rPr>
            </w:pPr>
            <w:r>
              <w:rPr>
                <w:rFonts w:ascii="Arial" w:cs="Arial" w:eastAsia="Arial" w:hAnsi="Arial"/>
                <w:sz w:val="18"/>
                <w:szCs w:val="18"/>
                <w:color w:val="auto"/>
                <w:w w:val="91"/>
              </w:rPr>
              <w:t>US$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1,402</w:t>
            </w:r>
          </w:p>
        </w:tc>
        <w:tc>
          <w:tcPr>
            <w:tcW w:w="5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6"/>
              </w:rPr>
              <w:t>US$</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614</w:t>
            </w:r>
          </w:p>
        </w:tc>
        <w:tc>
          <w:tcPr>
            <w:tcW w:w="5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16,245</w:t>
            </w:r>
          </w:p>
        </w:tc>
        <w:tc>
          <w:tcPr>
            <w:tcW w:w="1080" w:type="dxa"/>
            <w:vAlign w:val="bottom"/>
          </w:tcPr>
          <w:p>
            <w:pPr>
              <w:spacing w:after="0"/>
              <w:rPr>
                <w:sz w:val="21"/>
                <w:szCs w:val="21"/>
                <w:color w:val="auto"/>
              </w:rPr>
            </w:pPr>
          </w:p>
        </w:tc>
      </w:tr>
      <w:tr>
        <w:trPr>
          <w:trHeight w:val="243"/>
        </w:trPr>
        <w:tc>
          <w:tcPr>
            <w:tcW w:w="4220" w:type="dxa"/>
            <w:vAlign w:val="bottom"/>
            <w:gridSpan w:val="2"/>
          </w:tcPr>
          <w:p>
            <w:pPr>
              <w:ind w:left="660"/>
              <w:spacing w:after="0"/>
              <w:rPr>
                <w:sz w:val="20"/>
                <w:szCs w:val="20"/>
                <w:color w:val="auto"/>
              </w:rPr>
            </w:pPr>
            <w:r>
              <w:rPr>
                <w:rFonts w:ascii="Arial" w:cs="Arial" w:eastAsia="Arial" w:hAnsi="Arial"/>
                <w:sz w:val="18"/>
                <w:szCs w:val="18"/>
                <w:color w:val="auto"/>
              </w:rPr>
              <w:t>Insurance</w:t>
            </w: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108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Pension Fund Administration</w:t>
            </w:r>
          </w:p>
        </w:tc>
        <w:tc>
          <w:tcPr>
            <w:tcW w:w="134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w:t>
            </w:r>
          </w:p>
        </w:tc>
        <w:tc>
          <w:tcPr>
            <w:tcW w:w="108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Investment Banking and others</w:t>
            </w: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35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Credicorp</w:t>
            </w:r>
          </w:p>
        </w:tc>
        <w:tc>
          <w:tcPr>
            <w:tcW w:w="1720" w:type="dxa"/>
            <w:vAlign w:val="bottom"/>
            <w:gridSpan w:val="2"/>
            <w:shd w:val="clear" w:color="auto" w:fill="CCFFCC"/>
          </w:tcPr>
          <w:p>
            <w:pPr>
              <w:jc w:val="center"/>
              <w:ind w:left="1190"/>
              <w:spacing w:after="0"/>
              <w:rPr>
                <w:sz w:val="20"/>
                <w:szCs w:val="20"/>
                <w:color w:val="auto"/>
              </w:rPr>
            </w:pPr>
            <w:r>
              <w:rPr>
                <w:rFonts w:ascii="Arial" w:cs="Arial" w:eastAsia="Arial" w:hAnsi="Arial"/>
                <w:sz w:val="18"/>
                <w:szCs w:val="18"/>
                <w:color w:val="auto"/>
                <w:w w:val="91"/>
              </w:rPr>
              <w:t>US$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1,881</w:t>
            </w:r>
          </w:p>
        </w:tc>
        <w:tc>
          <w:tcPr>
            <w:tcW w:w="5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6"/>
              </w:rPr>
              <w:t>US$</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693</w:t>
            </w:r>
          </w:p>
        </w:tc>
        <w:tc>
          <w:tcPr>
            <w:tcW w:w="5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17,706</w:t>
            </w:r>
          </w:p>
        </w:tc>
        <w:tc>
          <w:tcPr>
            <w:tcW w:w="1080" w:type="dxa"/>
            <w:vAlign w:val="bottom"/>
          </w:tcPr>
          <w:p>
            <w:pPr>
              <w:spacing w:after="0"/>
              <w:rPr>
                <w:sz w:val="20"/>
                <w:szCs w:val="20"/>
                <w:color w:val="auto"/>
              </w:rPr>
            </w:pPr>
          </w:p>
        </w:tc>
      </w:tr>
      <w:tr>
        <w:trPr>
          <w:trHeight w:val="459"/>
        </w:trPr>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20" w:type="dxa"/>
            <w:vAlign w:val="bottom"/>
            <w:gridSpan w:val="2"/>
          </w:tcPr>
          <w:p>
            <w:pPr>
              <w:jc w:val="center"/>
              <w:ind w:left="1170"/>
              <w:spacing w:after="0"/>
              <w:rPr>
                <w:sz w:val="20"/>
                <w:szCs w:val="20"/>
                <w:color w:val="auto"/>
              </w:rPr>
            </w:pPr>
            <w:r>
              <w:rPr>
                <w:rFonts w:ascii="Arial" w:cs="Arial" w:eastAsia="Arial" w:hAnsi="Arial"/>
                <w:sz w:val="18"/>
                <w:szCs w:val="18"/>
                <w:color w:val="auto"/>
                <w:w w:val="89"/>
              </w:rPr>
              <w:t>12</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648"/>
        <w:spacing w:after="0" w:line="276" w:lineRule="auto"/>
        <w:rPr>
          <w:sz w:val="20"/>
          <w:szCs w:val="20"/>
          <w:color w:val="auto"/>
        </w:rPr>
      </w:pPr>
      <w:r>
        <w:rPr>
          <w:rFonts w:ascii="Arial" w:cs="Arial" w:eastAsia="Arial" w:hAnsi="Arial"/>
          <w:sz w:val="17"/>
          <w:szCs w:val="17"/>
          <w:color w:val="auto"/>
        </w:rPr>
        <w:t>Credicorp conducts its commercial banking and investment banking activities primarily through BCP, the largest (in terms of total assets, loans, deposits, net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ASHC, a diversified financial services company and the pension fund business through Prima AFP. Credicorp’s insurance activities are conducted through PPS, the second largest Peruvian insurance company in terms of premiums, fees and net income.</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Credicorp purchased 99.99% of Inversiones Crédito, a non-financial entity with assets of US$50.4 million as of December 2004, with principal investments currently in shares of Peruvian electric utilities.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In November 2001, BCP bought back a 53.1% stake in BCB from Credicorp for US$30.0 million. As of December 31, 2005, BCB operated 47 branches located throughout Bolivia, together with 124 ATMs. BCB’s results have been consolidated in the BCP financial statements since the date of its acquisition in November 1993.</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for US$50.0 million, Banco Santander Central Hispano-Perú (“BSCH-Perú”), which is included in BCP’s consolidated financial statements since such date. On December 31, 2002, BSCH-Perú had total assets of US$975.2 million, total loans of US$719.4 million and deposits of US$659.0 million. BSCH-Perú was merged into BCP on February 28, 2003.</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2003, BCP, adding to its 55% stake, acquired the remaining 45% of the equity shares of Solución Financiera de Crédito del Perú S.A. (“Solución”) from Banco de Crédito e Inversiones de Chile (“BCI”) and other foreign shareholders for US$17.0 million, making Solución once again a BCP wholly 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2003, BCP converted Banco de Crédito Overseas Limited (“BCOL”), its offshore bank in the Bahamas, into a vehicle to conduct investments and sold it to ASHC. ASHC subsequently consolidated BCOL into its operations during 2004. Certain long-term equity interests, held previously by BCOL, were transferred to BCP which were then transferred to Grupo Crédito in accordance with Credicorp’s policy for holdings of equity interests in non-financial companies. In April 2004, PPS sold substantially all of its holdings of Credicorp’s equity shares to ASHC (see “Item 7.–(A) Major Shareholders and Related Party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both"/>
        <w:ind w:firstLine="648"/>
        <w:spacing w:after="0" w:line="308" w:lineRule="auto"/>
        <w:rPr>
          <w:sz w:val="20"/>
          <w:szCs w:val="20"/>
          <w:color w:val="auto"/>
        </w:rPr>
      </w:pPr>
      <w:r>
        <w:rPr>
          <w:rFonts w:ascii="Arial" w:cs="Arial" w:eastAsia="Arial" w:hAnsi="Arial"/>
          <w:sz w:val="17"/>
          <w:szCs w:val="17"/>
          <w:color w:val="auto"/>
        </w:rPr>
        <w:t>In March 2004, PPS acquired Novasalud Perú S.A. – Entidad Prestadora de Salud (“Novasalud EPS”), one of three private health insurance providers in Peru, and merged Novasalud EPS with Pacífico S.A. Entidad Prestadora de Salud (“Pacífico Salud”), a subsidiary of PPS, in August 2004.</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Banco Tequendama, a Colombian banking enterprise acquired by Credicorp in January 1997, was sold in March 2005 to a Colombian bank. This followed the sale by Credicorp in December 2002 of Banco Tequendama’s Venezuelan branches. While the sale of Banco Tequendama was publicly announced in October 2004 and its effective date was January 1, 2005, the sale was not completed until March 2005 when all approvals required from Colombian authorities were obtained. Credicorp did not record any significant gain as a result of the transaction.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2005, BCP and Bank of America, both principal shareholders of Fleet Boston N.A., agreed to engage in a buy-sale transaction of the loan portfolio of the Peruvian branch of Bank Boston N.A. and the loan portfolio of Peruvian nationals with Fleet Boston N.A. The transaction, which took place on January 24, 2005, was recorded at acquisition cost. BCP paid approximately US$353.8 million in cash for the loan portfolio, which included commercial loans, mortgage and leasing operations.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2005, Credicorp was authorized by Peruvian regulatory authorities to establish Prima AFP, in which Grupo Crédito is the main shareholder. Prima AFP started operations in August 2005 and had losses of US$7.6 million for the year ended December 31, 2005.</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2006, Prima AFP acquired Unión Vida AFP, a pension fund operating in the Peruvian market, in a strategic move toward consolidation, as part of its efforts to gain a leading position in the pension fund market. The acquisition of Unión Vida AFP, which was formerly held by Banco Santander, enabled Prima AFP to position itself as the second ranking company in market share terms, and as a leader in the industry, given its second highest returns and lowest commissions for affiliates (who invest a portion of their salary each month). The merger between Prima AFP and Unión Vida AFP was consummated in December 2006.</w:t>
      </w:r>
    </w:p>
    <w:p>
      <w:pPr>
        <w:spacing w:after="0" w:line="24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2006, Prima AFP incurred significant merger expenses relative to its size, reaching the end of the year with losses of US$20.7 million. Prima AFP had a net income of US$3.0 million during 2007 with 1,023,482 affiliates and funds under management amounting to US$6,403 million.</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PPS sold to Credicorp the remaining 1.02% of BCP shares that it maintained to that date, generating a goodwill in respect of the minority interest acquired by Credicorp (0.25%) of approximately US$7.2 million.</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tables show the organization of Credicorp and its principal subsidiaries as of December 31, 2007 and their relative percentage contribution to Credicorp’s total assets, total revenues, net income and net equity at the same date (see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136525</wp:posOffset>
            </wp:positionV>
            <wp:extent cx="4613910" cy="1406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1391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1"/>
              </w:rPr>
              <w:t>As of and for the Year ended December 31, 2007</w:t>
            </w:r>
            <w:r>
              <w:rPr>
                <w:rFonts w:ascii="Arial" w:cs="Arial" w:eastAsia="Arial" w:hAnsi="Arial"/>
                <w:sz w:val="18"/>
                <w:szCs w:val="18"/>
                <w:color w:val="auto"/>
                <w:w w:val="91"/>
              </w:rPr>
              <w:t>(2)</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980" w:type="dxa"/>
            <w:vAlign w:val="bottom"/>
          </w:tcPr>
          <w:p>
            <w:pPr>
              <w:jc w:val="center"/>
              <w:ind w:left="290"/>
              <w:spacing w:after="0" w:line="191" w:lineRule="exact"/>
              <w:rPr>
                <w:sz w:val="20"/>
                <w:szCs w:val="20"/>
                <w:color w:val="auto"/>
              </w:rPr>
            </w:pPr>
            <w:r>
              <w:rPr>
                <w:rFonts w:ascii="Arial" w:cs="Arial" w:eastAsia="Arial" w:hAnsi="Arial"/>
                <w:sz w:val="18"/>
                <w:szCs w:val="18"/>
                <w:b w:val="1"/>
                <w:bCs w:val="1"/>
                <w:color w:val="auto"/>
                <w:w w:val="92"/>
              </w:rPr>
              <w:t>Total</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230"/>
              <w:spacing w:after="0" w:line="191" w:lineRule="exact"/>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center"/>
              <w:ind w:right="54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02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9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1"/>
              </w:rPr>
              <w:t>Assets</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7"/>
              </w:rPr>
              <w:t>Revenue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r>
      <w:tr>
        <w:trPr>
          <w:trHeight w:val="237"/>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82.9%</w:t>
            </w:r>
          </w:p>
        </w:tc>
        <w:tc>
          <w:tcPr>
            <w:tcW w:w="1040" w:type="dxa"/>
            <w:vAlign w:val="bottom"/>
            <w:shd w:val="clear" w:color="auto" w:fill="CCFFCC"/>
          </w:tcPr>
          <w:p>
            <w:pPr>
              <w:spacing w:after="0"/>
              <w:rPr>
                <w:sz w:val="20"/>
                <w:szCs w:val="20"/>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69.8%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103.0%</w:t>
            </w:r>
          </w:p>
        </w:tc>
        <w:tc>
          <w:tcPr>
            <w:tcW w:w="34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65.4%</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21.2%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11.1%</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Grupo Crédito (1)</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(3)</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Prima AFP and others.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Percentages determined based on the Credicorp Consolidated Financial Statements.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Credicorp Ltd., CCR Inc., Credicorp Securities Inc. and others.</w:t>
      </w:r>
    </w:p>
    <w:p>
      <w:pPr>
        <w:spacing w:after="0" w:line="26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show the organization of BCP and its principal subsidiaries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186690</wp:posOffset>
            </wp:positionV>
            <wp:extent cx="4982845" cy="1235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284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1"/>
              </w:rPr>
              <w:t>As of and for the Year ended December 31, 2007(2)</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980" w:type="dxa"/>
            <w:vAlign w:val="bottom"/>
          </w:tcPr>
          <w:p>
            <w:pPr>
              <w:jc w:val="center"/>
              <w:ind w:left="290"/>
              <w:spacing w:after="0" w:line="191" w:lineRule="exact"/>
              <w:rPr>
                <w:sz w:val="20"/>
                <w:szCs w:val="20"/>
                <w:color w:val="auto"/>
              </w:rPr>
            </w:pPr>
            <w:r>
              <w:rPr>
                <w:rFonts w:ascii="Arial" w:cs="Arial" w:eastAsia="Arial" w:hAnsi="Arial"/>
                <w:sz w:val="18"/>
                <w:szCs w:val="18"/>
                <w:b w:val="1"/>
                <w:bCs w:val="1"/>
                <w:color w:val="auto"/>
                <w:w w:val="92"/>
              </w:rPr>
              <w:t>Total</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230"/>
              <w:spacing w:after="0" w:line="191" w:lineRule="exact"/>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center"/>
              <w:ind w:right="54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02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9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1"/>
              </w:rPr>
              <w:t>Assets</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7"/>
              </w:rPr>
              <w:t>Revenue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r>
      <w:tr>
        <w:trPr>
          <w:trHeight w:val="237"/>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91.6%</w:t>
            </w:r>
          </w:p>
        </w:tc>
        <w:tc>
          <w:tcPr>
            <w:tcW w:w="1040" w:type="dxa"/>
            <w:vAlign w:val="bottom"/>
            <w:shd w:val="clear" w:color="auto" w:fill="CCFFCC"/>
          </w:tcPr>
          <w:p>
            <w:pPr>
              <w:spacing w:after="0"/>
              <w:rPr>
                <w:sz w:val="20"/>
                <w:szCs w:val="20"/>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89.0%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85.4%</w:t>
            </w:r>
          </w:p>
        </w:tc>
        <w:tc>
          <w:tcPr>
            <w:tcW w:w="34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84.1%</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Crédito Leasing S.A.</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Financiera de Crédito Solucion</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Credifondo S.A.</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Credibolsa Sociedad Agente de Bolsa S.A.</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Others(3)</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Credicorp holds an additional 4.08% stake.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6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3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(1) Introduction – Review of 2007</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2007, Credicorp experienced extraordinary growth in almost all of its business lines. It increased its profitability, opened new, highly-profitable retail markets for the group’s various businesses, and increased exchange of capabilities and talents within the group, all of which led to outstanding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In a favorable economic environment with a growth rate of 9% in Peru, Credicorp’s net income reached a new record of US$351 million, 52.5% above 2006. This significant improvement encompassed all of its business units, such as commercial banking and fund management, as well as the insurance business, despite the great challenges faced by the group’s responding to risk and risk management, especially in the aftermath of the devastating earthquake in southern Peru in August 2007.</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in 2006, the most significant performance in commercial banking was recorded in BCP’s Retail Banking Group, where loans, deposits and transactions grew beyond our forecasts, as a consequence of brisk local consumer demand. However, more surprising still was the growth achieved during this year by BCP’s Wholesale Banking Group thanks to expanding economic and investment activities in the business sector, driven by strong domestic consumer demand and expanding exports that contributed to the outstanding 40.0% annual growth in bank loans.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insurance business, 2007 was also a year of major growth and recovering market share. Despite the major impact of the earthquake in southern Peru and a number of major fire and technical claims in various branches that hit the insurance industry, results were positive, though lower than in 2006.</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the pension fund business in 2007 was characterized by strong competition. Prima AFP started the year aiming at consolidating its position as a market leader and significantly bolstered recruitment. As a result, for the first time since it was formed, Prima AFP closed 2007 with a positive contribution to Credicorp’s strong results.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Credicorp’s total assets and asset quality improved substantially in 2007. Total assets reached US$17.7 billion as of December 31, 2007, a 37.4% increase from US$12.9 billion as of December 31, 2006. While total loans grew by 39.2% in 2007 (18.2% in 2006), increased liquidity led to an increase in investments of 51.0% in the same period. Provision for loan losses net of recoveries resulted in US$28.4 million (US$4.2 million earnings in 2006). The increase is attributable to incurred losses not specifically identifiable and related primarily to consumer’s loans. For the sixth consecutive year, past due loans have been decreasing and reached 0.8% in 2007 (1.3% at year-end 2006; 1.9% at year-end 2005), while past due loan coverage by provisions increased significantly to 343.7% from 247.9% at year-end 2006 and from 206.2% at year-end 2005.</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such an outstanding year, Credicorp’s return on average net equity improved substantially and grew from 18.4% in 2006 to 22.7%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BCP’s banking business, after generating net earnings of US$332 million and contributing to Credicorp’s earnings (after deduction of minority interests) US$323 million, 35% more than the previous year, and evidencing 31.7% average return on net equity, a record level compared to past periods.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the favorable Peruvian economic environment had a major influence on BCP’s outstanding results, the strategies implemented in the various banking business areas were likewise of significant importance. Highlights in 2007 include: (i) an extraordinary growth in loans; (ii) an even stronger growth in income from interest, a result of BCP’s strategy targeting the most profitable segments in the Retail Banking Group; (iii) a continued improvement in portfolio quality; and (iv) a major development and expansion of our network and alternative channels, including Agentes BCP.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Strong growth of loans drove asset growth at BCP, which expanded to US$14,987 million, an increase of 40% compared to 2006. As a result, BCP’s loans totaled US$8,188 million, accounting for 55% of all assets. The total past due loans in the loans portfolio reached US$60.3 million, 20% lower than in 2006. Likewise, trading investments and investments available for sale, which accounted for 23% of total assets, grew by 77% during the year, particularly in BCR Certificates of Deposit and liquid and short term instruments.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increasing role of BCP’s Retail Banking Group in 2007 was evidenced by an extraordinary loan growth of 39.2% at year end balances (30% measured in annual daily average balances). Similarly, the composition of the loan portfolio has changed and was comprised of 37% of Retail Banking Group loans and 63% of Wholesale Banking Group loans. Thus, the strongest loan growth was achieved by the Retail Banking Group with 39% (measured in annual daily average balances). This growth reflects the national economy’s continued improvements, strong domestic demand and growing private investments as well as BCP’s strategic approach and new products targeting this segment. BCP’s Wholesale Banking Group also played an important role with loans growing by 34%, reflecting significant lending opportunities in the Peruvian corporate sector. Moreover, despite strong competitive pressures, by the end of the year BCP held a 32.2% market share of the Peruvian loans market.</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Once again, active Retail Banking Group was a result of significant development of the various products offered to this type of clients. With respect to portfolio share, products included mortgage loans and loans for small companies, with a share of 42% and 31%, respectively. However, in terms of growth and yields, consumer loans were the best performing product, reaching 80% growth (measured in annual daily average balances) to a total volume of US$360 million; followed by loans to small companies that grew 44% to US$733 million. Finally, credit cards grew 42%, reaching US$283 million. Mortgage credits, a product that showed a significant growth potential given its low market penetration, grew 24%, compared to 20% growth in 2006. Such figures reveal a dynamic Retail Banking Group and its importance as the main pillar of BCP’s development and profitability, resulting both from the options for growth and the larger margins it affords.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Though 2007 was an exceptional year for Retail Banking Group development, 2007 was also exceptional for the Corporate Banking and the Middle Market Banking. The Corporate Banking expanded by 33.0% and Middle Market Banking expanded by 34.2%. That was the result of a record high number of investment projects in the business sector, both in large corporations as well as in medium and small companies, which led to the expansion in the demand for short-, medium- and long-term financing. Significant economic growth driven by the increase in domestic demand has led to investments in, among others, expansion of industrial facilities, replacement of fixed assets, financing exports, and increasing working capital needs.</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deposits reached US$10,714 million on December 31, 2007, or an increase of 34% year over year. The highest growth was in time deposits (48%), and significant growth was also recorded in demand and savings deposits and Severance Accounts (CTS) (32%, 22% and 16%, respectively). Because the deposits did not grow as much as loans, it was necessary to resort to alternative funding sources, some of which had been tapped in previous years, but not as aggressively. Moreover, in the second half of 2007, BCP, through a special vehicle, CCR Inc., issued US$500 million of securitized structured bonds and US$160 million of subordinated debt in local currency to provide additional funding and capital, respectively, which were deposited in its Panamenian branch.</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Such change in funding structure increased costs, which were mostly offset by the larger net interest income from high yield loans, targeted as part of the modified loan portfolio structure. Such net interest income reached 5.24% in 2007 compared to 5.17% in 2006.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18"/>
          <w:szCs w:val="18"/>
          <w:color w:val="auto"/>
        </w:rPr>
        <w:t>The past due loans portfolio quality indicator reached 0.7%, lower than that of 2006, while the coverage ratio was 351.8%. Both indicators reflect efficient risk management policies, coupled with the positive impact that Peru’s economic prosperity has had on these ratios. Consequently, results benefited from low provisioning needs and an improved rate of recoveries of past accounts write-offs.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our focus on the retail business, the number of transactions grew by 20.6%, a growth which is comprised of a particularly high growth of Agente BCP transactions (309.6%) and Internet Banking (31.0%), in addition to increasing transactions through conventional channels, including teller transactions (9.5%) and automated teller machines (26.7%). Such growth reflects BCP’s decision to expand through all its channels, with a view at building Peru’s largest network. To pursue this goal, in 2007 the Bank opened 36 more branches, reaching a total of 273 branches, installed 93 automated teller machines, reaching a total of 748 ATMs, and 670 Agentes BCP, reaching a total of 1,221 Agentes BCP as of December 2007.</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Finally, the efficiency ratio reached 51.3%, compared with 50.5% in 2006, due to investment in a larger network and related personnel needs. Growth of net interest income (26.8%) and income for commissions (21.1%) made up for higher payroll and administrative expenses (29.8%), principally related to marketing campaigns and systems. Salaries and employees benefits, accounting for 50% of total operating expenses, grew by 32.2%, as a result of increased personnel recruitment (1,896 employees added) and growing provisions for the Stock Appreciation Rights program (see below), higher provisioning requirements for employees’ profit sharing and variable salaries adjustment.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Overall, BCP’s results exceeded all forecasts, further contributing to Credicorp’s achievements and improved profitability.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Bolivia</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Bolivian market, Banco de Crédito de Bolivia (BCP Bolivia) also showed excellent results, compared not only to the results of previous years but to the overall Bolivian financial system. A favorable economic environment, a strategy targeting high yield business and strict risk controls allowed BCP Bolivia to obtain a net profit of US$27 million, 91.5% higher than that obtained in 2006. BCP Bolivia has become one of the main banks in Bolivia, with 35.6% return on equity, a past due loan ratio of 1.7% and coverage ratio of 240.1%, higher than those of the Bolivian banking system (22.2%, 5.6% and 112.2%, respectively).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portfolio of BCP Bolivia expanded by 19% during 2007 reaching a total of US$464 million. Moreover, BCP Bolivia further diversified its Retail Banking Group portfolio and fostered a growth of 104.6% in the small companies business (SME). In this effort, BCP Bolivia invested in expanding customer service channels, mostly by introducing the Agentes BCP in remote areas of Bolivia, reaching segments of the population not served by traditional banking.</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Despite a volatile Bolivian political environment, BCP Bolivia accomplished outstanding results and continued to increase its market share, positioning itself as a leading Bolivian bank and further contributing to Credicorp’s strong banking business performance.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ASHC</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Earnings at ASHC reached US$39.5 million in 2007, equivalent to 25.4% growth year over year. This growth can be attributed to larger asset volumes flowing from increased customer wealth, higher net interest income, higher commissions and, to a large extent, dividends received from Credicorp stock held by ASHC treasury. Although Credicorp’s dividend revenues will cancel out in the consolidated statement, ASHC’s contribution to the corporation’s total revenues increased by 31% compared to 2006 and totaled US$20.5 million, reflecting a dynamic private banking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Increased ASHC’s focus on the asset management business resulted in an increase of 50% in income from commissions, from US$6.1 million in 2006 to US$9.2 million in 2007. Deposit base increased by 19%, to US$1.383 billion. This is a particularly noteworthy result considering the increase in managed funds with customers’ deposits migrating to investment products.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Managed funds grew by 62% to US$860 million. Approximately 63% of this growth resulted from investment appreciation and 37% of this growth is attributed to new investments. Yields from these managed funds improved when compared to the previous year. In 2007, an ASB weighted index (an internal index elaborated based on monthly returns of ASB funds under management weighted by the size of the funds) evidenced a 6.2% return compared to 5% in 2006. These yields were 50 basis points lower than the hedge funds benchmark, and volatility was almost 40% lower (2.6% compared to 4.5%), thus leading to extremely satisfactory risk-adjusted performance.</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2008, ASHC plans to continue implementing a low risk strategy in managing its own investments, although it expects a wider financial margin with the fall in its cost of funding, triggered by lower rates, and stable asset yields as loan spreads widen.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PPS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Pacifico Peruano Suiza (PPS) has changed its strategy and is now focused on distribution channels and specialized risk management. The significant growth of net premiums in 2007 was mainly related to those retail lines of business which are more predictable in terms of net losses and more profitable. In addition, distribution channels, focused on the retail market, led to growth in premiums compared with 2006 while the relationship with brokers and agents was reinforced by offering web tools and risk management courses.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for financial results for 2007, under IFRS, PPS, which encompasses Pacífico Seguros, Pacífico Vida and Pacífico Salud EPS, recorded a total premium of US$467.2 million, a 25.4% increase from 2006. Pacifico Seguros reported a net income of US$12.5 million in 2007, less than the US$53.3 million obtained in 2006, a year in which Pacifico Seguros reported extraordinary financial gains of approximately US$40 million from the sale of a significant share package, including BCP shares, which are eliminated for the consolidation of Credicorp. The 2007 results are low also given the low performance of the general insurance business as a result of the increase in net claims paid as a percentage of net premiums written. In August, a 7.9 magnitude earthquake struck the southern area of the country which affected Pacífico Seguros’ underwriting results as well as the local insurance industry generally. The company was affected also by the severity of other fire and technical claims that had a negative impact in the company results. As a consequence, its contribution to Credicorp consolidated net income in 2007 was US$9 million, a 35% drop compared to the previous period.</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effects of the strategy change are already noticeable in the growth of consolidated net premiums earned by the group, which increased at the rate of 18.3% in 2007. However the technical results decreased from US$34.7 million in 2006 to US$15.4 millions in 2007, representing 3.3% of the total premiums registered compared to the 9.3% in 2006. This result can be explained by the aforementioned increase in net claims paid as a percentage of net premiums written from 72% in 2006 to 77.7% in 2007.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Prima AFP started 2007 by striving to consolidate its market leadership. To do so, it focused on offering great value: the market’s lowest management commission, strong support from Grupo Credito and vast experience in the investment business.</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Commercial growth came principally from higher productivity in sales management, which allowed exceeding Prima AFP’s goals of capturing a higher volume of funds by affiliating a higher number of clients. Such growth was coupled with an expanding national economy (that resulted in higher salaries and returns to individual and corporate contributing members), underpinning the growth of the company’s revenues base.</w:t>
      </w:r>
    </w:p>
    <w:p>
      <w:pPr>
        <w:spacing w:after="0" w:line="22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Strong performance by Prima AFP also resulted from a wider and stronger revenue calculation base, coupled with a stable and improved portfolio of contributing members. The company continued to cut costs, reducing the number of sales representatives from 2,225 in December 2006 to 421 in December 2007.</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2007, Prima AFP earned US$3 million. The company thus reverted losses incurred in 2006 (US$20.7 million), and continued on the path of increasing revenues and gradually reducing expenses. The managed portfolio reached 31.4% market share in December 2007, with a total US$6,403 million, 29.2% market share in 2006, with a total of US$4,211 million, 33.7% market share for collections and 47.2% for Voluntary Contributions. Prima AFP closed 2007 with 1,023,482 affiliates and 459,370 contributing members.</w:t>
      </w:r>
    </w:p>
    <w:p>
      <w:pPr>
        <w:spacing w:after="0" w:line="24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2007, Prima AFP revenues reached US$55 million, or 139.1% higher than in 2006. A significant portion of this increase is due to flows from AFP Unión Vida’s portfolio, effective and efficient corporate marketing and an improved portfolio. Such improvement came from a stronger Peruvian labor market that resulted in a major increase in the Monthly Insurable Remuneration (RAM). Such strong revenue base is complemented by the new Voluntary Contribution (Aporte Voluntario) product that started to generate fee flows in December 2007 and may account for as much as 6% of revenues in 2008. Also in 2007, the amount of Voluntary Contributions managed by Prima AFP reached US$167.9 million, leading to the highest system-wide market share (47.2%).</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merger between Prima AFP and Unión Vida and the surviving company resulted in increased administrative expenses. Amortization and depreciation charges reached US$2.8 million as a consequence of investment in systems and furniture and amortization of intangible assets worth US$5.6 million, which were identified during the purchase of Unión Vida.</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pursue its enhanced service orientation, Prima AFP strengthened its customer service office network by opening a branch in Ica, refurbishing and moving its Cajamarca office to another area of the city and opening a new office in Lima’s historical downtown quarter, thereby increasing its nationwide presence with its 13 branches and 19 customer service offices.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Overall, strong performance in each of the businesses where Credicorp operates resulted in an outstanding year for the entire corporation, in particular extraordinary BCP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The following table sets forth the contribution to the consolidated net income attributable to Credicorp’s equity holders by each of its principal subsidiaries: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Variation 2007/2006</w:t>
            </w:r>
          </w:p>
        </w:tc>
        <w:tc>
          <w:tcPr>
            <w:tcW w:w="180" w:type="dxa"/>
            <w:vAlign w:val="bottom"/>
          </w:tcPr>
          <w:p>
            <w:pPr>
              <w:spacing w:after="0"/>
              <w:rPr>
                <w:sz w:val="20"/>
                <w:szCs w:val="20"/>
                <w:color w:val="auto"/>
              </w:rPr>
            </w:pPr>
          </w:p>
        </w:tc>
      </w:tr>
      <w:tr>
        <w:trPr>
          <w:trHeight w:val="237"/>
        </w:trPr>
        <w:tc>
          <w:tcPr>
            <w:tcW w:w="16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gridSpan w:val="7"/>
          </w:tcPr>
          <w:p>
            <w:pPr>
              <w:jc w:val="right"/>
              <w:ind w:right="1520"/>
              <w:spacing w:after="0"/>
              <w:rPr>
                <w:sz w:val="20"/>
                <w:szCs w:val="20"/>
                <w:color w:val="auto"/>
              </w:rPr>
            </w:pPr>
            <w:r>
              <w:rPr>
                <w:rFonts w:ascii="Arial" w:cs="Arial" w:eastAsia="Arial" w:hAnsi="Arial"/>
                <w:sz w:val="18"/>
                <w:szCs w:val="18"/>
                <w:i w:val="1"/>
                <w:iCs w:val="1"/>
                <w:color w:val="auto"/>
                <w:w w:val="93"/>
              </w:rPr>
              <w:t>(U.S. Dollars in millions, except percentages)</w:t>
            </w:r>
          </w:p>
        </w:tc>
      </w:tr>
      <w:tr>
        <w:trPr>
          <w:trHeight w:val="243"/>
        </w:trPr>
        <w:tc>
          <w:tcPr>
            <w:tcW w:w="3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238.9</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322.5</w:t>
            </w:r>
          </w:p>
        </w:tc>
        <w:tc>
          <w:tcPr>
            <w:tcW w:w="2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r>
      <w:tr>
        <w:trPr>
          <w:trHeight w:val="243"/>
        </w:trPr>
        <w:tc>
          <w:tcPr>
            <w:tcW w:w="3520" w:type="dxa"/>
            <w:vAlign w:val="bottom"/>
            <w:gridSpan w:val="2"/>
          </w:tcPr>
          <w:p>
            <w:pPr>
              <w:spacing w:after="0"/>
              <w:rPr>
                <w:sz w:val="20"/>
                <w:szCs w:val="20"/>
                <w:color w:val="auto"/>
              </w:rPr>
            </w:pPr>
            <w:r>
              <w:rPr>
                <w:rFonts w:ascii="Arial" w:cs="Arial" w:eastAsia="Arial" w:hAnsi="Arial"/>
                <w:sz w:val="18"/>
                <w:szCs w:val="18"/>
                <w:color w:val="auto"/>
              </w:rPr>
              <w:t>ASCH</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15.4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43"/>
        </w:trPr>
        <w:tc>
          <w:tcPr>
            <w:tcW w:w="3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PPS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FFCC"/>
          </w:tcPr>
          <w:p>
            <w:pPr>
              <w:spacing w:after="0"/>
              <w:rPr>
                <w:sz w:val="21"/>
                <w:szCs w:val="21"/>
                <w:color w:val="auto"/>
              </w:rPr>
            </w:pPr>
          </w:p>
        </w:tc>
        <w:tc>
          <w:tcPr>
            <w:tcW w:w="14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14.5</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w:t>
            </w:r>
          </w:p>
        </w:tc>
        <w:tc>
          <w:tcPr>
            <w:tcW w:w="2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r>
      <w:tr>
        <w:trPr>
          <w:trHeight w:val="243"/>
        </w:trPr>
        <w:tc>
          <w:tcPr>
            <w:tcW w:w="3520" w:type="dxa"/>
            <w:vAlign w:val="bottom"/>
            <w:gridSpan w:val="2"/>
          </w:tcPr>
          <w:p>
            <w:pPr>
              <w:spacing w:after="0"/>
              <w:rPr>
                <w:sz w:val="20"/>
                <w:szCs w:val="20"/>
                <w:color w:val="auto"/>
              </w:rPr>
            </w:pPr>
            <w:r>
              <w:rPr>
                <w:rFonts w:ascii="Arial" w:cs="Arial" w:eastAsia="Arial" w:hAnsi="Arial"/>
                <w:sz w:val="18"/>
                <w:szCs w:val="18"/>
                <w:color w:val="auto"/>
              </w:rPr>
              <w:t>Grupo Crédito(2)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-38.8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0"/>
        </w:trPr>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350.7</w:t>
            </w:r>
          </w:p>
        </w:tc>
        <w:tc>
          <w:tcPr>
            <w:tcW w:w="2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w:t>
            </w:r>
          </w:p>
        </w:tc>
      </w:tr>
      <w:tr>
        <w:trPr>
          <w:trHeight w:val="108"/>
        </w:trPr>
        <w:tc>
          <w:tcPr>
            <w:tcW w:w="164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9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Banco de Crédito de Bolivia, which contributed US$27.0 million in 2007, US$14.1 million in 2006, and US$10.2 million in 2005.</w:t>
      </w:r>
    </w:p>
    <w:p>
      <w:pPr>
        <w:spacing w:after="0" w:line="74" w:lineRule="exact"/>
        <w:rPr>
          <w:rFonts w:ascii="Arial" w:cs="Arial" w:eastAsia="Arial" w:hAnsi="Arial"/>
          <w:sz w:val="17"/>
          <w:szCs w:val="17"/>
          <w:color w:val="auto"/>
        </w:rPr>
      </w:pPr>
    </w:p>
    <w:p>
      <w:pPr>
        <w:jc w:val="both"/>
        <w:ind w:left="980" w:right="2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Prima AFP (which recorded a net income of US$3.0 million in 2007, losses of US$20.7 million in 2006 and net income of US$7.6 million in 2005), Credicorp Securities, Credicorp Ltd. holding company (which mainly includes expenses and the tax withheld in connection with the estimation of the dividends to be distributed to Credicorp by its Peruvian subsidiaries (BCP and PPS)) and others.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Strategy</w:t>
      </w: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was established to create a financial group that would benefit from the synergies among the group’s companies and would become a leader within each business market in which it operates. With this purpose in mind, we designed a strategy for 2007 which laid down the guidelines to take better advantage of the eventual group synergies and to focus better on the contribution that each of the companies could make to the overall organization. We are now walking along that path and reaching major accomplishments, while making adjustments to optimize results. We hope that the coordinated effort will accomplish the expected synergies and start bearing fruit in 2008.</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2007 has shown that our vision of Credicorp’s growth opportunities in our market is correct. Moreover, these opportunities are even greater than we thought when we laid down our strategy a few years ago. Credicorp, from its position as the country’s largest and strongest financial group, has managed to position its companies particularly well and our group’s approach is still based on building the synergies we envisioned when Credicorp was first established.</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We are devoted to our plan to further integrate the companies within the group, creating a Credicorp identity that will bind them and that will allow us to reach the high profit rates we seek for each of our businesses. We are gradually moving closer to accomplishing our main strategic objectives, </w:t>
      </w:r>
      <w:r>
        <w:rPr>
          <w:rFonts w:ascii="Arial" w:cs="Arial" w:eastAsia="Arial" w:hAnsi="Arial"/>
          <w:sz w:val="16"/>
          <w:szCs w:val="16"/>
          <w:i w:val="1"/>
          <w:iCs w:val="1"/>
          <w:color w:val="auto"/>
        </w:rPr>
        <w:t>i.e.</w:t>
      </w:r>
      <w:r>
        <w:rPr>
          <w:rFonts w:ascii="Arial" w:cs="Arial" w:eastAsia="Arial" w:hAnsi="Arial"/>
          <w:sz w:val="16"/>
          <w:szCs w:val="16"/>
          <w:color w:val="auto"/>
        </w:rPr>
        <w:t xml:space="preserve"> making our investments profitable and enhancing their respective returns so that they reflect and/or exceed international expectations for each business line.</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Consequently, the basic principle of our strategy will continue to be the focus on growth opportunities within our market, identifying synergies that will lead to high levels of efficiency in our business, and identifying individual road maps so every company within the group will earn outstanding profit rates, in line with the risk inherent to each business. From this stand point, we will seek to accumulate knowledge, resources, experience, technology and capacities of each company for the benefit of the group as a whole.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Thus, in 2007, we focused on:</w:t>
      </w:r>
    </w:p>
    <w:p>
      <w:pPr>
        <w:spacing w:after="0" w:line="27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our main business, BCP, through expansion of Retail Banking and transactional business;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our insurance business by expanding our share in the personal insurance branch, to stabilize risks and revenues;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positioning Prima AFP pension fund management business; and,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improving our asset management business throughout Credicorp’s companies.</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convinced that the results achieved in 2007 confirm that we are moving toward accomplishing our objective. For this reason, many of the strategic steps designed for 2008 are based not only on a focus on business areas experiencing the largest growth but also on fine-tuning the path taken, improving our own decision-making processes and designing strategies to better consolidate information, capabilities and strengths apparent in the group’s companies.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specific strategies employed by the various businesses in the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Banking Business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Banco de Crédito del Perú - BCP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BCP, both in Peru and in Bolivia, our strategy is built on four pillars:</w:t>
      </w:r>
    </w:p>
    <w:p>
      <w:pPr>
        <w:spacing w:after="0" w:line="23"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growing all products offered to the retail market;</w:t>
      </w:r>
    </w:p>
    <w:p>
      <w:pPr>
        <w:spacing w:after="0" w:line="48" w:lineRule="exact"/>
        <w:rPr>
          <w:rFonts w:ascii="Arial" w:cs="Arial" w:eastAsia="Arial" w:hAnsi="Arial"/>
          <w:sz w:val="18"/>
          <w:szCs w:val="18"/>
          <w:color w:val="auto"/>
        </w:rPr>
      </w:pPr>
    </w:p>
    <w:p>
      <w:pPr>
        <w:ind w:left="1300" w:hanging="644"/>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in the increase of our bank penetration, and expanding the network of our branches, ATMs and Agentes BCP, thus providing innovative channels, coupled with specifically tailored products;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growing revenues from transactional services; and</w:t>
      </w:r>
    </w:p>
    <w:p>
      <w:pPr>
        <w:spacing w:after="0" w:line="4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in streamlining products and processes, expanding our information processing capacities, and building more secure support systems.</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ASHC, our strategy focuses on providing quality financial services and securing the best possible returns for our investment funds, in order to remain the private bank of choice for our clients and to be able to grow with them.</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Insurance Business</w:t>
      </w:r>
    </w:p>
    <w:p>
      <w:pPr>
        <w:spacing w:after="0" w:line="27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As in banking, in the insurance business we focus on strategies designed to increase return in every branch and, especially, in the retail market. These strategies include:</w:t>
      </w:r>
    </w:p>
    <w:p>
      <w:pPr>
        <w:spacing w:after="0" w:line="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costs and increasing returns by business unit;</w:t>
      </w:r>
    </w:p>
    <w:p>
      <w:pPr>
        <w:spacing w:after="0" w:line="9" w:lineRule="exact"/>
        <w:rPr>
          <w:rFonts w:ascii="Arial" w:cs="Arial" w:eastAsia="Arial" w:hAnsi="Arial"/>
          <w:sz w:val="18"/>
          <w:szCs w:val="18"/>
          <w:color w:val="auto"/>
        </w:rPr>
      </w:pPr>
    </w:p>
    <w:p>
      <w:pPr>
        <w:ind w:left="1300" w:hanging="644"/>
        <w:spacing w:after="0" w:line="265"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focusing on Credicorp’s strategy products characterized by the best margins, most predictable risks and stable revenues in the retail market, coupled with the design of new products that match the possibilities and needs of our present and potential clients;</w:t>
      </w: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striving for differentiation through excellence in service, and</w:t>
      </w:r>
    </w:p>
    <w:p>
      <w:pPr>
        <w:spacing w:after="0" w:line="9"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searching for knowledge (through our partner, AIG), distribution (with BCP) and investment and information management (with Credicorp group – Asset Management) synergies.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u w:val="single" w:color="auto"/>
          <w:color w:val="auto"/>
        </w:rPr>
        <w:t>Asset Management Business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Developing asset management strategies with a global approach is the foremost effort to build synergies within the Credicorp group. Our achievements in this field during 2007 confirm that this is the way to create a world-class asset management business. Consequently, our vision is that all companies will share and benefit from market intelligence, experience and best practices held by the various group companies in this group devoted to asset management. It is also fundamental to define investment policies, standards, guidelines and parameters for each entity in line with its specific needs and applicable regulations. This effort encompasses all of the group’s companies, including BCP subsidiaries, Credifondo, the asset management units at ASHC and PPS, and Prima AFP.</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Since its positioning in 2007 as the pension management company with the best commercial proposal assessed in cost-benefit terms, Prima AFP’s strategy has focused on increasing operating profits through:</w:t>
      </w:r>
    </w:p>
    <w:p>
      <w:pPr>
        <w:spacing w:after="0" w:line="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its fee structure;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yielding the highest profits from fund management;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the volume of funds under management;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searching for synergies with other Credicorp companies.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Outlook for 2008</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vision of the future development of the financial industry, especially in Peru, where our principal subsidiary, Banco de Crédito del Perú, is located, is optimistic. The Board of Directors believes that our industry will continue to grow at a high rate in the coming years, because we expect further growth of the Peruvian economy. We must take account of Peru’s financial lag resulting from past policies that led to inflation while financial, as well as judicial, instability reigned, hurting people’s confidence in the market and in the system. Fortunately, trust has been gradually rebuilt. By way of example, deposits presently account for 25% of GDP and loans account for 20% of GDP, and we expect that, similar to other countries whose per capita incomes were similar to those prevailing in Peru now, ratios will grow closer to 37% and 43%, respectively.</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optimistic perspective assumes no substantial economic policy changes in the near future and further assumes that the unstable international financial scene will not affect us drastically due to the strength of Peru’s external and fiscal accounts. We believe that while the external crisis will probably slow down growth, it will not eliminate it altogether.</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we expect a fast expansion in the coming years, our company prepares itself to take advantage of such period of prosperity. To deal with the strong economic growth in 2007, we invested US$70 million in our offices, ATMs and IT. For 2008 we have budgeted investments worth US$150 million. Our intention is to open 75 new offices, install 150 ATMs and launch 350 new Agentes BCP. A significant amount will be spent by our IT departments on new equipment and applications. Also, we plan to expand the La Molina administrative headquarters and to construct two alternate computer centers as processing back-up facilities (one in Chorrillos and the other in Trujillo).</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incur higher personnel expenses as a result of these investments, due to the increase in the number of employees, as well as general expenses for marketing, IT and transport and communications required to operate the growing channels of client services.</w:t>
      </w:r>
    </w:p>
    <w:p>
      <w:pPr>
        <w:spacing w:after="0" w:line="2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development we expect does not only imply expanding infrastructure and human resources. It is necessary to ensure Banco de Crédito del Perú’s working capital. To this end, we plan to issue subordinated bonds in 2008 and to retain significant amounts of profit to support the growth of our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Accelerated growth, however, can produce a potential increase in credit risk. To mitigate this, we will continue enforcing high evaluation standards when granting loans and reviewing the reasonableness of our provisions for loan losses.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Credicorp Operating Groups</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conducts its business operations through four different principal subsidiaries: BCP and subsidiaries (which include BCB), Atlantic Security Holding Corporation, Pacífico Peruano Suiza and Grupo Crédito (which includes Prima AFP).</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Credicorp’s commercial banking business is carried out through BCP, Credicorp’s largest subsidiary and the oldest bank in Peru. A portion of Credicorp’s commercial banking business is also carried out by ASHC, which principally serves Peruvian private banking customers through offices in Panama. Credicorp conducts commercial banking activities in Bolivia through BCB, a full service commercial bank with US$663.9 million in deposits, US$821.9 million in assets and US$445.2 million in net loans, as of December 31, 2007. As of such time, BCB was the third largest Bolivian bank in terms of loans and deposits, with a 14.9% market share.</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Credicorp’s commercial banking business is organized into wholesale banking activities, which are carried out by BCP’s Wholesale Banking Group (which includes the Corporate Banking operations of ASHC), and retail banking activities, which are carried out by BCP’s Retail Banking Group. Credicorp performs its leasing operations either directly through BCP or through Crédito Leasing S.A. (“Credileasing”), a subsidiary of BCP.</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“¾(11) Supervision and Regulation—(ii) BCP”), and the guidelines set forth by Credicorp’s Board of Directors.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Credicorp’s deposit-taking operations are principally managed by BCP’s Retail Banking Group and ASHC’s Private Banking Group. See “¾(12) Selected Statistical Information—(iv) Deposits.”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Credicorp’s trading and brokerage activities are conducted through BCP and ASHC and, since January 2003, through Credicorp Securities Inc. (“Credicorp Securities”), a wholly owned subsidiary of Credicorp. Credicorp Securities is a U.S. registered broker-dealer with its offices in Miami. Credicorp’s asset management business is carried out by BCP in Peru, through its subsidiary Credifondo, and by Prima AFP, the pension fund administrator.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Peru. In addition, Credicorp also distributes such products through ASHC.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jc w:val="both"/>
        <w:ind w:firstLine="648"/>
        <w:spacing w:after="0" w:line="254" w:lineRule="auto"/>
        <w:rPr>
          <w:sz w:val="20"/>
          <w:szCs w:val="20"/>
          <w:color w:val="auto"/>
        </w:rPr>
      </w:pPr>
      <w:r>
        <w:rPr>
          <w:rFonts w:ascii="Arial" w:cs="Arial" w:eastAsia="Arial" w:hAnsi="Arial"/>
          <w:sz w:val="18"/>
          <w:szCs w:val="18"/>
          <w:color w:val="auto"/>
        </w:rPr>
        <w:t>In the last few years, Credicorp has consolidated an important line of business; namely, investment management for its customers. The growth of this business may be attributed to several major factors, the most outstanding of which is Credicorp’s incursion into the business of managing Peruvian private pension funds in August 2005, through Prima AFP, and the subsequent acquisition of AFP Unión in August 2006. Another contributing factor was the growing penetration of mutual funds in Peru in general in recent years. BCP’s mutual funds subsidiary, Credifondo, leads the market, with a share of 45.1% of the total assets currently under management. Finally, another relevant factor was the high and sustained growth of the international mutual funds and financial advisory services offered by BCP’s affiliate, Atlantic Security Bank, to its private banking customers. On December 31, 2007, the sum of the market value of the assets under management serviced by the Investment Management, International Mutual Funds, and Financial Advisory Services Groups totaled US$10,449 million.</w:t>
      </w:r>
    </w:p>
    <w:p>
      <w:pPr>
        <w:spacing w:after="0" w:line="24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Credicorp has re-organized a corporate supervision project entitled Asset Management due to the size of these businesses, the importance of the commissions they generate and, above all, the fiduciary responsibility they entail. The main objectives of the project are to establish homogeneous risk control and investment policies and evaluate the management and results of the portfolios under management based on best international practices.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Asset Management is composed of four main components:</w:t>
      </w:r>
    </w:p>
    <w:p>
      <w:pPr>
        <w:spacing w:after="0" w:line="279"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Portfolio Management: Credicorp seeks to consolidate the good performance of its portfolios and funds through strict risk control and an</w:t>
      </w:r>
    </w:p>
    <w:p>
      <w:pPr>
        <w:spacing w:after="0" w:line="46" w:lineRule="exact"/>
        <w:rPr>
          <w:rFonts w:ascii="Arial" w:cs="Arial" w:eastAsia="Arial" w:hAnsi="Arial"/>
          <w:sz w:val="16"/>
          <w:szCs w:val="16"/>
          <w:color w:val="auto"/>
        </w:rPr>
      </w:pP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appropriate level of diversification. To achieve this, it focuses on improving three key aspects: investment policies, investment processes and management metrics.</w:t>
      </w:r>
    </w:p>
    <w:p>
      <w:pPr>
        <w:spacing w:after="0" w:line="237"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Management: Credicorp focuses on providing quality financial advisory services, building customer loyalty, and encouraging customers to invest in a diverse combination of securities according to their risk profile. Credicorp’s objective is to improve the standards of the advisory services that the commercial bank offers and to distinguish between the levels of advisory services provided to different sectors.</w:t>
      </w:r>
    </w:p>
    <w:p>
      <w:pPr>
        <w:spacing w:after="0" w:line="2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Credicorp attempts to provide a timely and high quality service, offering competitive execution costs, channeling a greater proportion of the assets traded by the group’s companies to profitable investments and identifying opportunities for joint action (resulting in better prices), in addition to improving controls aimed at avoiding possible conflicts of interest.</w:t>
      </w:r>
    </w:p>
    <w:p>
      <w:pPr>
        <w:spacing w:after="0" w:line="23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Analysis: Credicorp seeks to identify, quantify, regulate and, ultimately, minimize the risks associated with operations, credit, market, liquidity, legal contingencies, conflict of interests and other risks. Another objective of risk analysis is setting corporate investment limits, creating a portfolio investments risk manual, and ensuring strict compliance with risk control rules.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Credicorp conducts its insurance operations exclusively through PPS and its subsidiaries, which provides a broad range of insurance products. PPS focuses on three business areas, </w:t>
      </w:r>
      <w:r>
        <w:rPr>
          <w:rFonts w:ascii="Arial" w:cs="Arial" w:eastAsia="Arial" w:hAnsi="Arial"/>
          <w:sz w:val="17"/>
          <w:szCs w:val="17"/>
          <w:i w:val="1"/>
          <w:iCs w:val="1"/>
          <w:color w:val="auto"/>
        </w:rPr>
        <w:t>i.e.</w:t>
      </w:r>
      <w:r>
        <w:rPr>
          <w:rFonts w:ascii="Arial" w:cs="Arial" w:eastAsia="Arial" w:hAnsi="Arial"/>
          <w:sz w:val="17"/>
          <w:szCs w:val="17"/>
          <w:color w:val="auto"/>
        </w:rPr>
        <w:t>,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ind w:left="920" w:hanging="588"/>
        <w:spacing w:after="0"/>
        <w:tabs>
          <w:tab w:leader="none" w:pos="9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(i)General</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activities include commercial banking, investment banking and retail banking. As of December 31, 2007, the consolidated operations of BCP ranked first among Peruvian banks in terms of total assets of US$15.2 billion, total loans of US$8.0 billion, deposits of US$11.2 billion and net equity of US$1.1 billion. As of December 31, 2007, BCP’s loans, on an unconsolidated basis, represented approximately 32.6% and the deposits represented approximately 36.2% of the total Peruvian banking system, respectively.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2007, BCP had the largest branch network of any commercial bank in Peru with 273 offices, including 168 in Lima and the adjoining city of Callao. BCP operates an agency in Miami and a branch in Panama.</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and for the year ended December 31, 2007, BCP accounted for 69.8% of Credicorp’s total revenues, 82.9% of total assets, 103.0% of net income and 65.4% of net equity. BCP’s operations are supervised and regulated by the SBS and the Central Bank.</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Beginning in February 2007, BCP implemented a new way to grouping its loan portfolio for business and management purposes. The new grouping criteria changed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0" w:type="dxa"/>
            <w:vAlign w:val="bottom"/>
            <w:tcBorders>
              <w:bottom w:val="single" w:sz="8" w:color="auto"/>
            </w:tcBorders>
            <w:gridSpan w:val="3"/>
          </w:tcPr>
          <w:p>
            <w:pPr>
              <w:ind w:left="2060"/>
              <w:spacing w:after="0"/>
              <w:rPr>
                <w:sz w:val="20"/>
                <w:szCs w:val="20"/>
                <w:color w:val="auto"/>
              </w:rPr>
            </w:pPr>
            <w:r>
              <w:rPr>
                <w:rFonts w:ascii="Arial" w:cs="Arial" w:eastAsia="Arial" w:hAnsi="Arial"/>
                <w:sz w:val="18"/>
                <w:szCs w:val="18"/>
                <w:b w:val="1"/>
                <w:bCs w:val="1"/>
                <w:color w:val="auto"/>
              </w:rPr>
              <w:t>Before</w:t>
            </w:r>
          </w:p>
        </w:tc>
        <w:tc>
          <w:tcPr>
            <w:tcW w:w="1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After</w:t>
            </w:r>
          </w:p>
        </w:tc>
      </w:tr>
      <w:tr>
        <w:trPr>
          <w:trHeight w:val="230"/>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1840" w:type="dxa"/>
            <w:vAlign w:val="bottom"/>
          </w:tcPr>
          <w:p>
            <w:pPr>
              <w:jc w:val="center"/>
              <w:ind w:right="170"/>
              <w:spacing w:after="0"/>
              <w:rPr>
                <w:sz w:val="20"/>
                <w:szCs w:val="20"/>
                <w:color w:val="auto"/>
              </w:rPr>
            </w:pPr>
            <w:r>
              <w:rPr>
                <w:rFonts w:ascii="Arial" w:cs="Arial" w:eastAsia="Arial" w:hAnsi="Arial"/>
                <w:sz w:val="18"/>
                <w:szCs w:val="18"/>
                <w:color w:val="auto"/>
                <w:w w:val="91"/>
              </w:rPr>
              <w:t>Group</w:t>
            </w:r>
          </w:p>
        </w:tc>
        <w:tc>
          <w:tcPr>
            <w:tcW w:w="30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Group</w:t>
            </w:r>
          </w:p>
        </w:tc>
      </w:tr>
      <w:tr>
        <w:trPr>
          <w:trHeight w:val="222"/>
        </w:trPr>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Up to 0.3</w:t>
            </w: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0"/>
              </w:rPr>
              <w:t>Micro-business</w:t>
            </w:r>
          </w:p>
        </w:tc>
        <w:tc>
          <w:tcPr>
            <w:tcW w:w="300" w:type="dxa"/>
            <w:vAlign w:val="bottom"/>
          </w:tcPr>
          <w:p>
            <w:pPr>
              <w:spacing w:after="0"/>
              <w:rPr>
                <w:sz w:val="19"/>
                <w:szCs w:val="19"/>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Up to 0.3</w:t>
            </w: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Micro-business</w:t>
            </w:r>
          </w:p>
        </w:tc>
      </w:tr>
      <w:tr>
        <w:trPr>
          <w:trHeight w:val="230"/>
        </w:trPr>
        <w:tc>
          <w:tcPr>
            <w:tcW w:w="2820" w:type="dxa"/>
            <w:vAlign w:val="bottom"/>
            <w:gridSpan w:val="4"/>
          </w:tcPr>
          <w:p>
            <w:pPr>
              <w:spacing w:after="0"/>
              <w:rPr>
                <w:sz w:val="20"/>
                <w:szCs w:val="20"/>
                <w:color w:val="auto"/>
              </w:rPr>
            </w:pPr>
            <w:r>
              <w:rPr>
                <w:rFonts w:ascii="Arial" w:cs="Arial" w:eastAsia="Arial" w:hAnsi="Arial"/>
                <w:sz w:val="18"/>
                <w:szCs w:val="18"/>
                <w:color w:val="auto"/>
              </w:rPr>
              <w:t>From 0.3 to 1</w:t>
            </w:r>
          </w:p>
        </w:tc>
        <w:tc>
          <w:tcPr>
            <w:tcW w:w="1840" w:type="dxa"/>
            <w:vAlign w:val="bottom"/>
          </w:tcPr>
          <w:p>
            <w:pPr>
              <w:jc w:val="center"/>
              <w:ind w:right="170"/>
              <w:spacing w:after="0"/>
              <w:rPr>
                <w:sz w:val="20"/>
                <w:szCs w:val="20"/>
                <w:color w:val="auto"/>
              </w:rPr>
            </w:pPr>
            <w:r>
              <w:rPr>
                <w:rFonts w:ascii="Arial" w:cs="Arial" w:eastAsia="Arial" w:hAnsi="Arial"/>
                <w:sz w:val="18"/>
                <w:szCs w:val="18"/>
                <w:color w:val="auto"/>
                <w:w w:val="89"/>
              </w:rPr>
              <w:t>Small Business</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From 0.3 to 1.5</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Small Business</w:t>
            </w:r>
          </w:p>
        </w:tc>
      </w:tr>
      <w:tr>
        <w:trPr>
          <w:trHeight w:val="243"/>
        </w:trPr>
        <w:tc>
          <w:tcPr>
            <w:tcW w:w="2820" w:type="dxa"/>
            <w:vAlign w:val="bottom"/>
            <w:gridSpan w:val="4"/>
          </w:tcPr>
          <w:p>
            <w:pPr>
              <w:spacing w:after="0"/>
              <w:rPr>
                <w:sz w:val="20"/>
                <w:szCs w:val="20"/>
                <w:color w:val="auto"/>
              </w:rPr>
            </w:pPr>
            <w:r>
              <w:rPr>
                <w:rFonts w:ascii="Arial" w:cs="Arial" w:eastAsia="Arial" w:hAnsi="Arial"/>
                <w:sz w:val="18"/>
                <w:szCs w:val="18"/>
                <w:color w:val="auto"/>
              </w:rPr>
              <w:t>From 1 to 15</w:t>
            </w:r>
          </w:p>
        </w:tc>
        <w:tc>
          <w:tcPr>
            <w:tcW w:w="1840" w:type="dxa"/>
            <w:vAlign w:val="bottom"/>
          </w:tcPr>
          <w:p>
            <w:pPr>
              <w:jc w:val="center"/>
              <w:ind w:right="170"/>
              <w:spacing w:after="0"/>
              <w:rPr>
                <w:sz w:val="20"/>
                <w:szCs w:val="20"/>
                <w:color w:val="auto"/>
              </w:rPr>
            </w:pPr>
            <w:r>
              <w:rPr>
                <w:rFonts w:ascii="Arial" w:cs="Arial" w:eastAsia="Arial" w:hAnsi="Arial"/>
                <w:sz w:val="18"/>
                <w:szCs w:val="18"/>
                <w:color w:val="auto"/>
                <w:w w:val="93"/>
              </w:rPr>
              <w:t>Middle market</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From 1.5 to 30</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Middle market</w:t>
            </w:r>
          </w:p>
        </w:tc>
      </w:tr>
      <w:tr>
        <w:trPr>
          <w:trHeight w:val="243"/>
        </w:trPr>
        <w:tc>
          <w:tcPr>
            <w:tcW w:w="2820" w:type="dxa"/>
            <w:vAlign w:val="bottom"/>
            <w:gridSpan w:val="4"/>
          </w:tcPr>
          <w:p>
            <w:pPr>
              <w:spacing w:after="0"/>
              <w:rPr>
                <w:sz w:val="20"/>
                <w:szCs w:val="20"/>
                <w:color w:val="auto"/>
              </w:rPr>
            </w:pPr>
            <w:r>
              <w:rPr>
                <w:rFonts w:ascii="Arial" w:cs="Arial" w:eastAsia="Arial" w:hAnsi="Arial"/>
                <w:sz w:val="18"/>
                <w:szCs w:val="18"/>
                <w:color w:val="auto"/>
              </w:rPr>
              <w:t>Higher than 15</w:t>
            </w:r>
          </w:p>
        </w:tc>
        <w:tc>
          <w:tcPr>
            <w:tcW w:w="1840" w:type="dxa"/>
            <w:vAlign w:val="bottom"/>
          </w:tcPr>
          <w:p>
            <w:pPr>
              <w:jc w:val="center"/>
              <w:ind w:right="190"/>
              <w:spacing w:after="0"/>
              <w:rPr>
                <w:sz w:val="20"/>
                <w:szCs w:val="20"/>
                <w:color w:val="auto"/>
              </w:rPr>
            </w:pPr>
            <w:r>
              <w:rPr>
                <w:rFonts w:ascii="Arial" w:cs="Arial" w:eastAsia="Arial" w:hAnsi="Arial"/>
                <w:sz w:val="18"/>
                <w:szCs w:val="18"/>
                <w:color w:val="auto"/>
                <w:w w:val="89"/>
              </w:rPr>
              <w:t>Corporate</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Higher than 30</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Corporate</w:t>
            </w:r>
          </w:p>
        </w:tc>
      </w:tr>
    </w:tbl>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grouping was a result of an analysis, which addressed factors beyond the simple size and volume of activity for each client, and looked also at clients’ affiliation with other companies or groups, the degree of follow-up required, their credit ratings, etc. As a result of this process, US$75 million of the loan portfolio of the SME group (Retail) was transferred to the Middle Market group (Wholesale).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one subsidiary in Bolivia and an affiliate bank, Atlantic Security Bank, in the Cayman Islands.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2007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jc w:val="both"/>
        <w:ind w:left="1300" w:hanging="320"/>
        <w:spacing w:after="0" w:line="255"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Banco de Crédito de Bolivia is BCP’s commercial bank in Bolivia. BCP owns 96% of BCB and Credicorp holds the remaining interest. BCB initiated operations under the BCP umbrella in February 1994. In July 1998, BCB absorbed Banco de la Paz’s operations for US$140 million, making BCB the fourth largest bank in Bolivia. In May 1999, BCB acquired the portfolio of Banco Boliviano Americano for US$116 million and became Bolivia’s second largest bank. Currently, BCB is the fourth largest bank in Bolivia in terms of market share and has a network of 61 offices located throughout Bolivia. BCB owns one of Bolivia’s largest brokerage houses, Credibolsa S.A. Agente de Bolsa. BCP targets middle- and small-sized clients and offers a broad range of corporate, personal banking and leasing products. BCB’s results are consolidated in BCP’s financial statements.</w:t>
      </w:r>
    </w:p>
    <w:p>
      <w:pPr>
        <w:spacing w:after="0" w:line="24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Credibolsa Sociedad Agente de Bolsa (“Credibolsa”) was established in June 1991 and is fully owned by BCP. It is engaged in portfolio advisory and brokerage activities in the Lima Stock Exchange. Credibolsa is 100% owned by BCP.</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Credileasing offers a large variety of financial leasing products. Credileasing was established in July 1996 and is 100% owned by BCP</w:t>
      </w:r>
    </w:p>
    <w:p>
      <w:pPr>
        <w:spacing w:after="0" w:line="344"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Credifondo Sociedad Administradora de Fondos Mutuos (“Credifondo”) is a mutual fund management company, established in 1994. Credifondo is 100% owned by BCP.</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Creditítulos (“Creditítulos”) was established in 1997 and is 100% owned by BCP. The company serves as an asset securitization entity.</w:t>
      </w:r>
    </w:p>
    <w:p>
      <w:pPr>
        <w:spacing w:after="0" w:line="356"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This subsidiary was created to manage and promote the sale of real estate that had been foreclosed or received in payment by BCP. Inmobiliaria BCP is 100% owned by BCP.</w:t>
      </w:r>
    </w:p>
    <w:p>
      <w:pPr>
        <w:spacing w:after="0" w:line="260" w:lineRule="exact"/>
        <w:rPr>
          <w:rFonts w:ascii="Arial" w:cs="Arial" w:eastAsia="Arial" w:hAnsi="Arial"/>
          <w:sz w:val="18"/>
          <w:szCs w:val="18"/>
          <w:color w:val="auto"/>
        </w:rPr>
      </w:pPr>
    </w:p>
    <w:p>
      <w:pPr>
        <w:ind w:left="1420" w:hanging="764"/>
        <w:spacing w:after="0"/>
        <w:tabs>
          <w:tab w:leader="none" w:pos="1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has traditionally represented the majority of BCP’s loans.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Wholesale Banking Group competes with local and foreign banks. BCP’s traditional relationships provide the Wholesale Banking Group with a competitive advantage.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2007, the Wholesale Banking Group kept the positive trend in loan placements which started in prior years, posting average portfolio levels of US$3,973 million in 2007, 33.5% higher than in 2006. This result was achieved despite BCP’s already large market share, the aggressive competition, and the financial disintermediation caused by the rapid development of the local capital markets. BCP has the largest capital base among Peruvian banks, which provides it with more resources to meet the financing needs of its corporate clients. Since Peruvian companies were not able to access international sources of credit until the mid-1990s,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is divided into the following areas:</w:t>
      </w:r>
    </w:p>
    <w:p>
      <w:pPr>
        <w:spacing w:after="0" w:line="279" w:lineRule="exact"/>
        <w:rPr>
          <w:sz w:val="20"/>
          <w:szCs w:val="20"/>
          <w:color w:val="auto"/>
        </w:rPr>
      </w:pPr>
    </w:p>
    <w:p>
      <w:pPr>
        <w:jc w:val="center"/>
        <w:ind w:left="5620" w:right="860" w:hanging="4964"/>
        <w:spacing w:after="0" w:line="622" w:lineRule="auto"/>
        <w:tabs>
          <w:tab w:leader="none" w:pos="11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US$30 million;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Trade Finance, which manages BCP’s relationship with financial institutions abroad;</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Institutional Banking, which focuses principally on serving non-profit organizations, state-owned companies and other major institutions; and</w:t>
      </w:r>
    </w:p>
    <w:p>
      <w:pPr>
        <w:spacing w:after="0" w:line="356" w:lineRule="exact"/>
        <w:rPr>
          <w:rFonts w:ascii="Arial" w:cs="Arial" w:eastAsia="Arial" w:hAnsi="Arial"/>
          <w:sz w:val="16"/>
          <w:szCs w:val="16"/>
          <w:color w:val="auto"/>
        </w:rPr>
      </w:pPr>
    </w:p>
    <w:p>
      <w:pPr>
        <w:ind w:left="1140" w:hanging="48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income from the wholesale banking sector reached US$152 million, a growth which resulted from the increase in business volume and compensated for the reduction in lending rates. Income from financial services accounted for 31% of the total income generated by the wholesale banking sector. At the same time, the retail group, undergoing reorganization, still accounts for the bulk of loan placements, with 36% of the wholesale banking sector in this area.</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state-controlled corporations are served by BCP’s Wholesale Banking Group, mostly in connection with international trade finance, BCP does not regularly extend loans directly to the Peruvian government or to regional or municipal governments.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According to BCP’s internal reports, loans provided by the Corporate Banking Area represent 37% of BCP’s total loans granted in 2007. Despite the relatively small growth of this group (due to the growing array of financing alternatives offered by the capital markets), corporate banking loans grew for the fourth consecutive year and reached an average portfolio balance of US$2,401 million, which represents a 33% increase compared to 2006. The composition of these loans was approximately 70% foreign currency-denominated (primarily U.S. Dollar-denominated) and 30% Nuevo Sol-denominated. As in the middle market banking sector, the corporate banking group has faced a very aggressive competitive environment in terms of rates, which translated into a reduction in the lending spreads. On the deposit side, corporate deposits kept growing, accounting for approximately 27% of BCP’s total deposits.</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Client Profile: The Corporate Banking Area is focused on serving large-sized companies with annual turnover of over US$30 million, with audited financial statements and with dominant market positions given their particular products or brands. BCP may classify other firms under this category even if they do not meet the above criteria if they belong to very large economic groups from industries that are important to the country’s economy.</w:t>
      </w:r>
    </w:p>
    <w:p>
      <w:pPr>
        <w:spacing w:after="0" w:line="20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Products: The Corporate Banking Area offers a broad range of products and tailors its product offerings to meet the unique requirements of each client. In general, this Area is oriented to offering high-value-added products and services, particularly cash management services, at competitive prices.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majority of financing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Guarantees received by this Area consist of receivables in the case of sales financing, warrants or pledges on inventory, in the case of inventory financing, and real guarantees, in the case of financing for fixed asset acquisitions and improvements to their infrastructure.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 in loans.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Middle Market Banking Area generally serves the same industries and offers the same products as the Corporate Banking Area. Its focus, however, is on providing its customers with working capital loans, primarily secured by accounts receivables. This is accomplished by arranging financing for medium- and long-term investment programs, including leasing services offered through Credileasing. BCP has a middle market client portfolio of approximately 4,200 companies.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annual average loan portfolio of the Middle Market Banking Area of BCP reached US$1.5 billion in 2007, 34.2% higher than the average US$1.2 billion in 2006 (US$963 million in 2005), despite the enforcement of stringent credit quality requirements. BCP expects that this sector will grow and increase its relative importance as the Peruvian economy grows.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 expects significant opportunities in lending to middle market businesses, particularly in Peru’s agriculture, fishing and construction industries, where special emphasis has been placed and specific task Areas have been created to attend to the needs of these economic groups.</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Peru’s mining, technology and energy sectors. In addition to its regular sources of funds, BCP is an intermediary of Corporación Financiera de Desarrollo (Development Finance Corporation or “COFIDE,” a second-floor bank fully owned by the State of Peru) and such international financial institutions as Corporación Andina de Fomento (Andean Development Corporation or “CAF”), the International Finance Corporation (“IFC”) and the Inter-American Development Bank, in several medium-term credit lines for project financings in certain sectors.</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margins in the Middle Market Banking Area continue to be attractive. Because of their size, middle market companies in Peru generally do not have access to the local or international capital markets or to credit from foreign banks. In addition, BCP believes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Middle Market Banking Area focuses on organizations with annual revenue levels between US$1.5 million to US$30 million, through seven regional managers nationwide.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7"/>
          <w:szCs w:val="17"/>
          <w:color w:val="auto"/>
        </w:rPr>
        <w:t>The products offered to middle market clients resemble those offered to corporate banking clients. The three major types of products are:</w:t>
      </w:r>
    </w:p>
    <w:p>
      <w:pPr>
        <w:spacing w:after="0" w:line="291"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Middle Market Banking Area requires that all facilities granted to middle market clients be guaranteed by the main shareholders and their respective spouses. In addition, these clients are usually required to grant real guarantees of assets unrelated to the business, such as real estate owned by the shareholders.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Institutional Banking Area was moved from the Retail Banking Group to the Wholesale Banking Group in 2004, since most of its clients have a significant volume. This Area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Specialized teams in both the Wholesale Banking and Retail Banking Groups serve these clients.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Institutional Banking Area is strategically important due to the business potential of its clients, which demand diverse products and services, and the opportunities its clients present for generating income from fees and cross-selling opportunities. The Institutional Banking Area’s clients are principally users of transactional products and require consultancy for investment management. BCP’s strategy in this Area is focused on building customer loyalty by offering customized services at relatively competitive rates and provides outstanding service quality. The institutional banking clients mainly require remote office banking, collections and automated payroll payment services.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Trade Finance</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International Trade Finance Area is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the International Trade Finance Area earns fees by providing customers with letters of credit and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maintains business relations with over 1,200 correspondent banks, development organizations, multilateral financial organizations, and Export Credit Agencies in countries around the world. At present, BCP manages credit lines for foreign trade transactions, working capital and medium- and long-term investment projects. The current international markets volatility in additional to the dedollarization process in Peru have deteriorated BCP’s liquidity position in U.S. Dollars; BCP has been frequently borrowing short-term funds in the international markets, and participating in securitization programs for medium- and long-term funding. Meanwhile, in November 2007, we have started a process to raise US$300 million through an international syndicated loan.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jc w:val="both"/>
        <w:ind w:firstLine="648"/>
        <w:spacing w:after="0" w:line="277" w:lineRule="auto"/>
        <w:rPr>
          <w:sz w:val="20"/>
          <w:szCs w:val="20"/>
          <w:color w:val="auto"/>
        </w:rPr>
      </w:pPr>
      <w:r>
        <w:rPr>
          <w:rFonts w:ascii="Arial" w:cs="Arial" w:eastAsia="Arial" w:hAnsi="Arial"/>
          <w:sz w:val="18"/>
          <w:szCs w:val="18"/>
          <w:color w:val="auto"/>
        </w:rPr>
        <w:t>BCP has been active in lending to Ecuadorian corporations where approximately US$15-25 million was placed in 2007. These loans were granted to companies enjoying the soundest creditworthiness ratings, and in strict compliance with country risk guidelines.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the Peruvian Central Bank, in 2007, Peruvian exports increased 15.3% to US$27.4 billion from US$23.8 billion in 2006, principally due to increased exports of commodities (copper, zinc and oil) and of manufactured goods (agribusiness and textiles). During the same year and based on BCP’s internal report, BCP’s exports volume increased 21.3% to US$10.8 billion from US$8.9 billion in 2006, amounting to 41.3% of total Peruvian exports. Total Peruvian imports were US$20.5 billion in 2007, increasing 33.7% from US$15.4 billion in 2006, principally due to higher demand for capital goods (industry, construction and transportation), raw materials for industry and consumer goods. BCP’s import letters of credit, collections and transfers amounted to US$4.3 billion in 2007, increasing from US$2.9 billion in 2006.</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and has access to a wide network of foreign correspondent banks to offer several internationally competitive products to its customers.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During 2006, BCP’s significant surplus of liquidity allowed it to maintain a very low use of foreign lines of credit, but during 2007 BCP made extensive use of these credit lines.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2006, BCP introduced to the market a new product that supports exporters whose sales to other countries are conducted with no bills of credit or document collection. By introducing Factoring Internacional, BCP created an affiliation with Factor Chain International (FCI), the world’s largest chain in these types of products. BCP can presently acquire export invoices and relieve the exporters’ working capital needs. During 2007 the total turnover of invoices has increased by 657% and reached US$62.4 million, compared to US$9.5 million in 2006.</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Group in the first quarter of 1996 in order to enhance its effectiveness as the demands of Peru’s larger corporations move away from loan-based operations toward capital markets-based operations. This Area focuses on the capital markets, primarily debt and equity issues, project financing, corporate financing, financial restructurings and mergers and acquisitions.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upon BCP’s internal records, BCP’s share of the market for structuring fixed-income instruments was 24.82%. Private debt placements, are increased again from US$1.6 billion in 2007. Among its main operations in 2007, of particular importance was the structuring of the private share offering of Maple Energy for US$55 million. Additionally, BCP completed a structured financing of Pesquera Hayduk for US$113 million. BCP also structured financing of Compañía Eléctrica El Platanal for US$120 million in 2007. BCP has issued US$30 million bonds of Inmuebles Panamericana bonds, the first long-term debt issuance of an AA-rated issuer from the retail industry in 15 years. Finally, it has successfully consulted on and structured a mid-term financing for Inversiones Andino of S/.88 million, to buy Cemento Andino’s stocks in a public auction.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Additionally, the Corporate Finance Area structures short-term instruments, primarily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Leasing</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Leasing offers and manages financial leasing operations. It also carries out medium-term operations, principally for small and medium-sized companies. BCP is the leader with a market share of 35% of total leasing.</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estimates that BCP’s lease finance business is currently the largest in Peru with a market share of 35% as of December 31, 2007. The principal means of financing for Credileasing is through the issuance of specific leasing bonds and mid-term loans granted by BCP. The total amount of outstanding leasing bonds reached S/.251.8 million (US$84.0 million) as of December 31, 2007. According to SBS, Credileasing’s market share among specialized leasing companies was 59.7% as of December 31, 2007.</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leasing business grew by 64.1% during 2007. BCP’s leasing loan balances shows a 107% growth in 2007 as a consequence of tax rule stabilization applicable to leasing operations and the growth of the Peruvian economy which is evolving favorably.</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Growth during 2007 was driven by business loans in sectors requiring investment in mining, transportation services to mining companies, energy generation and manufacturing companies. Loan demand also increased in the telecommunications sector.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institutional clients. More than 30 product groups are offered, aiming at strengthening ties with clients, assuring their loyalty and reciprocity in the business carried out with BCP, as well as reducing costs using electronic channels and increasing fee income.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Services managed by the Business Services Area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2007, transactional services continued to contribute to BCP’s earnings. The monthly average number of current accounts increased by 12.1% and fee revenues increased by 10.23 % compared to those of 2006. This improvement is mainly the result of the dynamism experienced in SME (small business) sector. Collection services, such as bills and companies’ collections, generated commissions that increased 5.5% and 22.5%, respectively, over the 2006 collections. BCP’s strategic decision to offer value to its clients through the implementation of more efficient mechanism of information related to these services, explained part of this improvement. On the other hand, the higher demand by clients for the remote banking service, “Telecredito,” generated 17.1% more transactions than were in 2006. Other commissions generated by remittances abroad grew 7.9% from those generated in 2006. Likewise, the transaction volume generated by Electronic Factoring increased 31% in 2007. Finally, the electronic service for invoice financing, recently introduced in the market, grew by 151% in volume with respect to that of 2006.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ind w:left="1460" w:hanging="804"/>
        <w:spacing w:after="0"/>
        <w:tabs>
          <w:tab w:leader="none" w:pos="1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BCP’s internal reports, retail banking-related loans accounted for approximately 38% of BCP’s total loans in 2007 compared to 37% in 2006, 36% in 2005, 33% in 2004 and 28% in 2003.</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After several years of declining loan volumes of BCP’s retail Groups, volumes grew in 2002, particularly in loans to small businesses and home mortgages, but decreased again in 2003, and had a modest 4.4% increase in 2004, according to BCP’s internal records. Between 2005 and 2006, loan volumes totaled US$1,962 million, a significant growth of 30%. Furthermore, home mortgages, consumer loans and small-business loans have showed an outstanding growth during 2007; home mortgages grew approximately 31% to US$1,135 million, consumer lending, which includes credit cards and consumer installment loans, grew 72% to US$806 million, while micro-business loans grew 48% to US$436 million.</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segmentation of its retail client base, BCP is able to focus on the cross-selling of products and on improving per-client profitability. BCP’s management expects the retail banking business to be one of the principal growth areas for BCP’s lending activities.</w:t>
      </w:r>
    </w:p>
    <w:p>
      <w:pPr>
        <w:spacing w:after="0" w:line="2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BCP’s retail banking serves individuals and small-sized companies with annual sales levels of up to US$1.5 million. BCP’s objective is to establish profitable long-term relationships with this broad client base, using segmentation strategies that satisfy the specific needs of each client type. BCP’s retail strategy changed since the beginning of 2007, when BCP started using the branch network as the center for all transactional and commercial activities. BCP now has a Commercial Division, in charge of all direct sales forces and the branches, which in turn are organized on a geographic level. Each branch is responsible for servicing and selling products to three customers groups: Exclusive Banking, Small Business Banking and Consumer Banking. In addition, each branch is responsible for coordinating the different channels offered within the branch, such as Customer Service Representatives and Tellers. The Marketing Division is responsible for product, channel and segment management.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Banking</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Exclusive Banking is BCP’s upscale retail banking area, which manages a select number of individual customers who are key to BCP because of the high volume of loan and deposit business and their attractive profitability.</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Exclusive Banking customers are serviced through specialized accounts managers in charge of a small number of high-income clients with a good credit record and at least US$10,000 in loans or US$20,000 in deposits. The account manager is responsible for improving per-client profitability and achieving long-term relationships with customers through personalized service, cross sell and share of wallet strategies. Account managers are also responsible for new customer acquisition, in particular through mortgage loans. The Exclusive Banking segment is very profitable and responsible for approximately 40% of retail baking’s deposit and loan volume with approximately 80,000 customers. BCP provides a preferential service to the exclusive banking segment by offering both traditional and innovative products to its clients, including privileged service in the branches at the teller window, access to a specialized account manager, expert phone banking, and preferential interest rates on loans. The higher end of this segment also has access to investment advisors who prepare customized investment plans consisting of capital market products and mutual funds.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i w:val="1"/>
          <w:iCs w:val="1"/>
          <w:color w:val="auto"/>
        </w:rPr>
        <w:t>Small Business Banking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2004, following the merger with Financiera Solución, this area experienced some adjustment: </w:t>
      </w:r>
      <w:r>
        <w:rPr>
          <w:rFonts w:ascii="Arial" w:cs="Arial" w:eastAsia="Arial" w:hAnsi="Arial"/>
          <w:sz w:val="18"/>
          <w:szCs w:val="18"/>
          <w:i w:val="1"/>
          <w:iCs w:val="1"/>
          <w:color w:val="auto"/>
        </w:rPr>
        <w:t>i.e.</w:t>
      </w:r>
      <w:r>
        <w:rPr>
          <w:rFonts w:ascii="Arial" w:cs="Arial" w:eastAsia="Arial" w:hAnsi="Arial"/>
          <w:sz w:val="18"/>
          <w:szCs w:val="18"/>
          <w:color w:val="auto"/>
        </w:rPr>
        <w:t>, the portfolio was divided such that larger clients, still defined as Mid Size Business Banking, and the smaller clients, which were incorporated by the incoming Solución portfolio and are currently part of the Small Business Banking.</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BCP’s Small Business segment now accounts for 180,000 clients. Customers are divided into three groups with different business models and different services and products. The first group is the mid size business banking, which serves approximately 9,000 clients, with annual sales between US$300,000 and US$1.5 million. The next group of 60,000 clients, with annual sales between US$10,000 and US$300,000, is the small business banking segment and the third group, with a little over US$100,000 in sales, is the very small business customers.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products, such as revolving credit line repaid in installments, BCP also helps the development of the small and micro (SME lending) business segments, individuals who primarily derive their income from small, family-run businesses in two fronts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loans to small businesses as of December 31, 2007 amounted to US$436 million, representing another year of consecutive growth.</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Small Business Banking loan portfolio grew, at year end, from US$240 million in 2005 to US$356 million in 2006 and to US$597 million in 2007 (regardless of contingent facilities). In terms of deposits, this group increased deposits from US$350 million in 2005 to US$415 million in 2006 and to US$592 million in 2007.</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Consumer Banking is in charge of developing strategies for the retail customers not included in Exclusive Banking or Small Business Banking, approximately 2 million medium to low income individuals. Nonetheless, the center of attention is on customers who receive their payroll in BCP. BCP is especially interested in this group of customers who represent more than 700,000 clients. The strategies applied vary from basic acquisition of new accounts for wage-earners with special terms regarding fees and interest rates, to more sophisticated, aggressive cross sell and retention programs expanding benefits to non-banking products (</w:t>
      </w:r>
      <w:r>
        <w:rPr>
          <w:rFonts w:ascii="Arial" w:cs="Arial" w:eastAsia="Arial" w:hAnsi="Arial"/>
          <w:sz w:val="18"/>
          <w:szCs w:val="18"/>
          <w:i w:val="1"/>
          <w:iCs w:val="1"/>
          <w:color w:val="auto"/>
        </w:rPr>
        <w:t>i.e.,</w:t>
      </w:r>
      <w:r>
        <w:rPr>
          <w:rFonts w:ascii="Arial" w:cs="Arial" w:eastAsia="Arial" w:hAnsi="Arial"/>
          <w:sz w:val="18"/>
          <w:szCs w:val="18"/>
          <w:color w:val="auto"/>
        </w:rPr>
        <w:t xml:space="preserve"> access to discounted products). BCP has continued excelling in expanding its debit card as a form of payment, maintaining a 60% market share in withdrawals and payments with debit cards and a year-to-year increase of 242,000 active cards, achieving more than 2.2 million active cards by the end of 2007.</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2007, BCP was the largest mortgage lender in Peru with a market share of 39.7% of total mortgage loans in the Peruvian banking system. This was, to a large extent, the result of extensive marketing campaigns and improvements in the quality of procedures for extending credit and establishing guarantees.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BCP expects mortgage lending business to continue to grow given the low levels of penetration in the financial market, the increasing demand for housing, the availability of funds for the Peruvian government’s MiVivienda low-income housing program, and the current economic outlook for controlled inflation and economic growth in Peru. BCP believes that it has become the largest issuer of MiVivienda credits, increasing its market share of outstanding loans from 6% in 2002 to 28% in 2005, according to Asociación de Bancos del Perú (“ASBANC”).</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had US$1,125 million of outstanding mortgage loans as of December 31, 2007 compared to US$859 million for year-end 2006.</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on the value of the house to be purchased of up to US$35,000. BCP will finance up to 90% of the appraised value of a property where monthly mortgage payments do not exceed 30% of the client’s stable net income. The maximum maturity of the mortgage loans BCP offers is 25 years in U.S. Dollars and 20 years in local currency. Within the mortgage lending business, BCP offers variable, fixed and Libor-based interest rates on home mortgage loans denominated in both U.S. Dollars and Nuevos Soles; however, BCP’s mortgage portfolio is predominantly variable rate and U.S. Dollar-denominated.</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2006, the original MiVivienda program was terminated. However, local banks, with government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BCP expects the strong demand for these products to continue. In addition to interest income, BCP derives fee income from customer application and maintenance, retailer transactions, merchant processing and finance and penalty charges on credit cards.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economic growth has had a huge impact on the consumer credit market, which grew by 34% during 2007. The outstanding balance is US$4,979,000, US$2,060,000 for credit card and US$2,919,000 in installments loans. BCP’s market share increased during 2007 from 16.9% to 18.8% for credit cards and from 12.9% to 16.3% for installment loans. The 59% growth in consumer lending was achieved while maintaining a low 2% ratio of delinquent accounts (over 30 days).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Installment loans had an unprecedented expansion reaching US$70 million in outstanding balances, an 80% increase from 2006. These results are due in part to a strategic change designed to broaden our customer base. For the first time, 50% of new loans came from customers with a monthly gross income of less than US$400.</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credit card business, another area of consumer loans, BCP continued to apply segmented strategies. BCP continues to offer value to its high end customers through partnerships with the airline LAN and with Primax, a chain of gas stations. These programs, coupled with our own Travel Program, enabled us to reach record levels, both in point generation and point usage (exchanges). To catch the attention of the lower income segment, BCP worked on streamlining its risk assessment and card delivery process. In addition, we have been continuously improving monitoring and optimizing scoring models, including, among others, behavior, payments and income forecasting. With these actions, BCP has achieved a growth of 38%, or a US$32 million increase, in outstanding balances over the previous year, reaching a total balance of US$387 million. According to BCP’s internal records, the numbers of active credit cards have increased from 296,000 in 2005 to 325,000 in 2006 to 387,000 in 2007. Total purchases increased from US$592 million in 2006 to US$868 million in 2007.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jc w:val="both"/>
        <w:ind w:firstLine="648"/>
        <w:spacing w:after="0" w:line="259" w:lineRule="auto"/>
        <w:rPr>
          <w:sz w:val="20"/>
          <w:szCs w:val="20"/>
          <w:color w:val="auto"/>
        </w:rPr>
      </w:pPr>
      <w:r>
        <w:rPr>
          <w:rFonts w:ascii="Arial" w:cs="Arial" w:eastAsia="Arial" w:hAnsi="Arial"/>
          <w:sz w:val="18"/>
          <w:szCs w:val="18"/>
          <w:color w:val="auto"/>
        </w:rPr>
        <w:t>In 1997, VISANET was established in Peru to acquire and process transactions involving credit and debit card transactions and to widen their acceptance, with the participation of major local banks and Visa International. BCP is the largest shareholder of VISANET, holding approximately 36% of its total shares. Based upon BCP’s internal data, the number of electronic payment terminals was approximately 41,000 in 2007 compared to 28,000 in 2006, 18,000 in 2005 and 15,741 in 2004.</w:t>
      </w:r>
    </w:p>
    <w:p>
      <w:pPr>
        <w:spacing w:after="0" w:line="277" w:lineRule="exact"/>
        <w:rPr>
          <w:sz w:val="20"/>
          <w:szCs w:val="20"/>
          <w:color w:val="auto"/>
        </w:rPr>
      </w:pPr>
    </w:p>
    <w:p>
      <w:pPr>
        <w:ind w:left="1460" w:hanging="804"/>
        <w:spacing w:after="0"/>
        <w:tabs>
          <w:tab w:leader="none" w:pos="1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 Group</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treasury, custody and trust, investment advisory services, and general research activities.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products offered are distributed through BCP’s subsidiaries and branches. A close relationship and coordination with subsidiaries has established BCP as the market leader in the capital markets business.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Credibolsa is BCP’s brokerage subsidiary through which BCP offers a wide variety of variable and fixed income products and services. Activities include the structuring and placement of primary market issues and the execution and trading of secondary market transactions.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include short/long term, US dollar and local currency, fixed/variable income and real estate funds.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subsidiary, Credibolsa, is the leading brokerage house on the Lima Stock Exchange. According to data from the Lima Stock Exchange, during 2007, Credibolsa had a total trading volume of US$4.8 billion, increasing from US$2.96 billion in 2006. Credibolsa had 19.1% of the total trading volume in variable equity instruments on the Lima Stock Exchange and 35.9% of the volume in trading of fixed income instruments on the Exchange in 2007, compared to 18.93% and 67.4% in 2006, respectively. Credibolsa’s trading volume was generated by domestic customers, both retail and institutional, and by foreign institutional clients as well as by Credicorp’s proprietary trading.</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BCP’s management believes that, despite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has been one of the principal agents in the equity offerings of privatized companies in Peru.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Peru’s Central Bank and in financings through certificates of deposit, inter-bank transactions and guaranteed negotiable notes, among other instruments. According to BCP’s internal reports, its foreign exchange transaction volume was US$17.7 billion in the forward market and US$49.4 billion in the spot market in 2007, achieving a market share in the foreign exchange trading services of approximately 34% in the forward market and 30% in the spot market.</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1994, BCP created Credifondo S.A., Sociedad Administradora de Fondos Mutuos de Inversión en Valores (Credifondo) to establish, provide advice to and operate mutual funds in Peru. In 2006, it continued to be the largest mutual fund manager in Peru with 45.1% of the market at year-end, as compared to 50.9% in 2004, based upon data from the Comisión Nacional Supervisora de Empresas y Valores (“CONASEV”), the Peruvian securities market authority. As of December 31, 2007, total Peruvian funds in the mutual funds system amounted to US$4.3 billion, increasing 65.4% from US$2.6 billion in 2006.</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CONASEV, as of December 31, 2007, Credifondo managed eight separate funds, with a total of 114,340 participants (41.6% of total participants) compared to 81,774 (58.8% of total participants) in 2006. Among the securities in which the different funds specialize are: equities, U.S. Dollar-denominated bonds, Nuevo Sol-denominated bonds, U.S. Dollar-denominated short-term securities and U.S. Dollar-denominated real estate securities. As of December 31, 2007, the total amount of funds managed by Credifondo was US$1,956 million, increasing from US$1,234 million as of December 31, 2006. Such funds are subject to certain volatility, and there can be no assurance as to their future performance. Credicorp does not guarantee any return on these investments.</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of December 31, 2007, the Bolivian fund administrator managed a total of US$70.9 million of third-party funds (US$57.6 million in 2006).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Trust, Custody and Securitization Services</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BCP’s internal reports, BCP holds US$23.4 billion in securities for over 62,797 domestic and foreign clients. Custody services provided by BCP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2000, Inversiones Crédito del Perú (now Grupo Crédito), a subsidiary of Credicorp, jointly with two other Peruvian banks, formed La Fiduciaria S.A. (“Fiduciaria”), an associated entity and the first specialized trust services company in Peru, in which Credicorp holds a 45% interest. In its eighth year of existence, Fiduciaria has managed trusts for a majority of the institutions in the national financial system, putting itself at the forefront of fiduciary services in the country. Operations encompassed sectors including energy, communications, mining, tourism, fishing, education and construction. Fiduciaria ended 2007 with 200 outstanding operations (116 in 2006).</w:t>
      </w:r>
    </w:p>
    <w:p>
      <w:pPr>
        <w:spacing w:after="0" w:line="279" w:lineRule="exact"/>
        <w:rPr>
          <w:sz w:val="20"/>
          <w:szCs w:val="20"/>
          <w:color w:val="auto"/>
        </w:rPr>
      </w:pPr>
    </w:p>
    <w:p>
      <w:pPr>
        <w:ind w:left="1460" w:hanging="804"/>
        <w:spacing w:after="0"/>
        <w:tabs>
          <w:tab w:leader="none" w:pos="1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Uniform credit policies and approval and review procedures are based upon conservative criteria adopted by BCP and are uniformly applied to all of its subsidiaries. These policies are set within the guidelines established by Peruvian financial sector laws and SBS regulations. (See “—(11) Supervision and Regulation— (ii) BCP,” and the guidelines set forth by Credicorp’s Board of Directors.)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Credit risk in retail banking group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sector.</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 Normal, Potential Problem, Deficient, Doubtful and Loss.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area,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the Board of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Risk without collateral or with</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only personal collateral or</w:t>
            </w:r>
          </w:p>
        </w:tc>
        <w:tc>
          <w:tcPr>
            <w:tcW w:w="80" w:type="dxa"/>
            <w:vAlign w:val="bottom"/>
          </w:tcPr>
          <w:p>
            <w:pPr>
              <w:spacing w:after="0"/>
              <w:rPr>
                <w:sz w:val="18"/>
                <w:szCs w:val="18"/>
                <w:color w:val="auto"/>
              </w:rPr>
            </w:pPr>
          </w:p>
        </w:tc>
        <w:tc>
          <w:tcPr>
            <w:tcW w:w="2520" w:type="dxa"/>
            <w:vAlign w:val="bottom"/>
            <w:gridSpan w:val="3"/>
          </w:tcPr>
          <w:p>
            <w:pPr>
              <w:ind w:left="80"/>
              <w:spacing w:after="0"/>
              <w:rPr>
                <w:sz w:val="20"/>
                <w:szCs w:val="20"/>
                <w:color w:val="auto"/>
              </w:rPr>
            </w:pPr>
            <w:r>
              <w:rPr>
                <w:rFonts w:ascii="Arial" w:cs="Arial" w:eastAsia="Arial" w:hAnsi="Arial"/>
                <w:sz w:val="18"/>
                <w:szCs w:val="18"/>
                <w:color w:val="auto"/>
                <w:w w:val="98"/>
              </w:rPr>
              <w:t>Risk with preferred guarantees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US$thousands</w:t>
            </w: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3"/>
              </w:rPr>
              <w:t>guarantee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Board of Directors</w:t>
            </w:r>
          </w:p>
        </w:tc>
        <w:tc>
          <w:tcPr>
            <w:tcW w:w="18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1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No credit limit</w:t>
            </w:r>
          </w:p>
        </w:tc>
        <w:tc>
          <w:tcPr>
            <w:tcW w:w="8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82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No credit limit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No credit limit</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Executive Committee</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General Manager</w:t>
            </w:r>
          </w:p>
        </w:tc>
        <w:tc>
          <w:tcPr>
            <w:tcW w:w="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w:t>
            </w:r>
          </w:p>
        </w:tc>
        <w:tc>
          <w:tcPr>
            <w:tcW w:w="1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w:t>
            </w:r>
          </w:p>
        </w:tc>
        <w:tc>
          <w:tcPr>
            <w:tcW w:w="7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30,000</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Credit Group Manager</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Credit Risk Manager</w:t>
            </w:r>
          </w:p>
        </w:tc>
        <w:tc>
          <w:tcPr>
            <w:tcW w:w="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w:t>
            </w:r>
          </w:p>
        </w:tc>
        <w:tc>
          <w:tcPr>
            <w:tcW w:w="1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8,000</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Credit Risk Chiefs</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bl>
    <w:p>
      <w:pPr>
        <w:spacing w:after="0" w:line="256" w:lineRule="exact"/>
        <w:rPr>
          <w:sz w:val="20"/>
          <w:szCs w:val="20"/>
          <w:color w:val="auto"/>
        </w:rPr>
      </w:pPr>
    </w:p>
    <w:p>
      <w:pPr>
        <w:ind w:left="500" w:right="4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mortagages, non-real estate property guarantees and assets generated by leasing operations.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 hired officers are generally required to have held previous positions as loan officers.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general, BCP is a secured lender. As of December 31, 2007, approximately US$3.9 billion of the loan portfolio and contingent credits were secured by collateral which represents 50.8% of the total loan portfolio based upon BCP’s unconsolidated figures (53.1% as of December 31, 2006 and 51.3% as of December 31, 2005).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the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ind w:left="1500" w:hanging="844"/>
        <w:spacing w:after="0"/>
        <w:tabs>
          <w:tab w:leader="none" w:pos="1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amounting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these core deposits represented 97.1% of BCP’s total deposits on an unconsolidated basis. BCP’s extensive branch network facilitates access to this type of stable and low-cost source of funding. BCP’s corporate clients are also an important source of funding for BCP. As of December 31, 2007, BCP’s Wholesale Banking Group accounted for approximately 45% of total deposits, of which 41% were demand deposits, 57% time deposits, and 2% savings. Of all deposits from BCP’s Wholesale Banking Group, most (54.7%) were foreign currency-denominated (almost entirely U.S. Dollars) and the balance (45.3%) was Nuevo Sol-denominated.</w:t>
      </w:r>
    </w:p>
    <w:p>
      <w:pPr>
        <w:spacing w:after="0" w:line="279" w:lineRule="exact"/>
        <w:rPr>
          <w:sz w:val="20"/>
          <w:szCs w:val="20"/>
          <w:color w:val="auto"/>
        </w:rPr>
      </w:pPr>
    </w:p>
    <w:p>
      <w:pPr>
        <w:ind w:left="1560" w:hanging="904"/>
        <w:spacing w:after="0"/>
        <w:tabs>
          <w:tab w:leader="none" w:pos="15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banking operations are supported by BCP’s Market Risk Area, which evaluates and helps administer credit relationships, establishes credit policies and monitors credit risk. See “—(4) BCP and Subsidiaries— (vi) Lending Policies and Procedures.”</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is a technology leader in the Peruvian banking sector. BCP developed its technology platform largely using internal resources and was the second to introduce ATMs in 1986 in the Peruvian market, the first to introduce electronic banking for corporations in 1988, telephone banking in 1996, and Internet banking for the retail sector in 1999.</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believes that BCP offers a wider range of banking services through its ATM network and electronic banking facilities than any of its competitors. In 1974, BCP, in an effort to improve the data transmission among its offices connected all its offices through the Teleproceso – TP Bancario, becoming the first bank in Latin America able to approve account balances online, allowing, among others, money transfers from an account in one province of Peru to another province, immediately.</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BCP’s retail banking group services and a substantial portion of BCP’s corporate banking services are fully computerized. All of BCP’s points of service, including branches, ATMs and POS terminals, are linked to BCP’s Data Processing Center, permitting BCP to monitor and analyze service while allowing most transactions to be executed on a real-time, online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3" w:name="page44"/>
    <w:bookmarkEnd w:id="43"/>
    <w:p>
      <w:pPr>
        <w:jc w:val="both"/>
        <w:ind w:firstLine="648"/>
        <w:spacing w:after="0" w:line="302" w:lineRule="auto"/>
        <w:rPr>
          <w:sz w:val="20"/>
          <w:szCs w:val="20"/>
          <w:color w:val="auto"/>
        </w:rPr>
      </w:pPr>
      <w:r>
        <w:rPr>
          <w:rFonts w:ascii="Arial" w:cs="Arial" w:eastAsia="Arial" w:hAnsi="Arial"/>
          <w:sz w:val="16"/>
          <w:szCs w:val="16"/>
          <w:color w:val="auto"/>
        </w:rPr>
        <w:t>BCP’s technology operations and initiatives are managed by BCP’s electronic data processing and software development departments. These departments employ a total of 550 full-time employees, including employees who develop, install, maintain and operate all of BCP’s software applications, management information and security systems and install branch hardware equipment. BCP’s most critical operational data and software are stored on a mainframe computer system, access to which is controlled by a series of authorized passwords, in the frame of very strong IT security policies.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Therefore, BCP’s investments in IT have provided the computing power, storage capacity, bandwidth and other IT services to the best of their class.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Linux/Unix/Windows server systems are deployed or upgraded to host collaborative applications, call center and virtual POS systems. JAVA-based application servers have been chosen as the strategic growth platform for core business applications. Over the next three years, the replacement of BCP’s branch automation software will commence in order to use the latest proven technology available, which will improve its successful system that among other things can prioritize queues for eligible customers via a ticketing system in the branches.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Systems and Organization Group’s mission is to act as technological partner with the various businesses of BCP. It designs and manages computer and communications systems; designs and enhances processes; manages strategic projects; and provides consultancy in technological and organizational aspects.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2007, expenses on systems totaled US$78.7 million, of which US$61.9 million were recurring expenses and US$16.8 million were allocated to specific projects. Investments totaled US$35.1 million, of which US$13.8 million were for tactical projects, US$13.4 million for core processes, and US$7.9 million for subsistence projects.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2007 we started three important projects to develop new, world class systems with a view to reaching our strategic objectives. The first project is the implementation of a new computer system for our office windows that will provide BCP branches with a more modern, safer and stronger technological platform. The second project is installing a new system for the management of collections in Retail Group in order to enhance efficiency in collections by providing a model of excellence that will have positive impacts on our levels of provisioning. The third project is installing the SAP platform to efficiently manage the bank’s accounting, logistic and human resources functions. To continue with the objective of increasing lending in Retail Group, in 2007 the Loans Integrated Model (MIC) nationwide system was updated to provide an immediate response to clients about their credit card applications, and the assigned credit line, once approved. One of the main uses of this system was for the new Plaza San Miguel credit card where applications are evaluated in real time and cards are delivered instantly if approved. We extended the use of this system to consumer loans, which started in March 2008 to improve response time to the client at the contact point. Finally, in November 2007 we implemented the new system for prevention of money laundering and we provided the bank with a world class system to enforce regulations for preventing asset and money laundering. Moreover, we have made important progress in our systems to enforce the guidelines of the New Basel Capital Agreement, with results expected to manifest themselves in the next two years.</w:t>
      </w:r>
    </w:p>
    <w:p>
      <w:pPr>
        <w:spacing w:after="0" w:line="2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2007, BCP started implementing a disaster recovery system which duplicates all operational and functional systems by mirroring each of BCP’s computer systems. BCP’s disaster recovery center is located 10 miles from BCP’s main center (downtown Lima office). The ECO Program (Excellence in Operational Continuity), started building two new computer centers, one in our headquarters in La Molina, to replace the existing computer center; and another in Chorrillos, to replace the one in the main downtown Lima office. With these two updated and interconnected computer centers, the bank will simultaneously backup operations against incidents in either of them, without service interruptions. The facilities will include state of the art, highly efficient, reliable and redundant facilities using the most recent techniques and methodologies to guarantee high availability of our services at all times.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jc w:val="both"/>
        <w:ind w:firstLine="648"/>
        <w:spacing w:after="0" w:line="264" w:lineRule="auto"/>
        <w:rPr>
          <w:sz w:val="20"/>
          <w:szCs w:val="20"/>
          <w:color w:val="auto"/>
        </w:rPr>
      </w:pPr>
      <w:r>
        <w:rPr>
          <w:rFonts w:ascii="Arial" w:cs="Arial" w:eastAsia="Arial" w:hAnsi="Arial"/>
          <w:sz w:val="18"/>
          <w:szCs w:val="18"/>
          <w:color w:val="auto"/>
        </w:rPr>
        <w:t>Additionally, we have started the construction of a computer center in Trujillo in order to be able to cope with the possibility of a major incident in Lima. The computer center will continually back up information from Lima and will be capable of launching in a few minutes, if needed, allowing us to preserve the financial information of our clients even in case of a serious event.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computer center of La Molina is expected to begin operating at the end of 2008, the one in Trujillo in mid 2009 and in Chorrillos in early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order to streamline the decision making regarding technology issues in accordance with the strategic objectives of the organization, we continue to consolidate the IT Governance policy. The Systems Committee, together with the IT Systems and Organization Division, follow up on the condition of the strategic technology projects on a monthly basis. Moreover, we created an IT Governance Committee, which is led by the Deputy General Manager and includes the Finance Division Manager, the Business and Corporate Banking Division Manager, the Systems and Organization Division Manager, the Marketing Manager, the Business Solutions Manager and the Systems Development Manager. The objective is to involve the main business areas in technological decision making. During 2007, the IT Governance Committee defined technology principles consistent with our business objectives.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continually works to protect and strengthen the BCP brand. BCP has a proactive attitude towards competition and, focusing on change and innovation, it seeks to promote its products and services by constantly improving them. In this manner, BCP aims to meet market needs with the ultimate purpose of creating the highest possible value for its clients and shareholders. In 2007, BCP’s strategy was developed mainly on two fronts: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Generating Value</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terms of generating value, the Bank continues to develop strategies to approach different customer groups. The increasing usage of CRM (Customer Relation Management) tools across all sectors enables the Bank to reach customers and provide them with personalized offers and terms in a timely manner. In an effort to build long-term relationships, the Bank has boosted its development and training activities, including training programs with small-business owners supported by Universidad del Pacífico, the fair organization ExpoNegocios, Bodegas y Mercados, and intensive seminars conducted in different cities across the country. Another key element for creating value is innovation, and BCP has launched several innovative products, including new products in the services provided to very wealthy customers; new benefits to customers whose wages are paid at their BCP accounts; and the development of the Línea Múltiple de Negocios (Multiple Business Line) that allows our customers to meet their financial needs with a comprehensive, easy-to-use product.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Quality in Service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Quality in service is a permanent goal for BCP. In this field, progress has been made as part of implementing a new regulation promulgated under the Consumer Protection Law, including significant investments geared at improving service and keeping customers informed about the products and services we offer. We have also implemented longer working hours in branches.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color w:val="auto"/>
        </w:rPr>
        <w:t>Improved processes and supporting tools have enabled us to follow up and leverage growing businesses. The new commercial loan disbursement process (promissory notes, loans, advances and issuing bank guarantees nationwide) was successfully implemented by using CAPS as a tool. This allowed us to improve our customer service timing and to reduce our business consultants’ and assistants’ workload.</w:t>
      </w:r>
    </w:p>
    <w:p>
      <w:pPr>
        <w:spacing w:after="0" w:line="272" w:lineRule="exact"/>
        <w:rPr>
          <w:sz w:val="20"/>
          <w:szCs w:val="20"/>
          <w:color w:val="auto"/>
        </w:rPr>
      </w:pPr>
    </w:p>
    <w:p>
      <w:pPr>
        <w:ind w:left="1460" w:hanging="804"/>
        <w:spacing w:after="0"/>
        <w:tabs>
          <w:tab w:leader="none" w:pos="1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Anti Money Laundering Policies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1995, BCP has implemented programs and adopted policies designed to comply with the “know your customer” regulations in the countries in which it operates. As an additional precaution, ASHC will open accounts only for individuals or entities that are recommended by senior officers of ASHC or BCP.</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Peru has long-standing laws criminalizing money-laundering activities, and such laws were further strengthened in 1996 with the adoption of the Peruvian Banking Law, which incorporated the guidelines of the Organization of American States directly into Peruvian law, and Law 28306, which revised functions assigned to the Financial Intelligence Area, a public entity in charge of directing anti-money-laundering actions and monitoring information that public and private companies are required to provide. The Financial Intelligence Area has the authority to request detailed reports with respect to the movement of funds and the identity of depositors. According to recently enacted regulations, mainly Law 28306 and SBS Resolution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w:t>
      </w:r>
    </w:p>
    <w:p>
      <w:pPr>
        <w:spacing w:after="0" w:line="268" w:lineRule="exact"/>
        <w:rPr>
          <w:sz w:val="20"/>
          <w:szCs w:val="20"/>
          <w:color w:val="auto"/>
        </w:rPr>
      </w:pPr>
    </w:p>
    <w:p>
      <w:pPr>
        <w:ind w:left="1400" w:hanging="744"/>
        <w:spacing w:after="0"/>
        <w:tabs>
          <w:tab w:leader="none" w:pos="14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2007, BCP had 9,593 full-time employees, compared to 8,243 employees as of December 31, 2006 and 7,568 employees as of December 31, 2005. All employees of banks in Peru are given the option of belonging to an employee union, and such employee unions are collectively represented by the Federación de Empleados Bancarios or Federation of Banking Employees (“FEB”). In order to negotiate a collective agreement on behalf of its members, FEB must have as members over 50% of all Peruvian banking employees. Because the representation of banking employees members in FEB has declined to below 50%, primarily because of the substantial reduction in the size of the state-owned banking business during the 1990s, the most recent collective bargaining agreement, which expired on June 30, 1995, was not renewed. As of December 31, 2007, BCP had no unionized employees. The last strike by union employees occurred in 1991 and did not interfere with BCP’s operations.</w:t>
      </w:r>
    </w:p>
    <w:p>
      <w:pPr>
        <w:spacing w:after="0" w:line="268" w:lineRule="exact"/>
        <w:rPr>
          <w:sz w:val="20"/>
          <w:szCs w:val="20"/>
          <w:color w:val="auto"/>
        </w:rPr>
      </w:pPr>
    </w:p>
    <w:p>
      <w:pPr>
        <w:ind w:left="920" w:hanging="588"/>
        <w:spacing w:after="0"/>
        <w:tabs>
          <w:tab w:leader="none" w:pos="9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 engages in trade finance, private banking, asset management and proprietary investment and trading activities. ASCH was incorporated in December 1981 in the Cayman Islands and principally serves Peruvian-based customers through banking offices in Panama and representative offices in Lima.</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Credicorp’s commercial banking business is also carried out by ASHC, which principally serves Peruvian private banking customers through offices in Panama. As of December 31, 2007, ASHC had total assets of US$1,615.7 million and net equity of US$214.1 million (compared with US$1,379.1 million and US$178.9 million, respectively, as of December 31, 2006). ASHC’s net income was US$39.5 million in 2007 and US$31.5 million in 2006, which included income from dividends paid by Credicorp. Larger revenues from dividends are a consequence of strong Credicorp dividend payments in 2007, resulting from improved earnings in the prior year. Though not reflected in the consolidated results, ASHC’s net income attributable to Credicorp increased compared to the US$15.4 million registered during the 2006, reaching a total of US$20.5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6" w:name="page47"/>
    <w:bookmarkEnd w:id="46"/>
    <w:p>
      <w:pPr>
        <w:jc w:val="both"/>
        <w:ind w:firstLine="648"/>
        <w:spacing w:after="0" w:line="257" w:lineRule="auto"/>
        <w:rPr>
          <w:sz w:val="20"/>
          <w:szCs w:val="20"/>
          <w:color w:val="auto"/>
        </w:rPr>
      </w:pPr>
      <w:r>
        <w:rPr>
          <w:rFonts w:ascii="Arial" w:cs="Arial" w:eastAsia="Arial" w:hAnsi="Arial"/>
          <w:sz w:val="18"/>
          <w:szCs w:val="18"/>
          <w:color w:val="auto"/>
        </w:rPr>
        <w:t>Total loans outstanding in ASHC’s portfolio were US$133.8 million and US$131.4 million on December 31, 2006, and 2007, respectively, representing a decrease of 1.8%. Deposits increased 18.6% to US$1,382.9 million on December 31, 2007 from US$1,166.1 million on December 31, 2006. Third-party assets under management increased 60.6% from US$1,396.2 million in 2006 to US$2,241.8 million in 2007, principally due to the increase in value of customers’ stock portfolios. ASHC’s past due loans as a percentage of total loans was 0.0% from 1996 through 2002, but reached 2.3% as of December 2003, and declined back to 0.0% on December 31, 2004, 2005, 2006 and 2007.</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ASHC’s Corporate Banking Group makes working capital and bridge loans. As of December 31, 2007, approximately 46.6% of ASHC’s loans were to Peruvian companies, 4.4% were to companies in Bolivia, 11.9% were to companies in Colombia, 9.5% were to companies in Mexico, and the remainder was to borrowers in other Latin American countries. ASHC’s trade finance activities are conducted by its Corporate Banking Group. ASHC has concentrated its extensions of credit on short-term trade transactions with Latin American countries other than Peru.</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ASHC’s policy is to provide funding to customers on the basis of approved lines of credit. ASHC’s Credit Committee meets weekly to discuss the entire credit risk inherent in the risk portfolio, composed of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ASHC’s Private Banking Group’s clients have traditionally provided a stable funding source for ASHC, as many are long-time clients who maintain their deposits with ASHC. As of December 31, 2007, ASHC had approximately 3,200 customers. Currently, about 95% of ASHC’s private banking clients are Peruvian.</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ASHC trades on its own account primarily by making medium-term investments in fixed income securities, equity securities and sovereign debt.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2007, ASHC had approximately US$853.7 million, at fair value, invested in these types of securities (US$737.8 million in 2006). ASHC generally utilizes its own funds for these activities rather than borrowings. ASHC also holds an equity investment in Credicorp with a fair value of approximately US$1,115.6 million on December 31, 2007 (US$598.6 million on December 31, 2006). ASHC’s investment portfolio, as well as future purchases, sales, overall investment strategy and the general profile of the trading portfolio are reviewed on a monthly basis by an investment committee composed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ASHC’s Asset Management group, created in 1989, conducts ASHC’s management of third-party funds which, including the aggregate of third-party assets, had total assets under management of US$2,241.8 million as of December 31, 2007, compared to US$1,396.2 million as of December 31, 2006. This increase was principally due to the increase in value of customers’ stock portfolios. Investment decisions for funds, except for outsourced funds, are made by senior officers within ASHC, in accordance with guidelines of the Investment Committee.</w:t>
      </w:r>
    </w:p>
    <w:p>
      <w:pPr>
        <w:spacing w:after="0" w:line="277" w:lineRule="exact"/>
        <w:rPr>
          <w:sz w:val="20"/>
          <w:szCs w:val="20"/>
          <w:color w:val="auto"/>
        </w:rPr>
      </w:pPr>
    </w:p>
    <w:p>
      <w:pPr>
        <w:ind w:left="920" w:hanging="588"/>
        <w:spacing w:after="0"/>
        <w:tabs>
          <w:tab w:leader="none" w:pos="9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Credicorp conducts its insurance operations exclusively through PPS and through its subsidiaries El Pacífico Vida and Paćifico Salud, which together comprise Pacifico Grupo Asegurador, which provides a broad range of insurance products in the property and casualty, life and health groups. In 2007, the six most significant lines together constituted 81.8% of total premiums written by PPS. These are commercial property damage (including fire, earthquake and allied lines and limited liability risks), automobile, health, life and pension fund underwriting and life annuities. PPS is the second leading Peruvian insurance company, including private health companies, with a market share of 34.2% based on net premiums earned and fees in 2007.</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PPS’s consolidated net income attributable to Credicorp in 2007 was US$9.4 million, a decrease of 35.1% from US$14.5 million in 2006. Total premiums increased 25.4% to US$467.2 million during 2007 from US$372.3 million in 2006, and net premiums earned, net of reinsured premiums and of technical reserves (as defined below in “―(ii) Claims and Reserves”), were US$307.2 million in 2007, increasing 18.6% as compared to the previous year. PPS’s net underwriting results decreased from US$34.7 million in 2006 to US$15.4 million in 2007, amount that represents 3.3% of total premiums. This is mainly explained by the increment of the net claims paid as a percentage of net premiums written from 72% during 2006 to 77.7% during 2007, due to the earthquake that affected the south of Peru in August 2007 and several severe claims in the fire and technical branches.</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PPS’s business in property and casualty and private health is highly concentrated, with a client base of over 30,000 companies and over 330,000 individuals in the property and casualty and health insurance programs, including individuals affiliated with group health insurance programs through the companies by which they are employed. PPS’s life insurance client base consists of over 115,000 individuals. As of December 2007, revenues from policies written for PPS’s three largest and 20 largest customers represented 7.0% and 23.3% of total premiums in P&amp;C and Health insurance, respectively, PPS’s property insurance lines are sold through agents and brokers, while life insurance is sold by its own sales force. The 10 largest brokers in the property and casualty as well as in the private health segment accounted for approximately 40.3% of total premiums as of December 31, 2007 (35.7% as of December 31, 2006).</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El Pacífico Vida (“Pacífico Vida”), PPS life insurance subsidiary since 1997, is 38%-owned by ALICO, a subsidiary of AIG. In 2007, Pacífico Vida had total premiums of US$136.7 million, a 17% increase from total premiums of US$117.2 million in 2006. Pacífico Vida’s net income reached US$15.5 million in 2007 compared to US$9.4 million in 2006. Pacífico Vida’s market share was 25.8% in 2007 versus 23.0% in 2006. Individual life and personal injuries businesses increased by 24.14%, mainly due to the development of new products, improved productivity and growth of their sales force, reaching a market share of 33.4%. Life annuity business decreased 12% in total earnings but resulted in an unexpected increase in market share from 17.7% to 19.2%, mainly due to a more conservative investment policy, which decelerated the demand for this product. The pension fund underwriting business grew 28.8% with respect to the same period in 2006. Likewise, Group Life, Legal Life, SCTR and Credit Life increased thanks to the business with BCP such as credit cards and mortgage loans. In 2007, total premiums on Group Life, Legal Life and SCTR (limited workers compensation) increased by 7.4% with Credit Life being the most dynamic product, reaching an increase of 46% over that of 2006. Pacífico Vida, the life insurance company, generated financial earnings amounting to US$25 million in 2007.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 w:name="page49"/>
    <w:bookmarkEnd w:id="48"/>
    <w:p>
      <w:pPr>
        <w:jc w:val="both"/>
        <w:ind w:firstLine="648"/>
        <w:spacing w:after="0" w:line="302" w:lineRule="auto"/>
        <w:rPr>
          <w:sz w:val="20"/>
          <w:szCs w:val="20"/>
          <w:color w:val="auto"/>
        </w:rPr>
      </w:pPr>
      <w:r>
        <w:rPr>
          <w:rFonts w:ascii="Arial" w:cs="Arial" w:eastAsia="Arial" w:hAnsi="Arial"/>
          <w:sz w:val="16"/>
          <w:szCs w:val="16"/>
          <w:color w:val="auto"/>
        </w:rPr>
        <w:t>In 1999, PPS formed Pacífico Salud, becoming one of only three private health insurance companies in Peru at that time to offer an alternative to public social security. In March 2004, PPS acquired Novasalud EPS for US$6.5 million and merged it with Pacífico Salud in August 2004. Pacífico Salud had total revenue of US$95.1 million in 2007 (US$80.7 million in 2006), with a net income of US$2.7 million in 2007 (US$3.7 million in 2006) mainly due to an increase in claims. The net loss ratio, defined as net claims paid as a percentage of net premiums earned, increased to 80.1% in 2007 from 77.3% in 2006.</w:t>
      </w:r>
    </w:p>
    <w:p>
      <w:pPr>
        <w:spacing w:after="0" w:line="245" w:lineRule="exact"/>
        <w:rPr>
          <w:sz w:val="20"/>
          <w:szCs w:val="20"/>
          <w:color w:val="auto"/>
        </w:rPr>
      </w:pPr>
    </w:p>
    <w:p>
      <w:pPr>
        <w:ind w:left="1340" w:hanging="684"/>
        <w:spacing w:after="0"/>
        <w:tabs>
          <w:tab w:leader="none" w:pos="1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(property and casualty) risks are made through its central underwriting office. PPS’s own risk management staff inspects most medium and medium-to-large commercial risks prior to their underwriting, whereas third party surveyors are employed to inspect smaller risks. Underwriting standards are approved by the Board of Directors on a yearly basis.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2007 were, among others, Lloyd’s, New Hampshire Insurance Co., Münchener Ruck, Swiss Reinsurance Co., Hannover Ruck, XL Re Ltd., Liberty Mutual, London Life, Mapfre Re and QBE Reinsurance. Premiums ceded to reinsurers represented 18.9%, 17.0% and 20.8% of premiums written in 2005, 2006 and 2007, respectively. PPS acts as a reinsurer on a very limited basis, providing its excess reinsurance capacity to other Peruvian insurers who are unable to satisfy their reinsurance requirements. As of December 31, 2007, premiums for reinsurance written by PPS totaled US$6.1 million.</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PPS historically has obtained reinsurance for a substantial portion of its earthquake-related risks through excess loss contracts, there can be no assurance that a major catastrophe would not have a material adverse impact on its results of operations or financial condition. See “—(ii) Claims and Reserves.”</w:t>
      </w:r>
    </w:p>
    <w:p>
      <w:pPr>
        <w:spacing w:after="0" w:line="272" w:lineRule="exact"/>
        <w:rPr>
          <w:sz w:val="20"/>
          <w:szCs w:val="20"/>
          <w:color w:val="auto"/>
        </w:rPr>
      </w:pPr>
    </w:p>
    <w:p>
      <w:pPr>
        <w:ind w:left="1400" w:hanging="744"/>
        <w:spacing w:after="0"/>
        <w:tabs>
          <w:tab w:leader="none" w:pos="1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claims paid by PPS as a percentage of net premiums written (</w:t>
      </w:r>
      <w:r>
        <w:rPr>
          <w:rFonts w:ascii="Arial" w:cs="Arial" w:eastAsia="Arial" w:hAnsi="Arial"/>
          <w:sz w:val="16"/>
          <w:szCs w:val="16"/>
          <w:i w:val="1"/>
          <w:iCs w:val="1"/>
          <w:color w:val="auto"/>
        </w:rPr>
        <w:t>i.e.</w:t>
      </w:r>
      <w:r>
        <w:rPr>
          <w:rFonts w:ascii="Arial" w:cs="Arial" w:eastAsia="Arial" w:hAnsi="Arial"/>
          <w:sz w:val="16"/>
          <w:szCs w:val="16"/>
          <w:color w:val="auto"/>
        </w:rPr>
        <w:t>, the net loss ratio) reached 64.5% in 2007, up from 60.3% in both 2005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net loss ratio, in the property and casualty segment, which represented 51.3% of PPS’s premiums in 2007 (47.8% in 2006) increased from 63.3% in 2006 to 70.6% in 2007, due to the low performance of fire and allied lines as well as the technical lines. The net loss ratio from the fire and allied lines, which represented 22.3% of property and casualty premiums in 2007 (27.7% in 2006) increased from 35.0% in 2006 to 81.4% in 2007, mainly as consequence of the earthquake that affected the south of Peru in August 2007. The net loss ratio of the Technical lines, which was 9.4% of property and casualty premiums in 2007 (8.2% in 2006) increased from 82.9% in 2006 to 140.4% in 2007.</w:t>
      </w:r>
    </w:p>
    <w:p>
      <w:pPr>
        <w:spacing w:after="0" w:line="2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net loss ratio in the life insurance lines, which represented 29.2% of PPS’s premiums in 2007 (31.4% in 2006) increased from 44.3% in 2006 to 47.1% in 2007, due to the low performance of individual annuity, and a better performance in disability and survivor (pension fund) insurance. The net loss ratio of individual annuity, which represented 17.6% of life insurance premiums in 2007 (27.1% in 2006) increased from 44.2% in 2006 to 70.5% in 2007. Disability and survivor insurance, 28.1% of life insurance premiums in 2007 (25.4% in 2006), decreased from 86.3% in 2006 to 72.9% in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jc w:val="both"/>
        <w:ind w:right="20" w:firstLine="648"/>
        <w:spacing w:after="0" w:line="277" w:lineRule="auto"/>
        <w:rPr>
          <w:sz w:val="20"/>
          <w:szCs w:val="20"/>
          <w:color w:val="auto"/>
        </w:rPr>
      </w:pPr>
      <w:r>
        <w:rPr>
          <w:rFonts w:ascii="Arial" w:cs="Arial" w:eastAsia="Arial" w:hAnsi="Arial"/>
          <w:sz w:val="18"/>
          <w:szCs w:val="18"/>
          <w:color w:val="auto"/>
        </w:rPr>
        <w:t>The net loss ratio in the health insurance lines, which represented 19.5% of PPS’s premiums in 2007 (20.8% in 2006), increased from 81.2% in 2006 to 82.3% in 2007.</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establishes claims reserves with respect to claims when reported, as well as for incurred but not reported (IBNR) claims. Such reserves are reflected as liabilities in PPS’s financial statements.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See “—(11) Supervision and Regulation—(v) PPS—Reserve Requirements.” In accordance with IFRS principles, the pre-event reserves and income charges for catastrophic reserves are not considered in Credicorp’s consolidated financial statements.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316" w:lineRule="exact"/>
        <w:rPr>
          <w:sz w:val="20"/>
          <w:szCs w:val="20"/>
          <w:color w:val="auto"/>
        </w:rPr>
      </w:pPr>
    </w:p>
    <w:p>
      <w:pPr>
        <w:ind w:left="1440" w:hanging="784"/>
        <w:spacing w:after="0"/>
        <w:tabs>
          <w:tab w:leader="none" w:pos="1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2007, the book value of PPS’s portfolio (which includes Pacífico Seguros, Pacifico Vida and Pacifico Salud) was US$821.3 million, which included US$56.6 million in equity securities and US$764.6 million in bonds. In addition, real estate investments book value reached US$31.8 million. The book value of Pacifico Seguros in 2007 was US$136.2 million and was invested mainly had short-term debt instruments and equity, while Pacifico Vida’s book value was close to US$675.6 million and was mainly invested in long-term debt instruments. Pacifico Salud, on the other hand, had a small portfolio with a book value of US$9.4 million and was mainly invested in short-term debt instruments.</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its improvement process, PPS changed its investment policy to employ the best international risk management practices and tools, and incorporated the recommendations of Solvencia II and Basel II with a view to developing a better match of terms and currencies with the company’s liabilities, especially in connection with obligations vis-à-vis PPS’s insured customers.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Investment profits earned during 2007, although lower than 2006, were significantly higher than PPS’s forecasts. Earnings in 2007 were attributed primarily to: (i) the increase in the stock market value at the beginning of the year and accurate profit tacking and portfolio restructure; (ii) a slight increase in fixed income earnings due to a larger position and better local interest rates; and (iii) an additional income from our real estate investment book due to higher rent fees. Year to year financial income was lower by US$12.5 million, due to the extraordinary financial gains registered in 2006, which result from the sales of a significant package of shares, the majority of which were stock of Banco de Credito, that generated US$40 million in gains at PPS level.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Although large payments were required to cover for the damages caused by the earthquake that struck Lima in August 2007, cash inflow generated by sales premium, stock sales, fixed income earnings and real estate rent fees allowed Pacífico Seguros to make additional investments. In this sense, the PPS (property and casualty) equity portfolio increased from US$42.6 million as of December 31, 2006 to US$56.6 million as of December 31, 2007 and fixed income portfolio from US$754 million as of December 31, 2006 to US$764.6 million as of December 31, 2007. These allowed PPS to assure large reserves for possible future claims.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PPS’s main strategy is to have an appropriate match of currency and term for its assets and liabilities. In this sense, since a significant portion of its premiums is denominated, and much of its operations are conducted, in U.S. Dollars, most of the assets are invested in this currency. In 2007, 71.4% of the gross premiums received by PPS were denominated in U.S. Dollars (71.5% in 2006).</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policies are reviewed and approved by PPS Board of Directors. However, Senior management also has investment authority and decision making authority with respect to investments strategies.</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like other major Peruvian insurance companies, sells its products both directly and through independent brokers and agents. Direct written policies tend to be for large corporate clients, as well as for life and health insurance lines. In recent years, PPS has focuses its energy on positioning itself as leader of the retail segment by introducing new and differentiated products and services.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Credicorp is attempting to expand PPS’s sales network by using the branch network of Banco de Credito. PPS offers, in collaboration with BCP, a life and health insurance product, personal life insurance product that combines accidental death coverage with renewable term life insurance, car insurance, leasing insurance and credit life.</w:t>
      </w:r>
    </w:p>
    <w:p>
      <w:pPr>
        <w:spacing w:after="0" w:line="272" w:lineRule="exact"/>
        <w:rPr>
          <w:sz w:val="20"/>
          <w:szCs w:val="20"/>
          <w:color w:val="auto"/>
        </w:rPr>
      </w:pPr>
    </w:p>
    <w:p>
      <w:pPr>
        <w:ind w:left="920" w:hanging="588"/>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Continuing to pursue its strategy of fast growth and positioning in the market, on August 24, 2006 Prima AFP reached an agreement with Grupo Santander Perú S.A. for the acquisition of 99.97% of Unión Vida AFP. The acquisition was consummated for a total of US$141 million and the final purchase price determination was made with the conclusion of the arbitration proceedings between the parties. As a result, Credicorp received a reimbursement in an approximate amount of US$4.5 million. See Note 2(a) to Credicorp Consolidated Financial Statements. Of the US$141 million, US$112 million came from a capital increase and US$29 million came from a BCP loan. Later, the company engaged in a tender offer directed at the minority shareholders. The company has successfully managed the operational and commercial challenges associated with the merger period. Unión Vida managed to resist competitive pressure, reaching 36,974 gross transfers and 8,907 affiliations between September and November 2006.</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 started 2007 by striving to consolidate its market leadership. To do so, it focused on preserving its strong value proposal, namely the market’s lowest management commission, strong support from Grupo Credito and its vast experience in the investment business, and outstanding service, information and advice.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1" w:name="page52"/>
    <w:bookmarkEnd w:id="51"/>
    <w:p>
      <w:pPr>
        <w:jc w:val="both"/>
        <w:ind w:firstLine="648"/>
        <w:spacing w:after="0" w:line="264" w:lineRule="auto"/>
        <w:rPr>
          <w:sz w:val="20"/>
          <w:szCs w:val="20"/>
          <w:color w:val="auto"/>
        </w:rPr>
      </w:pPr>
      <w:r>
        <w:rPr>
          <w:rFonts w:ascii="Arial" w:cs="Arial" w:eastAsia="Arial" w:hAnsi="Arial"/>
          <w:sz w:val="18"/>
          <w:szCs w:val="18"/>
          <w:color w:val="auto"/>
        </w:rPr>
        <w:t>Commercial growth came principally from higher productivity in sales management which allowed exceeding Prima’s AFP goals of capturing a high quality portfolio. Such growth was coupled with an expanding national economy (that resulted in higher salaries and returns to individual and corporate contributing members), underpinning the growth of the company’s revenues base.</w:t>
      </w:r>
    </w:p>
    <w:p>
      <w:pPr>
        <w:spacing w:after="0" w:line="2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Prima AFP’s strong performance also resulted from a wider and stronger revenue calculation base, coupled with a stable and improved portfolio of contributing members. The company continued to cut costs, reducing the number of sales representatives from 2,225 in December 2006 to 421 in December 2007.</w:t>
      </w:r>
    </w:p>
    <w:p>
      <w:pPr>
        <w:spacing w:after="0" w:line="2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2007, Prima AFP earned US$3 million. The company thus reverted losses incurred in 2006 (US$20.7 million). The managed portfolio reached 31.4% market share to December 2007, with a total of US$6,403 million (29.2% market share with a total of US$4,211 million). Prima AFP closed 2007 with 1,023,482 affiliates and 459,370 contributing members.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Prima AFP revenues reached US$55 million, or 139.1% higher than in 2006. A significant portion of this increase may be attributed to flows from AFP Unión Vida’s portfolio, effective and efficient corporate marketing and an improved portfolio. Such improvement came from a stronger Peruvian labor market that resulted in a major increase in the Monthly Insurable Remuneration (RAM). It was complemented by the new Voluntary Contribution (Aporte Voluntario) product that started to generate fee flows in December 2007 and may account for as much as 6% of revenues in 2008. Also in 2007, the amount of Voluntary Contributions managed by Prima AFP reached US$167.9 million, leading to the highest system-wide market share (47.2%).</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merger between Prima AFP and Unión Vida and the profile of the surviving entity resulted in increased administration expenses. Amortization and depreciation charges of US$2.8 million as a consequence of investment in systems and furniture and amortization of intangible assets worth US$5.6 million, which were identified during the Unión Vida AFP’s purchase following IFRS.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pursue its enhanced service orientation, Prima AFP strengthened its customer service office network by opening a branch in Ica, refurbishing and moving its Cajamarca office to another area of the city and opening a new office in Lima’s historical downtown quarter, thereby increasing its nationwide presence with its 13 branches and 19 customer service offices.</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2007, Credicorp focused on strengthening customer service quality, providing more information and giving advice to investing members, all of which required improving service and communications channels for affiliates, employers and pensioners.</w:t>
      </w:r>
    </w:p>
    <w:p>
      <w:pPr>
        <w:spacing w:after="0" w:line="261" w:lineRule="exact"/>
        <w:rPr>
          <w:sz w:val="20"/>
          <w:szCs w:val="20"/>
          <w:color w:val="auto"/>
        </w:rPr>
      </w:pPr>
    </w:p>
    <w:p>
      <w:pPr>
        <w:ind w:left="920" w:hanging="588"/>
        <w:spacing w:after="0"/>
        <w:tabs>
          <w:tab w:leader="none" w:pos="9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92" w:lineRule="exact"/>
        <w:rPr>
          <w:rFonts w:ascii="Arial" w:cs="Arial" w:eastAsia="Arial" w:hAnsi="Arial"/>
          <w:sz w:val="18"/>
          <w:szCs w:val="18"/>
          <w:b w:val="1"/>
          <w:bCs w:val="1"/>
          <w:color w:val="auto"/>
        </w:rPr>
      </w:pPr>
    </w:p>
    <w:p>
      <w:pPr>
        <w:ind w:left="1140" w:hanging="484"/>
        <w:spacing w:after="0"/>
        <w:tabs>
          <w:tab w:leader="none" w:pos="114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banking sector is currently composed of 13 commercial banking institutions. As of December 31, 2007, BCP (excluding foreign branches) ranked first among all Peruvian banks in terms of assets, deposits and loans with a market share of 38.4% of assets, 36.2% of deposits and 32.5% of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2" w:name="page53"/>
    <w:bookmarkEnd w:id="52"/>
    <w:tbl>
      <w:tblPr>
        <w:tblLayout w:type="fixed"/>
        <w:tblInd w:w="660" w:type="dxa"/>
        <w:tblCellMar>
          <w:top w:w="0" w:type="dxa"/>
          <w:left w:w="0" w:type="dxa"/>
          <w:bottom w:w="0" w:type="dxa"/>
          <w:right w:w="0" w:type="dxa"/>
        </w:tblCellMar>
      </w:tblPr>
      <w:tr>
        <w:trPr>
          <w:trHeight w:val="23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Major Peruvian Banks as of December 31, 2007</w:t>
            </w:r>
          </w:p>
        </w:tc>
        <w:tc>
          <w:tcPr>
            <w:tcW w:w="180" w:type="dxa"/>
            <w:vAlign w:val="bottom"/>
          </w:tcPr>
          <w:p>
            <w:pPr>
              <w:spacing w:after="0"/>
              <w:rPr>
                <w:sz w:val="20"/>
                <w:szCs w:val="20"/>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Deposits</w:t>
            </w:r>
          </w:p>
        </w:tc>
        <w:tc>
          <w:tcPr>
            <w:tcW w:w="200" w:type="dxa"/>
            <w:vAlign w:val="bottom"/>
          </w:tcPr>
          <w:p>
            <w:pPr>
              <w:spacing w:after="0"/>
              <w:rPr>
                <w:sz w:val="20"/>
                <w:szCs w:val="20"/>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Loans</w:t>
            </w:r>
          </w:p>
        </w:tc>
        <w:tc>
          <w:tcPr>
            <w:tcW w:w="180" w:type="dxa"/>
            <w:vAlign w:val="bottom"/>
          </w:tcPr>
          <w:p>
            <w:pPr>
              <w:spacing w:after="0"/>
              <w:rPr>
                <w:sz w:val="20"/>
                <w:szCs w:val="20"/>
                <w:color w:val="auto"/>
              </w:rPr>
            </w:pPr>
          </w:p>
        </w:tc>
      </w:tr>
      <w:tr>
        <w:trPr>
          <w:trHeight w:val="264"/>
        </w:trPr>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15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32.6%</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Banco</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18"/>
                <w:szCs w:val="18"/>
                <w:color w:val="auto"/>
              </w:rPr>
              <w:t>Continental</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22.8%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30"/>
        </w:trPr>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8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56"/>
        </w:trPr>
        <w:tc>
          <w:tcPr>
            <w:tcW w:w="54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16.2%</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15.3%</w:t>
            </w: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Interbank</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70"/>
        </w:trPr>
        <w:tc>
          <w:tcPr>
            <w:tcW w:w="5400" w:type="dxa"/>
            <w:vAlign w:val="bottom"/>
            <w:shd w:val="clear" w:color="auto" w:fill="CCFFCC"/>
          </w:tcPr>
          <w:p>
            <w:pPr>
              <w:spacing w:after="0"/>
              <w:rPr>
                <w:sz w:val="20"/>
                <w:szCs w:val="20"/>
                <w:color w:val="auto"/>
              </w:rPr>
            </w:pPr>
            <w:r>
              <w:rPr>
                <w:rFonts w:ascii="Arial" w:cs="Arial" w:eastAsia="Arial" w:hAnsi="Arial"/>
                <w:sz w:val="18"/>
                <w:szCs w:val="18"/>
                <w:color w:val="auto"/>
              </w:rPr>
              <w:t>Citibank</w:t>
            </w:r>
          </w:p>
        </w:tc>
        <w:tc>
          <w:tcPr>
            <w:tcW w:w="15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046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SBS</w:t>
      </w:r>
    </w:p>
    <w:p>
      <w:pPr>
        <w:spacing w:after="0" w:line="2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 In 2006, Banco Wiese merged with Banco Sudamericano and created Scotiabank Perú. During the same year, HSBC launched operations in Peru and is currently focused on top corporate segments. Banco Fallabela started operations in the Peruavian banking system in August 2007 and its loan portfolio is concentrated in credit cards, consumer finance and, at a very low extent, in mortgages.</w:t>
      </w:r>
    </w:p>
    <w:p>
      <w:pPr>
        <w:spacing w:after="0" w:line="2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believes that the Peruvian banking industry will continue to be a competitive environment within a generalized excess liquidity situation. Such increased competition may in the future affect Credicorp’s loan growth and reduce the average interest rates that it may charge its customers, as well as reduce fee income.</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1999, excess liquidity at major Peruvian banks has put pressure on margins. Credicorp does not intend to pursue corporate lending opportunities that are unprofitable solely in order to maintain market share. Credicorp expects Corporate Banking to grow at levels similar to GDP growth.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197" w:lineRule="exact"/>
        <w:rPr>
          <w:sz w:val="20"/>
          <w:szCs w:val="20"/>
          <w:color w:val="auto"/>
        </w:rPr>
      </w:pPr>
    </w:p>
    <w:p>
      <w:pPr>
        <w:ind w:left="1300" w:hanging="482"/>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3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Wholesale Banking Group, BCP’s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(“AFPs”) and mutual fund companies.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US$20.4 billion as of December 31, 2007, increasing by 41.4% since December 31, 2006. Total mutual funds reached US$4.3 billion in 2007, a 65.4% increase from US$2.6 billion in 2006.</w:t>
      </w:r>
    </w:p>
    <w:p>
      <w:pPr>
        <w:spacing w:after="0" w:line="237" w:lineRule="exact"/>
        <w:rPr>
          <w:sz w:val="20"/>
          <w:szCs w:val="20"/>
          <w:color w:val="auto"/>
        </w:rPr>
      </w:pPr>
    </w:p>
    <w:p>
      <w:pPr>
        <w:ind w:left="1140" w:hanging="484"/>
        <w:spacing w:after="0"/>
        <w:tabs>
          <w:tab w:leader="none" w:pos="11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institutions in the Peruvian financial system tend to specialize in a given market sector.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US$1,175.2 million as of December 31, 2007, or 48.7% of the total in the financial system, and consumer loans, where such providers lent US$508.2 million, or 21.1% of the total in the financial system. BCP also faces strong competition in its credit card operations from credit cards issued by retail stores.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believes that BCP’s reputation as a sound institution, together with its nationwide branch network coverage, provides it with an advantage over its principal competitors.</w:t>
      </w:r>
    </w:p>
    <w:p>
      <w:pPr>
        <w:spacing w:after="0" w:line="220" w:lineRule="exact"/>
        <w:rPr>
          <w:sz w:val="20"/>
          <w:szCs w:val="20"/>
          <w:color w:val="auto"/>
        </w:rPr>
      </w:pPr>
    </w:p>
    <w:p>
      <w:pPr>
        <w:ind w:left="1140" w:hanging="484"/>
        <w:spacing w:after="0"/>
        <w:tabs>
          <w:tab w:leader="none" w:pos="11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3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256" w:lineRule="exact"/>
        <w:rPr>
          <w:sz w:val="20"/>
          <w:szCs w:val="20"/>
          <w:color w:val="auto"/>
        </w:rPr>
      </w:pPr>
    </w:p>
    <w:p>
      <w:pPr>
        <w:ind w:left="920" w:hanging="588"/>
        <w:spacing w:after="0"/>
        <w:tabs>
          <w:tab w:leader="none" w:pos="9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Credicorp is incorporated in Bermuda, substantially all of BCP’s and PPS’s operations and customers are located in Peru. Although ASHC is based outside of Peru, a substantial number of its customers are also located in Peru.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Peru,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Peru.</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ind w:left="1140" w:hanging="484"/>
        <w:spacing w:after="0"/>
        <w:tabs>
          <w:tab w:leader="none" w:pos="11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During the past several decades, Peru has had a history of political instability that has included military </w:t>
      </w:r>
      <w:r>
        <w:rPr>
          <w:rFonts w:ascii="Arial" w:cs="Arial" w:eastAsia="Arial" w:hAnsi="Arial"/>
          <w:sz w:val="17"/>
          <w:szCs w:val="17"/>
          <w:i w:val="1"/>
          <w:iCs w:val="1"/>
          <w:color w:val="auto"/>
        </w:rPr>
        <w:t>coups d’état</w:t>
      </w:r>
      <w:r>
        <w:rPr>
          <w:rFonts w:ascii="Arial" w:cs="Arial" w:eastAsia="Arial" w:hAnsi="Arial"/>
          <w:sz w:val="17"/>
          <w:szCs w:val="17"/>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the past, Peru experienced significant levels of terrorist activity, with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(the “Shining Path”) and the </w:t>
      </w:r>
      <w:r>
        <w:rPr>
          <w:rFonts w:ascii="Arial" w:cs="Arial" w:eastAsia="Arial" w:hAnsi="Arial"/>
          <w:sz w:val="16"/>
          <w:szCs w:val="16"/>
          <w:i w:val="1"/>
          <w:iCs w:val="1"/>
          <w:color w:val="auto"/>
        </w:rPr>
        <w:t>Movimiento Revolucionario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Tupac Amaru </w:t>
      </w:r>
      <w:r>
        <w:rPr>
          <w:rFonts w:ascii="Arial" w:cs="Arial" w:eastAsia="Arial" w:hAnsi="Arial"/>
          <w:sz w:val="16"/>
          <w:szCs w:val="16"/>
          <w:color w:val="auto"/>
        </w:rPr>
        <w:t>(the “MRTA”) having escalated their acts of violence against the government and the private sector in the late 1980s and early 1990s. Upon</w:t>
      </w:r>
      <w:r>
        <w:rPr>
          <w:rFonts w:ascii="Arial" w:cs="Arial" w:eastAsia="Arial" w:hAnsi="Arial"/>
          <w:sz w:val="16"/>
          <w:szCs w:val="16"/>
          <w:i w:val="1"/>
          <w:iCs w:val="1"/>
          <w:color w:val="auto"/>
        </w:rPr>
        <w:t xml:space="preserve"> </w:t>
      </w:r>
      <w:r>
        <w:rPr>
          <w:rFonts w:ascii="Arial" w:cs="Arial" w:eastAsia="Arial" w:hAnsi="Arial"/>
          <w:sz w:val="16"/>
          <w:szCs w:val="16"/>
          <w:color w:val="auto"/>
        </w:rPr>
        <w:t>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course of his government, President Fujimori implemented a broad-based reform of Peru’s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Toledo assumed the presidency against a backdrop of high unemployment and underemployment, economic recession and social need. Despite the economic strides achieved between 1990 and 2000, poverty remains a persistent problem in Peru,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 has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5" w:name="page56"/>
    <w:bookmarkEnd w:id="55"/>
    <w:p>
      <w:pPr>
        <w:jc w:val="both"/>
        <w:ind w:firstLine="648"/>
        <w:spacing w:after="0" w:line="259" w:lineRule="auto"/>
        <w:rPr>
          <w:sz w:val="20"/>
          <w:szCs w:val="20"/>
          <w:color w:val="auto"/>
        </w:rPr>
      </w:pPr>
      <w:r>
        <w:rPr>
          <w:rFonts w:ascii="Arial" w:cs="Arial" w:eastAsia="Arial" w:hAnsi="Arial"/>
          <w:sz w:val="18"/>
          <w:szCs w:val="18"/>
          <w:color w:val="auto"/>
        </w:rPr>
        <w:t>President Toledo transferred the presidency to Alan Garcia Pérez on July 28, 2006 following Mr. Garcia’s victory in the run-off of the presidential elections held on June 4, 2006. Mr. Garcia has sent positive signals to the international financial markets following his election as president, and it is expected that Mr. Garcia’s government will substantially retain the economic policies of the previous government, although there can be no assurance that this will be the case.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President</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President García is following conservative economic policies and has indicated a desire to avoid the mistakes of past governments. García named banker Luis Carranza as Minister of Economy and Finance. Carranza held a senior position at Banco Bilbao Vizcaya Argentaria (BBVA) in Spain and was a key adviser to Pedro Pablo Kuczynski, the Prime Minister (and former Minister of Economy and Finance) of former president Alejandro Toledo. García has announced that his administration would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15" w:lineRule="exact"/>
        <w:rPr>
          <w:sz w:val="20"/>
          <w:szCs w:val="20"/>
          <w:color w:val="auto"/>
        </w:rPr>
      </w:pPr>
    </w:p>
    <w:p>
      <w:pPr>
        <w:ind w:left="1140" w:hanging="484"/>
        <w:spacing w:after="0"/>
        <w:tabs>
          <w:tab w:leader="none" w:pos="11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continued these market-oriented policies but, facing opposition from a fragmented Congress and social pressures from unions and regional movements, he has passed some interventionist measures.</w:t>
      </w:r>
    </w:p>
    <w:p>
      <w:pPr>
        <w:spacing w:after="0" w:line="2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 2.5% in 1996, 6.7% in 1997. The “El Niño” and other adverse economic conditions led to a drop of -0.7% in 1998, but recovered 0.9% in 1999, 3.0% in 2000, 0.2% in 2001, 5.2% in 2002, 3.9% in 2003, 5.2% in 2004, 6.7% in 2005, 7.6% in 2006 and 9.0% in 2007; this growth for nine years in a row had not been experienced by Peru since 1977. The “El Niño” phenomenon (a shift in ocean temperatures and atmospheric conditions in the tropical Pacific that disrupts the weather) was still considered a threat in 2006 but is expected to have a low impact on the economy in the coming years.</w:t>
      </w:r>
    </w:p>
    <w:p>
      <w:pPr>
        <w:spacing w:after="0" w:line="21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It should be noted that GDP growth figures for some years were revised downwards by the national statistical institute, the INEI, in 2000, which recalculated Peru’s GDP in 1999 at around $52 billion using a 1994 base year, some 10% below the previous estimate based on 1979 figures.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Peru’s economy in the face of adverse external and internal factors. In 2002 and 2003, unlike other Latin American countries, Peru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One of the principal factors that contributed to the improvement of economic expectations was the 38.8% increase in exports in 2004, which was followed by new increases in 2005 (40.8%), 2006 (41.9%) and 17.0% in 2007. In particular, it has continued high foreign demand for minerals and raw materials and manufacturers benefited from the Andean Trade Promotion and Drug Eradication Act (“ATPDEA”) tariff preferences. However, production was uneven, with investment recovering, and sectors such as construction, oil and gas, mining (particularly mining of precious metals), non-primary manufacturing and fishing registered gains, while agriculture registered only minimal growth.</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 During 2007, the Free Trade Agreement with the United States was signed which is expected to be implemented by September 2008. Moreover, trade policy is oriented towards developing bilateral agreements with a series of countries and economic regions, including the European Union, Canada, and Singapore.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government-backed initiative to encourage mortgage loans and the construction of low-cost housing through the MiVivienda program continued to stimulate significant volumes of construction in 2004, aiding expansion of mortgages. As part of the MiVivienda program, US$213 million in loans were granted in 2005, compared to US$170 million in 2004, US$134 million in 2003 and US$72 million in 2002.</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privatization program, which had been expected to raise US$700 million during 2002, encountered problems in June 2002 with public protests against the sale of two electricity generating companies in the south of Peru. This caused the virtual suspension of the program, which obtained income of only US$355 million in 2002, and almost negligible amounts in 2003. The government successfully relaunched its concessions program in 2004, generating revenue in excess of US$200 million. Some of the noteworthy transactions include the Las Bambas copper mine exploration, the Olmos hydro and irrigation project, the Bayóvar phosphates extraction project, the concession for the Yuncan hydroelectric plant and several highway concessions. The government has continued the concession program in 2005 and 2006, with some small projects with a total value of US$57 million.</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Peru’s trade deficit decreased from US$600 million in 1999 to US$300 million in 2000 and US$90 million in 2001. Peru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in 2004, with increases mainly in raw materials and capital goods. In 2006, trends continued, with exports rising to US$23.8 billion and imports increasing to US$14.9 billion, and in 2007, exports continued rising to US$28.0 billion and imports increased to US$19.6 billion.</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 registered a current account deficit of US$0.9 billion in 2003, which decreased to US$10 million in 2004, and reversed to a US$1.0 billion surplus in 2005. In 2006, a record was registered with a surplus of US$2.6 billion, equivalent to 2.8% of GDP. However, this amount decreased in 2007, when the surplus was US$1.5 billion (1.4% of GDP).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jc w:val="both"/>
        <w:ind w:firstLine="648"/>
        <w:spacing w:after="0" w:line="259" w:lineRule="auto"/>
        <w:rPr>
          <w:sz w:val="20"/>
          <w:szCs w:val="20"/>
          <w:color w:val="auto"/>
        </w:rPr>
      </w:pPr>
      <w:r>
        <w:rPr>
          <w:rFonts w:ascii="Arial" w:cs="Arial" w:eastAsia="Arial" w:hAnsi="Arial"/>
          <w:sz w:val="18"/>
          <w:szCs w:val="18"/>
          <w:color w:val="auto"/>
        </w:rPr>
        <w:t>Peru’s financial account had a surplus of US$1.1 billion in 1999 and in 2000, declined to US$1.0 billion in 2001, grew to US$1.8 billion in 2002 as a result of increased public sector capital inflows, was US$0.7 billion in 2003, grew to US$2.2 billion in 2004, and was US$0.2 billion in 2005. In 2006, surplus was US$0.7 billion, mainly due to repayment of external debt made by the public sector. This account grew substantively in 2007, and reached US$8.3 billion due mainly to higher foreign direct investment and long-term loans.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flow of direct foreign investment into Peru was US$433 million in 2000, US$803 million in 2001, US$2.2 billion in 2002, US$1.3 billion in 2003, US$1.8 billion in 2004, US$2.6 billion in 2005, US$3.5 billion in 2006 and US$5.3 billion in 2007.</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inflation rate in Peru,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3.5% in 2004, 1.5% in 2005, 1.1% in 2006 and 3.9% in 2007. On the other hand, Peruvian Central Bank reduced its inflation target range for 2007 from 1.5% - 3.5% to 1.0% - 3.0%. It is worth mentioning that in the last five years the average inflation rate was below 2%.</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bank market exchange rate for Nuevos Soles in Peru was S/.3.282 per US$1.00 on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 However, in second half 2005, Nuevo Sol depreciated due to higher international interest rates and political uncertainty, closing the year at S/.3.430. After the presidential elections in 2006, the exchange rate decreased, closing the year at S/.3.196 for US$1.00 and at S/.2.996 in 2007.</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 decreasing to 23.6% in December 2005. In 2006 and 2007, a reduction was registered, closing at 23.1% and 22.3%, respectively.</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recent economic performance has also been reflected in a lower fiscal deficit. Peru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and 0.7% in 2005. In 2006, because of higher earnings generated from income tax, a surplus of 2.1% of GDP was achieved. This favorable situation remained during 2007, when surplus increased to 3.2% of GDP.</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13.6% in 2005 and 14.9% in 2006 and 15.5% in 2007.</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July 1996, Peru reached an agreement with the Paris Club countries, resulting in the rescheduling of 1996-1998 maturities. Likewise, due to a successful program with this group of creditors, Peru was able to reduce its external debt from US$8.5 billion at the end of 2004 to US$5.6 million at the end of 2006. An additional pre-payment of US$2.5 billion was made in the second half of 2007.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jc w:val="both"/>
        <w:ind w:firstLine="648"/>
        <w:spacing w:after="0" w:line="255" w:lineRule="auto"/>
        <w:rPr>
          <w:sz w:val="20"/>
          <w:szCs w:val="20"/>
          <w:color w:val="auto"/>
        </w:rPr>
      </w:pPr>
      <w:r>
        <w:rPr>
          <w:rFonts w:ascii="Arial" w:cs="Arial" w:eastAsia="Arial" w:hAnsi="Arial"/>
          <w:sz w:val="18"/>
          <w:szCs w:val="18"/>
          <w:color w:val="auto"/>
        </w:rPr>
        <w:t>In 1999, Peru signed a three-year extended fund facility accord with the IMF, the third consecutive IMF program it has followed, giving the country a stable framework for macro-economic planning. However, the fall in tax revenue and increased spending in 1999 caused Peru to fail to fulfill the fiscal goal agreed upon with the IMF of a primary fiscal surplus of 0.5%, which is the public sector’s result before capital costs or gains, debt servicing and privatization income. In fact, Peru reported a primary sector deficit of 0.1% in 1999 and of 0.2% in 2000. Peru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2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subsequent Stand-By Agreement was approved by the IMF on June 9, 2004 and covered years 2004 to 2006. The macro-economic framework of the agreement stresses the consolidation of recent year-on-year gains due to the low inflation rate and continued improvements in the public sector deficit, tax reform, current account deficit, level of foreign reserves, and other variables, in order to seek higher GDP growth. The program focused on, among other points, reducing the public sector deficit to 1.4% of GDP in 2004 and to 1% per year in each of 2005 and 2006, and on lowering the debt-to-GDP ratio from 47.5% in 2003 to 41.0% in 2006. With a favorable international context, and thanks to a fast reduction of deficit, debt-to-GDP ratio in 2006 decreased to</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38.0%. A recent review of the current Stand-By Arrangement focused on the implementation of the policies for 2008 to: (i) sustain the strong fiscal performance and to strengthen the credibility of inflation targeting; (ii) enhance the fiscal framework, the effectiveness of the tax system, and the quality of public spending; (iii) effectively tackle high poverty levels; (iv) deepen financial intermediation and capital markets, and reduce dollarization; and (v) ensure strong and sustainable medium-term growth.</w:t>
      </w:r>
    </w:p>
    <w:p>
      <w:pPr>
        <w:spacing w:after="0" w:line="2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There can be no assurance that economic growth will be sustained in the future or that inflation in Peru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249" w:lineRule="exact"/>
        <w:rPr>
          <w:sz w:val="20"/>
          <w:szCs w:val="20"/>
          <w:color w:val="auto"/>
        </w:rPr>
      </w:pPr>
    </w:p>
    <w:p>
      <w:pPr>
        <w:ind w:left="1020" w:hanging="688"/>
        <w:spacing w:after="0"/>
        <w:tabs>
          <w:tab w:leader="none" w:pos="10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Credicorp’s activities are conducted primarily through banking and insurance subsidiaries operating in Peru, a summary of the Peruvian financial system is set forth below.</w:t>
      </w:r>
    </w:p>
    <w:p>
      <w:pPr>
        <w:spacing w:after="0" w:line="220" w:lineRule="exact"/>
        <w:rPr>
          <w:sz w:val="20"/>
          <w:szCs w:val="20"/>
          <w:color w:val="auto"/>
        </w:rPr>
      </w:pPr>
    </w:p>
    <w:p>
      <w:pPr>
        <w:ind w:left="1140" w:hanging="484"/>
        <w:spacing w:after="0"/>
        <w:tabs>
          <w:tab w:leader="none" w:pos="11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2007, the Peruvian financial system consisted of the following principal participants: the Central Bank, the SBS, 13 banking institutions (not including Banco de la Nación, a Peruvian state-owned bank), three finance companies and five leasing companies. In addition, Peru has various mutual mortgage associations, municipal and rural savings and credit associations, municipal public credit associations and savings and credit cooperatives.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228" w:lineRule="exact"/>
        <w:rPr>
          <w:sz w:val="20"/>
          <w:szCs w:val="20"/>
          <w:color w:val="auto"/>
        </w:rPr>
      </w:pPr>
    </w:p>
    <w:p>
      <w:pPr>
        <w:ind w:left="1140" w:hanging="484"/>
        <w:spacing w:after="0"/>
        <w:tabs>
          <w:tab w:leader="none" w:pos="11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Reserve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31" w:lineRule="exact"/>
        <w:rPr>
          <w:sz w:val="20"/>
          <w:szCs w:val="20"/>
          <w:color w:val="auto"/>
        </w:rPr>
      </w:pPr>
    </w:p>
    <w:p>
      <w:pPr>
        <w:ind w:left="1140" w:hanging="484"/>
        <w:spacing w:after="0"/>
        <w:tabs>
          <w:tab w:leader="none" w:pos="11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SBS</w:t>
      </w:r>
    </w:p>
    <w:p>
      <w:pPr>
        <w:spacing w:after="0" w:line="3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Peru. On June 22, 2008, the SBS issued amendments to the Peruvian Banking regulations, some of which will take effect in December 2008 and in July 2009. Credicorp’s management is currently evaluating the impact of these amendments on its consolidated financial statements.</w:t>
      </w:r>
    </w:p>
    <w:p>
      <w:pPr>
        <w:spacing w:after="0" w:line="221" w:lineRule="exact"/>
        <w:rPr>
          <w:sz w:val="20"/>
          <w:szCs w:val="20"/>
          <w:color w:val="auto"/>
        </w:rPr>
      </w:pPr>
    </w:p>
    <w:p>
      <w:pPr>
        <w:ind w:left="1140" w:hanging="484"/>
        <w:spacing w:after="0"/>
        <w:tabs>
          <w:tab w:leader="none" w:pos="11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jc w:val="both"/>
        <w:ind w:firstLine="648"/>
        <w:spacing w:after="0" w:line="269" w:lineRule="auto"/>
        <w:rPr>
          <w:sz w:val="20"/>
          <w:szCs w:val="20"/>
          <w:color w:val="auto"/>
        </w:rPr>
      </w:pPr>
      <w:r>
        <w:rPr>
          <w:rFonts w:ascii="Arial" w:cs="Arial" w:eastAsia="Arial" w:hAnsi="Arial"/>
          <w:sz w:val="17"/>
          <w:szCs w:val="17"/>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leasing companies, and to establish and administer mutual funds.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Peru, in an amount not less than the minimum amount required of Peruvian banks.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in financial and non-financial assets, subject to the regulations on investments and reserves established in Law 26702 and the regulations issued by the SBS.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and the formation of an insurance company requires prior authorization of the SBS.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14 in 2007.</w:t>
      </w:r>
    </w:p>
    <w:p>
      <w:pPr>
        <w:spacing w:after="0" w:line="327" w:lineRule="exact"/>
        <w:rPr>
          <w:sz w:val="20"/>
          <w:szCs w:val="20"/>
          <w:color w:val="auto"/>
        </w:rPr>
      </w:pPr>
    </w:p>
    <w:p>
      <w:pPr>
        <w:ind w:left="1000" w:hanging="668"/>
        <w:spacing w:after="0"/>
        <w:tabs>
          <w:tab w:leader="none" w:pos="10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92" w:lineRule="exact"/>
        <w:rPr>
          <w:rFonts w:ascii="Arial" w:cs="Arial" w:eastAsia="Arial" w:hAnsi="Arial"/>
          <w:sz w:val="18"/>
          <w:szCs w:val="18"/>
          <w:b w:val="1"/>
          <w:bCs w:val="1"/>
          <w:color w:val="auto"/>
        </w:rPr>
      </w:pPr>
    </w:p>
    <w:p>
      <w:pPr>
        <w:ind w:left="1140" w:hanging="484"/>
        <w:spacing w:after="0"/>
        <w:tabs>
          <w:tab w:leader="none" w:pos="1140"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Peru, the Cayman Islands and Bolivia, a summary of Peruvian banking and insurance regulations and Cayman Islands banking regulations is set forth below.</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Since Credicorp’s Common Shares are listed on the Lima Stock Exchange in addition to the New York Stock Exchange, Credicorp is subject to certain reporting requirements of the CONASEV, the securities market regulator, and the Lima Stock Exchange. See “Item 9. The Offer and Listing—</w:t>
      </w:r>
    </w:p>
    <w:p>
      <w:pPr>
        <w:ind w:left="300" w:hanging="29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Markets—The Lima Stock Exchange—(ii) Market Regulation.”</w:t>
      </w:r>
    </w:p>
    <w:p>
      <w:pPr>
        <w:spacing w:after="0" w:line="260" w:lineRule="exact"/>
        <w:rPr>
          <w:rFonts w:ascii="Arial" w:cs="Arial" w:eastAsia="Arial" w:hAnsi="Arial"/>
          <w:sz w:val="18"/>
          <w:szCs w:val="18"/>
          <w:color w:val="auto"/>
        </w:rPr>
      </w:pPr>
    </w:p>
    <w:p>
      <w:pPr>
        <w:ind w:left="1140" w:hanging="484"/>
        <w:spacing w:after="0"/>
        <w:tabs>
          <w:tab w:leader="none" w:pos="114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p>
      <w:pPr>
        <w:jc w:val="both"/>
        <w:ind w:firstLine="648"/>
        <w:spacing w:after="0" w:line="264" w:lineRule="auto"/>
        <w:rPr>
          <w:sz w:val="20"/>
          <w:szCs w:val="20"/>
          <w:color w:val="auto"/>
        </w:rPr>
      </w:pPr>
      <w:r>
        <w:rPr>
          <w:rFonts w:ascii="Arial" w:cs="Arial" w:eastAsia="Arial" w:hAnsi="Arial"/>
          <w:sz w:val="18"/>
          <w:szCs w:val="18"/>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bye-laws.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 owned brokerage house, and Credifondo, BCP’s wholly owned mutual fund administration company. CONASEV examines Credibolsa and Credifondo on a regular basis.</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AFPs which had been supervised and regulated by a specialized superintendency since the inception of the system in 1992.</w:t>
      </w:r>
    </w:p>
    <w:p>
      <w:pPr>
        <w:spacing w:after="0" w:line="2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bye-laws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17"/>
          <w:szCs w:val="17"/>
          <w:i w:val="1"/>
          <w:iCs w:val="1"/>
          <w:color w:val="auto"/>
        </w:rPr>
        <w:t>Central de Riesgos</w:t>
      </w:r>
      <w:r>
        <w:rPr>
          <w:rFonts w:ascii="Arial" w:cs="Arial" w:eastAsia="Arial" w:hAnsi="Arial"/>
          <w:sz w:val="17"/>
          <w:szCs w:val="17"/>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supervising BCP, the SBS supervises Credicorp on the basis that it is a financial conglomerate conducting the majority of its operations in Peru.</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 No. 006 established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p>
      <w:pPr>
        <w:jc w:val="both"/>
        <w:ind w:firstLine="648"/>
        <w:spacing w:after="0" w:line="255" w:lineRule="auto"/>
        <w:rPr>
          <w:sz w:val="20"/>
          <w:szCs w:val="20"/>
          <w:color w:val="auto"/>
        </w:rPr>
      </w:pPr>
      <w:r>
        <w:rPr>
          <w:rFonts w:ascii="Arial" w:cs="Arial" w:eastAsia="Arial" w:hAnsi="Arial"/>
          <w:sz w:val="18"/>
          <w:szCs w:val="18"/>
          <w:color w:val="auto"/>
        </w:rPr>
        <w:t>Credicorp, following these SBS guidelines as well as guidelines issued by the Basel Committee on Banking Supervision and the advice of international consultants, has set up at BCP a specialized team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Credicorp is required to make certain certifications regarding its internal controls over financial reporting as of December 31, 2007. Credicorp has developed an internal methodology, which is in accordance with Public Company Accounting Oversight Board-PCAOB, Accounting Standard 5, to evaluate the effectiveness of its internal controls over financial reporting. In addition, Credicorp is implementing computer programs to allow for the continuous monitoring, assessment and documentation of its internal controls. During 2007, Credicorp has completed its evaluation of internal controls over financial reporting and is now able to obtain the attestation of its independent auditors. See “Item 15. Controls and Procedures.”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 of 0% is assigned, to assets which require a weight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Article 184 of Law 26702, regulatory capital consists of the sum of (i) paid-in capital, legal reserves, discretionary reserves (if any), reserves incurred but not specifically identified loan losses in the loan portfolio or other indirect credit exposure (up to 1% of the total value of both) and a percentage of certain subordinated bonds issued by the bank, less (ii) equity investments in all consolidated subsidiaries. According to Article 184, regulatory capital can be segmented and applied to cover credit risks and market risks. SBS regulations require the segregation of regulatory capital to cover foreign exchange risk exposure and to cover risk related to investments in equity shares.</w:t>
      </w:r>
    </w:p>
    <w:p>
      <w:pPr>
        <w:spacing w:after="0" w:line="2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2007, BCP’s unconsolidated amount of risk-weighted assets was 8.44 times the regulatory capital, or regulatory capital was 11.84% of risk-weighted assets, which included US$294 million of market risk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4" w:name="page65"/>
    <w:bookmarkEnd w:id="64"/>
    <w:p>
      <w:pPr>
        <w:jc w:val="both"/>
        <w:ind w:firstLine="648"/>
        <w:spacing w:after="0" w:line="286" w:lineRule="auto"/>
        <w:rPr>
          <w:sz w:val="20"/>
          <w:szCs w:val="20"/>
          <w:color w:val="auto"/>
        </w:rPr>
      </w:pPr>
      <w:r>
        <w:rPr>
          <w:rFonts w:ascii="Arial" w:cs="Arial" w:eastAsia="Arial" w:hAnsi="Arial"/>
          <w:sz w:val="17"/>
          <w:szCs w:val="17"/>
          <w:color w:val="auto"/>
        </w:rPr>
        <w:t>Regulations for the supervision of market risks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2007, BCP’s consolidated legal reserve was S/.546.5 million (US$182 million), equivalent to 42.5% of BCP’s paid-in capital as of such date.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ii and 3(i) to the Credicorp Consolidated Financial Statements.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SBS Resolution No. 505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ii and 3(i) to the Credicorp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Law 26702, banks and finance companies are required to maintain an </w:t>
      </w:r>
      <w:r>
        <w:rPr>
          <w:rFonts w:ascii="Arial" w:cs="Arial" w:eastAsia="Arial" w:hAnsi="Arial"/>
          <w:sz w:val="18"/>
          <w:szCs w:val="18"/>
          <w:i w:val="1"/>
          <w:iCs w:val="1"/>
          <w:color w:val="auto"/>
        </w:rPr>
        <w:t>encaje</w:t>
      </w:r>
      <w:r>
        <w:rPr>
          <w:rFonts w:ascii="Arial" w:cs="Arial" w:eastAsia="Arial" w:hAnsi="Arial"/>
          <w:sz w:val="18"/>
          <w:szCs w:val="18"/>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The Central Bank requires reserves on amounts due to foreign banks and other foreign financial companies, which were not previously considered obligations. The regulation excludes funding from other central banks, governments or multilateral lending agencies.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5" w:name="page66"/>
    <w:bookmarkEnd w:id="65"/>
    <w:p>
      <w:pPr>
        <w:jc w:val="both"/>
        <w:ind w:firstLine="648"/>
        <w:spacing w:after="0" w:line="253" w:lineRule="auto"/>
        <w:rPr>
          <w:sz w:val="20"/>
          <w:szCs w:val="20"/>
          <w:color w:val="auto"/>
        </w:rPr>
      </w:pPr>
      <w:r>
        <w:rPr>
          <w:rFonts w:ascii="Arial" w:cs="Arial" w:eastAsia="Arial" w:hAnsi="Arial"/>
          <w:sz w:val="18"/>
          <w:szCs w:val="18"/>
          <w:color w:val="auto"/>
        </w:rPr>
        <w:t>Between August 2000 and December 2007, the rate of the legal reserve has been 6% (formerly 7%) of the obligations described above. The legal reserve requirement increased to 7% again in February 2008, to 8% in March 2008 and to 8.5% in May 2008. The reserve may be kept in cash by the corresponding bank or finance company, with a minimum of 1% held in deposits in current accounts in the Central Bank. Additional reserves for obligations in foreign currency are determined as the average daily balance during December 2004 (previously September 2004), and are subject to a 45% reserve requirement (30% until 2007). Additional reserves for obligations in local currency are determined as the average daily balance during December 2004, are subject to a 25% reserve requirement. Previously, there was no requirement for additional reserve in local currency. The legal reserve (8.5%) and the additional reserve must be calculated in Nuevos Soles for obligations in local currency and in U.S. Dollars for obligations in foreign currency. Additional reserves in local currency for deposits of non-Peruvian residents increased from 40% to 120%. The Central Bank oversees compliance with the reserve requirements.</w:t>
      </w:r>
    </w:p>
    <w:p>
      <w:pPr>
        <w:spacing w:after="0" w:line="2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Bank also establishes the interest rate payable on the reserves that exceed the legal 8.5% requirement, which are mainly on foreign currency deposits. The Central Bank periodically increased the applicable interest rate during 2005, from 3.00% as of 2004 to 3.25% as of December 31, 2005. After six consecutive increases between December 2005 and May 2006, the Central Bank’s Board of Directors decided to maintain the applicable interest rate at 4.5%. The interest rate was increased to 5.5% as of May 2008. The interest rate is expected to be periodically revised by the Central Bank in accordance with monetary policy objectives.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2007, the 10.0% credit limit per borrower of BCP, unconsolidated, was S/.315.7 million (US$105.4 million) for unsecured loans, and the 30.0% limit amounted to S/.947.1 million (US$316.1 million) for secured loans.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6" w:name="page67"/>
    <w:bookmarkEnd w:id="66"/>
    <w:p>
      <w:pPr>
        <w:jc w:val="both"/>
        <w:ind w:firstLine="648"/>
        <w:spacing w:after="0" w:line="259" w:lineRule="auto"/>
        <w:rPr>
          <w:sz w:val="20"/>
          <w:szCs w:val="20"/>
          <w:color w:val="auto"/>
        </w:rPr>
      </w:pPr>
      <w:r>
        <w:rPr>
          <w:rFonts w:ascii="Arial" w:cs="Arial" w:eastAsia="Arial" w:hAnsi="Arial"/>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18"/>
          <w:szCs w:val="18"/>
          <w:i w:val="1"/>
          <w:iCs w:val="1"/>
          <w:color w:val="auto"/>
        </w:rPr>
        <w:t>i.e.</w:t>
      </w:r>
      <w:r>
        <w:rPr>
          <w:rFonts w:ascii="Arial" w:cs="Arial" w:eastAsia="Arial" w:hAnsi="Arial"/>
          <w:sz w:val="18"/>
          <w:szCs w:val="18"/>
          <w:color w:val="auto"/>
        </w:rPr>
        <w:t>, 5% of the overall 7% limit).</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Risk Rating</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 26702 and SBS Resolution No. 672,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December 2007, BCP was assigned the “A+” risk category by its two rating agencies, Equilibrium Clasificadora de Riesgo and Apoyo and Associates International.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Deposit Fund</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Law 26702 provides for mandatory deposit insurance to protect all types of deposits of financial institutions by establishing the </w:t>
      </w:r>
      <w:r>
        <w:rPr>
          <w:rFonts w:ascii="Arial" w:cs="Arial" w:eastAsia="Arial" w:hAnsi="Arial"/>
          <w:sz w:val="17"/>
          <w:szCs w:val="17"/>
          <w:i w:val="1"/>
          <w:iCs w:val="1"/>
          <w:color w:val="auto"/>
        </w:rPr>
        <w:t>Fondo de Seguro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Depósitos </w:t>
      </w:r>
      <w:r>
        <w:rPr>
          <w:rFonts w:ascii="Arial" w:cs="Arial" w:eastAsia="Arial" w:hAnsi="Arial"/>
          <w:sz w:val="17"/>
          <w:szCs w:val="17"/>
          <w:color w:val="auto"/>
        </w:rPr>
        <w:t>(Deposit Insurance Fund, or the “Fund”) for individuals, associations, not-for-profit companies, and demand deposits of non-financial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BCP is classified in the lowest risk category, and increase to 1.45% applicable to banks in the highest risk category. The maximum amount that a customer is entitled to recover from the Fund is S/.82,845 from June through August 2008.</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bye-laws; (iv) repeatedly manages its operations in an unauthorized or unsound manner; or (v) has its regulatory capital fall or be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BCP must adhere to a financial restructuring plan.</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BCP except if the preceding option (iii) was applied.</w:t>
      </w:r>
    </w:p>
    <w:p>
      <w:pPr>
        <w:spacing w:after="0" w:line="238" w:lineRule="exact"/>
        <w:rPr>
          <w:sz w:val="20"/>
          <w:szCs w:val="20"/>
          <w:color w:val="auto"/>
        </w:rPr>
      </w:pPr>
    </w:p>
    <w:p>
      <w:pPr>
        <w:ind w:left="1140" w:hanging="484"/>
        <w:spacing w:after="0"/>
        <w:tabs>
          <w:tab w:leader="none" w:pos="11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ASHC</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8" w:name="page69"/>
    <w:bookmarkEnd w:id="68"/>
    <w:p>
      <w:pPr>
        <w:jc w:val="both"/>
        <w:ind w:firstLine="648"/>
        <w:spacing w:after="0" w:line="259" w:lineRule="auto"/>
        <w:rPr>
          <w:sz w:val="20"/>
          <w:szCs w:val="20"/>
          <w:color w:val="auto"/>
        </w:rPr>
      </w:pPr>
      <w:r>
        <w:rPr>
          <w:rFonts w:ascii="Arial" w:cs="Arial" w:eastAsia="Arial" w:hAnsi="Arial"/>
          <w:sz w:val="18"/>
          <w:szCs w:val="18"/>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residing in the Cayman Islands other than another licensee or an exempted or an ordinary non-resident company which is not carrying on business in the Cayman Islands.</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9" w:name="page70"/>
    <w:bookmarkEnd w:id="69"/>
    <w:p>
      <w:pPr>
        <w:ind w:left="1140" w:hanging="484"/>
        <w:spacing w:after="0"/>
        <w:tabs>
          <w:tab w:leader="none" w:pos="11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3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Bolivian banking system operates under the </w:t>
      </w:r>
      <w:r>
        <w:rPr>
          <w:rFonts w:ascii="Arial" w:cs="Arial" w:eastAsia="Arial" w:hAnsi="Arial"/>
          <w:sz w:val="17"/>
          <w:szCs w:val="17"/>
          <w:i w:val="1"/>
          <w:iCs w:val="1"/>
          <w:color w:val="auto"/>
        </w:rPr>
        <w:t>Ley de Bancos y Entidades Financieras</w:t>
      </w:r>
      <w:r>
        <w:rPr>
          <w:rFonts w:ascii="Arial" w:cs="Arial" w:eastAsia="Arial" w:hAnsi="Arial"/>
          <w:sz w:val="17"/>
          <w:szCs w:val="17"/>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17"/>
          <w:szCs w:val="17"/>
          <w:i w:val="1"/>
          <w:iCs w:val="1"/>
          <w:color w:val="auto"/>
        </w:rPr>
        <w:t>Superintendencia de Pensiones, Valores y Seguros</w:t>
      </w:r>
      <w:r>
        <w:rPr>
          <w:rFonts w:ascii="Arial" w:cs="Arial" w:eastAsia="Arial" w:hAnsi="Arial"/>
          <w:sz w:val="17"/>
          <w:szCs w:val="17"/>
          <w:color w:val="auto"/>
        </w:rPr>
        <w:t xml:space="preserve"> (the Pensions, Securities and Insurance Superintendency) supervises brokerage activities and mutual funds management, as conducted through BCB’s subsidiaries Credibolsa S.A. and Credifondo S.A., respectively, which operate under the </w:t>
      </w:r>
      <w:r>
        <w:rPr>
          <w:rFonts w:ascii="Arial" w:cs="Arial" w:eastAsia="Arial" w:hAnsi="Arial"/>
          <w:sz w:val="17"/>
          <w:szCs w:val="17"/>
          <w:i w:val="1"/>
          <w:iCs w:val="1"/>
          <w:color w:val="auto"/>
        </w:rPr>
        <w:t>Ley del Mercado de Valores</w:t>
      </w:r>
      <w:r>
        <w:rPr>
          <w:rFonts w:ascii="Arial" w:cs="Arial" w:eastAsia="Arial" w:hAnsi="Arial"/>
          <w:sz w:val="17"/>
          <w:szCs w:val="17"/>
          <w:color w:val="auto"/>
        </w:rPr>
        <w:t xml:space="preserve"> (the Securities Markets Law) No. 1834, enacted on March 31, 1998.</w:t>
      </w:r>
    </w:p>
    <w:p>
      <w:pPr>
        <w:spacing w:after="0" w:line="228" w:lineRule="exact"/>
        <w:rPr>
          <w:sz w:val="20"/>
          <w:szCs w:val="20"/>
          <w:color w:val="auto"/>
        </w:rPr>
      </w:pPr>
    </w:p>
    <w:p>
      <w:pPr>
        <w:ind w:left="1140" w:hanging="484"/>
        <w:spacing w:after="0"/>
        <w:tabs>
          <w:tab w:leader="none" w:pos="11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operations of PPS are regulated by Law 26702 and the SBS. Peruvian insurance companies must regularly submit reports to the SBS regarding their operations. In addition, the SBS conducts on-sight reviews of the performance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Peruvian insurance companies are prohibited from having an ownership interest in other insurance or reinsurance companies or in private pension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(a) the solvency margin, or (b) the minimum capital requirement, as established by law. The required amount of solvency equity is recalculated at least quarterly. If the insurance company has outstanding credit risk operations, part of the solvency equity should be segregated for their coverage.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Pursuant to Law 26702 and regulations issued by the SBS, Peruvian insurance companies must establish Technical Reserves. See “—(6) Pacífico Peruano Suiza—(ii)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3(e) to the Credicorp Consolidated Financial Statements. Finally, PPS is required by the SBS to establish pre-event reserves for risk of catastrophes, which, in accordance with IFRS principles, are not considered in Credicorp’s financial statements. See “—(6) Pacífico Peruano Suiza —</w:t>
      </w:r>
    </w:p>
    <w:p>
      <w:pPr>
        <w:spacing w:after="0" w:line="2" w:lineRule="exact"/>
        <w:rPr>
          <w:sz w:val="20"/>
          <w:szCs w:val="20"/>
          <w:color w:val="auto"/>
        </w:rPr>
      </w:pPr>
    </w:p>
    <w:p>
      <w:pPr>
        <w:ind w:left="660" w:right="8960" w:hanging="652"/>
        <w:spacing w:after="0" w:line="666" w:lineRule="auto"/>
        <w:tabs>
          <w:tab w:leader="none" w:pos="277"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Claims and Reserves.” </w:t>
      </w:r>
      <w:r>
        <w:rPr>
          <w:rFonts w:ascii="Arial" w:cs="Arial" w:eastAsia="Arial" w:hAnsi="Arial"/>
          <w:sz w:val="15"/>
          <w:szCs w:val="15"/>
          <w:i w:val="1"/>
          <w:iCs w:val="1"/>
          <w:color w:val="auto"/>
        </w:rPr>
        <w:t>Investment Requirements</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Peru or the analogous registry of their respective country.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home mortgage loans to employees.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261" w:lineRule="exact"/>
        <w:rPr>
          <w:sz w:val="20"/>
          <w:szCs w:val="20"/>
          <w:color w:val="auto"/>
        </w:rPr>
      </w:pPr>
    </w:p>
    <w:p>
      <w:pPr>
        <w:ind w:left="1020" w:hanging="688"/>
        <w:spacing w:after="0"/>
        <w:tabs>
          <w:tab w:leader="none" w:pos="10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2003, 2004, 2005, 2006 and 2007 reflect the consolidated financial position of Credicorp and its subsidiaries, including BCP, ASHC, PPS and Grupo Crédito, as of December 31, 2003, 2004, 2005, 2006 and 2007 and the results of operations for 2003, 2004, 2005, 2006 and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ind w:left="1140" w:hanging="484"/>
        <w:spacing w:after="0"/>
        <w:tabs>
          <w:tab w:leader="none" w:pos="11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3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Credicorp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different from those that would be presented by daily averages.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Average Interest Rates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real average interest rates set forth in the tables below have been calculated by adjusting the nominal average interest rates on Nuevo Sol-denominated assets and liabilities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151765</wp:posOffset>
            </wp:positionV>
            <wp:extent cx="1209040" cy="360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20"/>
          </w:cols>
          <w:pgMar w:left="240" w:top="364" w:right="23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real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6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nominal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64" w:right="239" w:bottom="1440" w:gutter="0" w:footer="0" w:header="0"/>
          <w:type w:val="continuous"/>
        </w:sect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inflation rate in Peru for the period (based on the Peruvian consumer price index).</w:t>
      </w:r>
    </w:p>
    <w:p>
      <w:pPr>
        <w:spacing w:after="0" w:line="2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24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tables show average balances for all of Credicorp’s assets and liabilities, interest earned and paid amounts, and nominal rates and real rates for Credicorp’s interest-earning assets and interest-bearing liabilities, all for the years ended December 31, 2005, 2006 and 2007.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72" w:name="page73"/>
    <w:bookmarkEnd w:id="72"/>
    <w:p>
      <w:pPr>
        <w:ind w:left="514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2005</w:t>
            </w: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1"/>
                <w:szCs w:val="11"/>
                <w:b w:val="1"/>
                <w:bCs w:val="1"/>
                <w:color w:val="auto"/>
              </w:rPr>
              <w:t>2006</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2007</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right"/>
              <w:ind w:right="340"/>
              <w:spacing w:after="0" w:line="102" w:lineRule="exact"/>
              <w:rPr>
                <w:sz w:val="20"/>
                <w:szCs w:val="20"/>
                <w:color w:val="auto"/>
              </w:rPr>
            </w:pPr>
            <w:r>
              <w:rPr>
                <w:rFonts w:ascii="Arial" w:cs="Arial" w:eastAsia="Arial" w:hAnsi="Arial"/>
                <w:sz w:val="11"/>
                <w:szCs w:val="11"/>
                <w:b w:val="1"/>
                <w:bCs w:val="1"/>
                <w:color w:val="auto"/>
              </w:rPr>
              <w:t>Real</w:t>
            </w:r>
          </w:p>
        </w:tc>
        <w:tc>
          <w:tcPr>
            <w:tcW w:w="640" w:type="dxa"/>
            <w:vAlign w:val="bottom"/>
          </w:tcPr>
          <w:p>
            <w:pPr>
              <w:jc w:val="right"/>
              <w:ind w:right="86"/>
              <w:spacing w:after="0" w:line="102" w:lineRule="exact"/>
              <w:rPr>
                <w:sz w:val="20"/>
                <w:szCs w:val="20"/>
                <w:color w:val="auto"/>
              </w:rPr>
            </w:pPr>
            <w:r>
              <w:rPr>
                <w:rFonts w:ascii="Arial" w:cs="Arial" w:eastAsia="Arial" w:hAnsi="Arial"/>
                <w:sz w:val="11"/>
                <w:szCs w:val="11"/>
                <w:b w:val="1"/>
                <w:bCs w:val="1"/>
                <w:color w:val="auto"/>
              </w:rPr>
              <w:t>Nominal</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right"/>
              <w:ind w:right="320"/>
              <w:spacing w:after="0" w:line="102" w:lineRule="exact"/>
              <w:rPr>
                <w:sz w:val="20"/>
                <w:szCs w:val="20"/>
                <w:color w:val="auto"/>
              </w:rPr>
            </w:pPr>
            <w:r>
              <w:rPr>
                <w:rFonts w:ascii="Arial" w:cs="Arial" w:eastAsia="Arial" w:hAnsi="Arial"/>
                <w:sz w:val="11"/>
                <w:szCs w:val="11"/>
                <w:b w:val="1"/>
                <w:bCs w:val="1"/>
                <w:color w:val="auto"/>
              </w:rPr>
              <w:t>Real</w:t>
            </w:r>
          </w:p>
        </w:tc>
        <w:tc>
          <w:tcPr>
            <w:tcW w:w="6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Nominal</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360"/>
              <w:spacing w:after="0" w:line="102" w:lineRule="exact"/>
              <w:rPr>
                <w:sz w:val="20"/>
                <w:szCs w:val="20"/>
                <w:color w:val="auto"/>
              </w:rPr>
            </w:pPr>
            <w:r>
              <w:rPr>
                <w:rFonts w:ascii="Arial" w:cs="Arial" w:eastAsia="Arial" w:hAnsi="Arial"/>
                <w:sz w:val="11"/>
                <w:szCs w:val="11"/>
                <w:b w:val="1"/>
                <w:bCs w:val="1"/>
                <w:color w:val="auto"/>
              </w:rPr>
              <w:t>Real</w:t>
            </w:r>
          </w:p>
        </w:tc>
        <w:tc>
          <w:tcPr>
            <w:tcW w:w="660" w:type="dxa"/>
            <w:vAlign w:val="bottom"/>
          </w:tcPr>
          <w:p>
            <w:pPr>
              <w:jc w:val="right"/>
              <w:ind w:right="106"/>
              <w:spacing w:after="0" w:line="102" w:lineRule="exact"/>
              <w:rPr>
                <w:sz w:val="20"/>
                <w:szCs w:val="20"/>
                <w:color w:val="auto"/>
              </w:rPr>
            </w:pPr>
            <w:r>
              <w:rPr>
                <w:rFonts w:ascii="Arial" w:cs="Arial" w:eastAsia="Arial" w:hAnsi="Arial"/>
                <w:sz w:val="11"/>
                <w:szCs w:val="11"/>
                <w:b w:val="1"/>
                <w:bCs w:val="1"/>
                <w:color w:val="auto"/>
              </w:rPr>
              <w:t>Nominal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80" w:type="dxa"/>
            <w:vAlign w:val="bottom"/>
            <w:vMerge w:val="restart"/>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tcPr>
          <w:p>
            <w:pPr>
              <w:spacing w:after="0"/>
              <w:rPr>
                <w:sz w:val="10"/>
                <w:szCs w:val="10"/>
                <w:color w:val="auto"/>
              </w:rPr>
            </w:pPr>
          </w:p>
        </w:tc>
        <w:tc>
          <w:tcPr>
            <w:tcW w:w="64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w w:val="82"/>
              </w:rPr>
              <w:t>Average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0"/>
              <w:spacing w:after="0" w:line="122" w:lineRule="exact"/>
              <w:rPr>
                <w:sz w:val="20"/>
                <w:szCs w:val="20"/>
                <w:color w:val="auto"/>
              </w:rPr>
            </w:pPr>
            <w:r>
              <w:rPr>
                <w:rFonts w:ascii="Arial" w:cs="Arial" w:eastAsia="Arial" w:hAnsi="Arial"/>
                <w:sz w:val="11"/>
                <w:szCs w:val="11"/>
                <w:b w:val="1"/>
                <w:bCs w:val="1"/>
                <w:color w:val="auto"/>
                <w:w w:val="85"/>
              </w:rPr>
              <w:t>Interest</w:t>
            </w:r>
          </w:p>
        </w:tc>
        <w:tc>
          <w:tcPr>
            <w:tcW w:w="6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Avg.</w:t>
            </w:r>
          </w:p>
        </w:tc>
        <w:tc>
          <w:tcPr>
            <w:tcW w:w="78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Avg.</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w w:val="78"/>
              </w:rPr>
              <w:t>Average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Interest</w:t>
            </w:r>
          </w:p>
        </w:tc>
        <w:tc>
          <w:tcPr>
            <w:tcW w:w="62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Avg.</w:t>
            </w:r>
          </w:p>
        </w:tc>
        <w:tc>
          <w:tcPr>
            <w:tcW w:w="1020" w:type="dxa"/>
            <w:vAlign w:val="bottom"/>
            <w:gridSpan w:val="3"/>
          </w:tcPr>
          <w:p>
            <w:pPr>
              <w:jc w:val="center"/>
              <w:ind w:right="380"/>
              <w:spacing w:after="0" w:line="122" w:lineRule="exact"/>
              <w:rPr>
                <w:sz w:val="20"/>
                <w:szCs w:val="20"/>
                <w:color w:val="auto"/>
              </w:rPr>
            </w:pPr>
            <w:r>
              <w:rPr>
                <w:rFonts w:ascii="Arial" w:cs="Arial" w:eastAsia="Arial" w:hAnsi="Arial"/>
                <w:sz w:val="11"/>
                <w:szCs w:val="11"/>
                <w:b w:val="1"/>
                <w:bCs w:val="1"/>
                <w:color w:val="auto"/>
                <w:w w:val="83"/>
              </w:rPr>
              <w:t>Avg.</w:t>
            </w:r>
          </w:p>
        </w:tc>
        <w:tc>
          <w:tcPr>
            <w:tcW w:w="68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82"/>
              </w:rPr>
              <w:t>Average</w:t>
            </w:r>
          </w:p>
        </w:tc>
        <w:tc>
          <w:tcPr>
            <w:tcW w:w="200" w:type="dxa"/>
            <w:vAlign w:val="bottom"/>
          </w:tcPr>
          <w:p>
            <w:pPr>
              <w:spacing w:after="0"/>
              <w:rPr>
                <w:sz w:val="10"/>
                <w:szCs w:val="10"/>
                <w:color w:val="auto"/>
              </w:rPr>
            </w:pPr>
          </w:p>
        </w:tc>
        <w:tc>
          <w:tcPr>
            <w:tcW w:w="780" w:type="dxa"/>
            <w:vAlign w:val="bottom"/>
            <w:gridSpan w:val="3"/>
          </w:tcPr>
          <w:p>
            <w:pPr>
              <w:jc w:val="right"/>
              <w:ind w:right="420"/>
              <w:spacing w:after="0" w:line="122" w:lineRule="exact"/>
              <w:rPr>
                <w:sz w:val="20"/>
                <w:szCs w:val="20"/>
                <w:color w:val="auto"/>
              </w:rPr>
            </w:pPr>
            <w:r>
              <w:rPr>
                <w:rFonts w:ascii="Arial" w:cs="Arial" w:eastAsia="Arial" w:hAnsi="Arial"/>
                <w:sz w:val="11"/>
                <w:szCs w:val="11"/>
                <w:b w:val="1"/>
                <w:bCs w:val="1"/>
                <w:color w:val="auto"/>
                <w:w w:val="85"/>
              </w:rPr>
              <w:t>Interest</w:t>
            </w:r>
          </w:p>
        </w:tc>
        <w:tc>
          <w:tcPr>
            <w:tcW w:w="6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Avg.</w:t>
            </w:r>
          </w:p>
        </w:tc>
        <w:tc>
          <w:tcPr>
            <w:tcW w:w="760" w:type="dxa"/>
            <w:vAlign w:val="bottom"/>
            <w:gridSpan w:val="2"/>
          </w:tcPr>
          <w:p>
            <w:pPr>
              <w:jc w:val="right"/>
              <w:ind w:right="340"/>
              <w:spacing w:after="0" w:line="122" w:lineRule="exact"/>
              <w:rPr>
                <w:sz w:val="20"/>
                <w:szCs w:val="20"/>
                <w:color w:val="auto"/>
              </w:rPr>
            </w:pPr>
            <w:r>
              <w:rPr>
                <w:rFonts w:ascii="Arial" w:cs="Arial" w:eastAsia="Arial" w:hAnsi="Arial"/>
                <w:sz w:val="11"/>
                <w:szCs w:val="11"/>
                <w:b w:val="1"/>
                <w:bCs w:val="1"/>
                <w:color w:val="auto"/>
              </w:rPr>
              <w:t>Avg.</w:t>
            </w:r>
          </w:p>
        </w:tc>
        <w:tc>
          <w:tcPr>
            <w:tcW w:w="0" w:type="dxa"/>
            <w:vAlign w:val="bottom"/>
          </w:tcPr>
          <w:p>
            <w:pPr>
              <w:spacing w:after="0"/>
              <w:rPr>
                <w:sz w:val="1"/>
                <w:szCs w:val="1"/>
                <w:color w:val="auto"/>
              </w:rPr>
            </w:pPr>
          </w:p>
        </w:tc>
      </w:tr>
      <w:tr>
        <w:trPr>
          <w:trHeight w:val="135"/>
        </w:trPr>
        <w:tc>
          <w:tcPr>
            <w:tcW w:w="158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80"/>
              </w:rPr>
              <w:t>Balance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1"/>
              </w:rPr>
              <w:t>Earned</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Rate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80"/>
              </w:rPr>
              <w:t>Balance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Earned</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Rate</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85"/>
              </w:rPr>
              <w:t>Balance</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1"/>
              </w:rPr>
              <w:t>Earned</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i w:val="1"/>
                <w:iCs w:val="1"/>
                <w:color w:val="auto"/>
              </w:rPr>
              <w:t>(U.S.</w:t>
            </w:r>
          </w:p>
        </w:tc>
        <w:tc>
          <w:tcPr>
            <w:tcW w:w="120" w:type="dxa"/>
            <w:vAlign w:val="bottom"/>
            <w:gridSpan w:val="2"/>
          </w:tcPr>
          <w:p>
            <w:pPr>
              <w:spacing w:after="0"/>
              <w:rPr>
                <w:sz w:val="10"/>
                <w:szCs w:val="10"/>
                <w:color w:val="auto"/>
              </w:rPr>
            </w:pPr>
          </w:p>
        </w:tc>
        <w:tc>
          <w:tcPr>
            <w:tcW w:w="740" w:type="dxa"/>
            <w:vAlign w:val="bottom"/>
            <w:gridSpan w:val="2"/>
          </w:tcPr>
          <w:p>
            <w:pPr>
              <w:jc w:val="right"/>
              <w:spacing w:after="0" w:line="115" w:lineRule="exact"/>
              <w:rPr>
                <w:sz w:val="20"/>
                <w:szCs w:val="20"/>
                <w:color w:val="auto"/>
              </w:rPr>
            </w:pPr>
            <w:r>
              <w:rPr>
                <w:rFonts w:ascii="Arial" w:cs="Arial" w:eastAsia="Arial" w:hAnsi="Arial"/>
                <w:sz w:val="11"/>
                <w:szCs w:val="11"/>
                <w:i w:val="1"/>
                <w:iCs w:val="1"/>
                <w:color w:val="auto"/>
                <w:w w:val="70"/>
              </w:rPr>
              <w:t>Dollars in thousands,</w:t>
            </w:r>
          </w:p>
        </w:tc>
        <w:tc>
          <w:tcPr>
            <w:tcW w:w="100" w:type="dxa"/>
            <w:vAlign w:val="bottom"/>
          </w:tcPr>
          <w:p>
            <w:pPr>
              <w:spacing w:after="0"/>
              <w:rPr>
                <w:sz w:val="10"/>
                <w:szCs w:val="10"/>
                <w:color w:val="auto"/>
              </w:rPr>
            </w:pPr>
          </w:p>
        </w:tc>
        <w:tc>
          <w:tcPr>
            <w:tcW w:w="1760" w:type="dxa"/>
            <w:vAlign w:val="bottom"/>
            <w:gridSpan w:val="6"/>
          </w:tcPr>
          <w:p>
            <w:pPr>
              <w:ind w:left="40"/>
              <w:spacing w:after="0" w:line="115" w:lineRule="exact"/>
              <w:rPr>
                <w:sz w:val="20"/>
                <w:szCs w:val="20"/>
                <w:color w:val="auto"/>
              </w:rPr>
            </w:pPr>
            <w:r>
              <w:rPr>
                <w:rFonts w:ascii="Arial" w:cs="Arial" w:eastAsia="Arial" w:hAnsi="Arial"/>
                <w:sz w:val="11"/>
                <w:szCs w:val="11"/>
                <w:i w:val="1"/>
                <w:iCs w:val="1"/>
                <w:color w:val="auto"/>
              </w:rPr>
              <w:t>except percentages)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Interest-earning assets: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20"/>
                <w:szCs w:val="20"/>
                <w:color w:val="auto"/>
              </w:rPr>
            </w:pPr>
            <w:r>
              <w:rPr>
                <w:rFonts w:ascii="Arial" w:cs="Arial" w:eastAsia="Arial" w:hAnsi="Arial"/>
                <w:sz w:val="11"/>
                <w:szCs w:val="11"/>
                <w:color w:val="auto"/>
              </w:rPr>
              <w:t>Deposits in Central Bank</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2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83"/>
              </w:rPr>
              <w:t>US$</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5,361</w:t>
            </w:r>
          </w:p>
        </w:tc>
        <w:tc>
          <w:tcPr>
            <w:tcW w:w="80" w:type="dxa"/>
            <w:vAlign w:val="bottom"/>
            <w:shd w:val="clear" w:color="auto" w:fill="CCFFCC"/>
          </w:tcPr>
          <w:p>
            <w:pPr>
              <w:spacing w:after="0"/>
              <w:rPr>
                <w:sz w:val="10"/>
                <w:szCs w:val="10"/>
                <w:color w:val="auto"/>
              </w:rPr>
            </w:pPr>
          </w:p>
        </w:tc>
        <w:tc>
          <w:tcPr>
            <w:tcW w:w="220" w:type="dxa"/>
            <w:vAlign w:val="bottom"/>
            <w:gridSpan w:val="2"/>
            <w:shd w:val="clear" w:color="auto" w:fill="CCFFCC"/>
          </w:tcPr>
          <w:p>
            <w:pPr>
              <w:ind w:left="40"/>
              <w:spacing w:after="0" w:line="122" w:lineRule="exact"/>
              <w:rPr>
                <w:sz w:val="20"/>
                <w:szCs w:val="20"/>
                <w:color w:val="auto"/>
              </w:rPr>
            </w:pPr>
            <w:r>
              <w:rPr>
                <w:rFonts w:ascii="Arial" w:cs="Arial" w:eastAsia="Arial" w:hAnsi="Arial"/>
                <w:sz w:val="11"/>
                <w:szCs w:val="11"/>
                <w:color w:val="auto"/>
                <w:w w:val="74"/>
              </w:rPr>
              <w:t>US$</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w:t>
            </w: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-0.55%</w:t>
            </w:r>
          </w:p>
        </w:tc>
        <w:tc>
          <w:tcPr>
            <w:tcW w:w="7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0.93%</w:t>
            </w:r>
          </w:p>
        </w:tc>
        <w:tc>
          <w:tcPr>
            <w:tcW w:w="240" w:type="dxa"/>
            <w:vAlign w:val="bottom"/>
            <w:gridSpan w:val="2"/>
            <w:shd w:val="clear" w:color="auto" w:fill="CCFFCC"/>
          </w:tcPr>
          <w:p>
            <w:pPr>
              <w:ind w:left="40"/>
              <w:spacing w:after="0" w:line="122" w:lineRule="exact"/>
              <w:rPr>
                <w:sz w:val="20"/>
                <w:szCs w:val="20"/>
                <w:color w:val="auto"/>
              </w:rPr>
            </w:pPr>
            <w:r>
              <w:rPr>
                <w:rFonts w:ascii="Arial" w:cs="Arial" w:eastAsia="Arial" w:hAnsi="Arial"/>
                <w:sz w:val="11"/>
                <w:szCs w:val="11"/>
                <w:color w:val="auto"/>
                <w:w w:val="83"/>
              </w:rPr>
              <w:t>US$</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13,346</w:t>
            </w:r>
          </w:p>
        </w:tc>
        <w:tc>
          <w:tcPr>
            <w:tcW w:w="80" w:type="dxa"/>
            <w:vAlign w:val="bottom"/>
            <w:shd w:val="clear" w:color="auto" w:fill="CCFFCC"/>
          </w:tcPr>
          <w:p>
            <w:pPr>
              <w:spacing w:after="0"/>
              <w:rPr>
                <w:sz w:val="10"/>
                <w:szCs w:val="10"/>
                <w:color w:val="auto"/>
              </w:rPr>
            </w:pPr>
          </w:p>
        </w:tc>
        <w:tc>
          <w:tcPr>
            <w:tcW w:w="220" w:type="dxa"/>
            <w:vAlign w:val="bottom"/>
            <w:gridSpan w:val="2"/>
            <w:shd w:val="clear" w:color="auto" w:fill="CCFFCC"/>
          </w:tcPr>
          <w:p>
            <w:pPr>
              <w:ind w:left="40"/>
              <w:spacing w:after="0" w:line="122" w:lineRule="exact"/>
              <w:rPr>
                <w:sz w:val="20"/>
                <w:szCs w:val="20"/>
                <w:color w:val="auto"/>
              </w:rPr>
            </w:pPr>
            <w:r>
              <w:rPr>
                <w:rFonts w:ascii="Arial" w:cs="Arial" w:eastAsia="Arial" w:hAnsi="Arial"/>
                <w:sz w:val="11"/>
                <w:szCs w:val="11"/>
                <w:color w:val="auto"/>
                <w:w w:val="74"/>
              </w:rPr>
              <w:t>US$</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157</w:t>
            </w: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0.16%</w:t>
            </w:r>
          </w:p>
        </w:tc>
        <w:tc>
          <w:tcPr>
            <w:tcW w:w="1020" w:type="dxa"/>
            <w:vAlign w:val="bottom"/>
            <w:gridSpan w:val="3"/>
            <w:shd w:val="clear" w:color="auto" w:fill="CCFFCC"/>
          </w:tcPr>
          <w:p>
            <w:pPr>
              <w:ind w:left="460"/>
              <w:spacing w:after="0" w:line="122" w:lineRule="exact"/>
              <w:rPr>
                <w:sz w:val="20"/>
                <w:szCs w:val="20"/>
                <w:color w:val="auto"/>
              </w:rPr>
            </w:pPr>
            <w:r>
              <w:rPr>
                <w:rFonts w:ascii="Arial" w:cs="Arial" w:eastAsia="Arial" w:hAnsi="Arial"/>
                <w:sz w:val="11"/>
                <w:szCs w:val="11"/>
                <w:color w:val="auto"/>
                <w:w w:val="91"/>
              </w:rPr>
              <w:t>1.18%  US$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16,559</w:t>
            </w:r>
          </w:p>
        </w:tc>
        <w:tc>
          <w:tcPr>
            <w:tcW w:w="1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83"/>
              </w:rPr>
              <w:t>US$</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339</w:t>
            </w: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7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1,118,471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24,004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2.15</w:t>
            </w:r>
          </w:p>
        </w:tc>
        <w:tc>
          <w:tcPr>
            <w:tcW w:w="640" w:type="dxa"/>
            <w:vAlign w:val="bottom"/>
          </w:tcPr>
          <w:p>
            <w:pPr>
              <w:jc w:val="right"/>
              <w:spacing w:after="0"/>
              <w:rPr>
                <w:sz w:val="20"/>
                <w:szCs w:val="20"/>
                <w:color w:val="auto"/>
              </w:rPr>
            </w:pPr>
            <w:r>
              <w:rPr>
                <w:rFonts w:ascii="Arial" w:cs="Arial" w:eastAsia="Arial" w:hAnsi="Arial"/>
                <w:sz w:val="11"/>
                <w:szCs w:val="11"/>
                <w:color w:val="auto"/>
              </w:rPr>
              <w:t>2.15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1,763,854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56,813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3.22</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3.22</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1,422,395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46,582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3.27</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1,123,832</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24,054</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2.13</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2.14</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1,777,200</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56,970</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3.20</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3.21</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1,438,954</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46,921</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3.26</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20"/>
                <w:szCs w:val="20"/>
                <w:color w:val="auto"/>
              </w:rPr>
            </w:pPr>
            <w:r>
              <w:rPr>
                <w:rFonts w:ascii="Arial" w:cs="Arial" w:eastAsia="Arial" w:hAnsi="Arial"/>
                <w:sz w:val="11"/>
                <w:szCs w:val="11"/>
                <w:color w:val="auto"/>
              </w:rPr>
              <w:t>Deposits in other banks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31,926</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1,073</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1.84</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3.36</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43,684</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1,762</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2.99</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4.03</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30,337</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1,224</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2.99</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443,948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2.70</w:t>
            </w:r>
          </w:p>
        </w:tc>
        <w:tc>
          <w:tcPr>
            <w:tcW w:w="640" w:type="dxa"/>
            <w:vAlign w:val="bottom"/>
          </w:tcPr>
          <w:p>
            <w:pPr>
              <w:jc w:val="right"/>
              <w:spacing w:after="0"/>
              <w:rPr>
                <w:sz w:val="20"/>
                <w:szCs w:val="20"/>
                <w:color w:val="auto"/>
              </w:rPr>
            </w:pPr>
            <w:r>
              <w:rPr>
                <w:rFonts w:ascii="Arial" w:cs="Arial" w:eastAsia="Arial" w:hAnsi="Arial"/>
                <w:sz w:val="11"/>
                <w:szCs w:val="11"/>
                <w:color w:val="auto"/>
              </w:rPr>
              <w:t>2.70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711,694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35,154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4.94</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4.94</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1,002,633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57,672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5.75</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5.75</w:t>
            </w: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475,874</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13,073</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2.65</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2.75</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755,378</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36,916</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4.83</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4.89</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1,032,970</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58,896</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5.67</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5.70</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20"/>
                <w:szCs w:val="20"/>
                <w:color w:val="auto"/>
              </w:rPr>
            </w:pPr>
            <w:r>
              <w:rPr>
                <w:rFonts w:ascii="Arial" w:cs="Arial" w:eastAsia="Arial" w:hAnsi="Arial"/>
                <w:sz w:val="11"/>
                <w:szCs w:val="11"/>
                <w:color w:val="auto"/>
              </w:rPr>
              <w:t>Investment securities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1,221,669</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51,222</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2.66</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4.19</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985,054</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51,545</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4.18</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5.23</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2,110,943</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140,094</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5.57</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6.64</w:t>
            </w: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1,290,919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73,138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5.67</w:t>
            </w:r>
          </w:p>
        </w:tc>
        <w:tc>
          <w:tcPr>
            <w:tcW w:w="640" w:type="dxa"/>
            <w:vAlign w:val="bottom"/>
          </w:tcPr>
          <w:p>
            <w:pPr>
              <w:jc w:val="right"/>
              <w:spacing w:after="0"/>
              <w:rPr>
                <w:sz w:val="20"/>
                <w:szCs w:val="20"/>
                <w:color w:val="auto"/>
              </w:rPr>
            </w:pPr>
            <w:r>
              <w:rPr>
                <w:rFonts w:ascii="Arial" w:cs="Arial" w:eastAsia="Arial" w:hAnsi="Arial"/>
                <w:sz w:val="11"/>
                <w:szCs w:val="11"/>
                <w:color w:val="auto"/>
              </w:rPr>
              <w:t>5.67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1,589,978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89,760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5.65</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5.65</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2,131,911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109,508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5.14</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5.14</w:t>
            </w: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2,512,588</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124,360</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4.21</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4.95</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2,575,032</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141,305</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5.08</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5.49</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4,242,854</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249,602</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5.35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5.88</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20"/>
                <w:szCs w:val="20"/>
                <w:color w:val="auto"/>
              </w:rPr>
            </w:pPr>
            <w:r>
              <w:rPr>
                <w:rFonts w:ascii="Arial" w:cs="Arial" w:eastAsia="Arial" w:hAnsi="Arial"/>
                <w:sz w:val="11"/>
                <w:szCs w:val="11"/>
                <w:color w:val="auto"/>
              </w:rPr>
              <w:t>Total loans (1)</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831,393</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132,692</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14.26</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15.96</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1,307,784</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178,469</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12.51</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13.65</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1,942,261</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262,402</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12.37</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13.51</w:t>
            </w: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3,888,576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314,700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8.09</w:t>
            </w:r>
          </w:p>
        </w:tc>
        <w:tc>
          <w:tcPr>
            <w:tcW w:w="640" w:type="dxa"/>
            <w:vAlign w:val="bottom"/>
          </w:tcPr>
          <w:p>
            <w:pPr>
              <w:jc w:val="right"/>
              <w:spacing w:after="0"/>
              <w:rPr>
                <w:sz w:val="20"/>
                <w:szCs w:val="20"/>
                <w:color w:val="auto"/>
              </w:rPr>
            </w:pPr>
            <w:r>
              <w:rPr>
                <w:rFonts w:ascii="Arial" w:cs="Arial" w:eastAsia="Arial" w:hAnsi="Arial"/>
                <w:sz w:val="11"/>
                <w:szCs w:val="11"/>
                <w:color w:val="auto"/>
              </w:rPr>
              <w:t>8.09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4,104,477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359,202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8.75</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8.75</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5,101,392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439,070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8.61</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8.61</w:t>
            </w: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4,719,969</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447,392</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9.18</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9.48</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5,412,261</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537,671</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9.66</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9.93</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7,043,653</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701,472</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9.65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9.96</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20"/>
                <w:szCs w:val="20"/>
                <w:color w:val="auto"/>
              </w:rPr>
            </w:pPr>
            <w:r>
              <w:rPr>
                <w:rFonts w:ascii="Arial" w:cs="Arial" w:eastAsia="Arial" w:hAnsi="Arial"/>
                <w:sz w:val="11"/>
                <w:szCs w:val="11"/>
                <w:color w:val="auto"/>
              </w:rPr>
              <w:t>Total dividend-earning assets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65,234</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2,252</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1.93</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3.45</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119,106</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6,171</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4.13</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5.18</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215,100</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6,004</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2.79</w:t>
            </w: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65,511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1.99</w:t>
            </w:r>
          </w:p>
        </w:tc>
        <w:tc>
          <w:tcPr>
            <w:tcW w:w="640" w:type="dxa"/>
            <w:vAlign w:val="bottom"/>
          </w:tcPr>
          <w:p>
            <w:pPr>
              <w:jc w:val="right"/>
              <w:spacing w:after="0"/>
              <w:rPr>
                <w:sz w:val="20"/>
                <w:szCs w:val="20"/>
                <w:color w:val="auto"/>
              </w:rPr>
            </w:pPr>
            <w:r>
              <w:rPr>
                <w:rFonts w:ascii="Arial" w:cs="Arial" w:eastAsia="Arial" w:hAnsi="Arial"/>
                <w:sz w:val="11"/>
                <w:szCs w:val="11"/>
                <w:color w:val="auto"/>
              </w:rPr>
              <w:t>1.99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109,129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2.72</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2.72</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118,334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2.60</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2.60</w:t>
            </w: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130,745</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3,553</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1.96</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2.72</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228,235</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9,141</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3.46</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4.01</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333,434</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9,083</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20"/>
                <w:szCs w:val="20"/>
                <w:color w:val="auto"/>
              </w:rPr>
            </w:pPr>
            <w:r>
              <w:rPr>
                <w:rFonts w:ascii="Arial" w:cs="Arial" w:eastAsia="Arial" w:hAnsi="Arial"/>
                <w:sz w:val="11"/>
                <w:szCs w:val="11"/>
                <w:color w:val="auto"/>
              </w:rPr>
              <w:t>Total interest-earning assets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2,155,583</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187,289</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7.09</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8.69</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2,468,974</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238,104</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8.55</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9.64</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4,315,200</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410,063</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8.41</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6,807,425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425,143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6.25</w:t>
            </w:r>
          </w:p>
        </w:tc>
        <w:tc>
          <w:tcPr>
            <w:tcW w:w="640" w:type="dxa"/>
            <w:vAlign w:val="bottom"/>
          </w:tcPr>
          <w:p>
            <w:pPr>
              <w:jc w:val="right"/>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8,279,132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543,899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6.57</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9,776,665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655,911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6.71</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6.71</w:t>
            </w: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8,963,008</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612,432</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6.45</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6.83</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8"/>
              </w:rPr>
              <w:t>10,748,106</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782,003</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7.02</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7.28</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14,091,865</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1,065,974</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7.23</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20"/>
                <w:szCs w:val="20"/>
                <w:color w:val="auto"/>
              </w:rPr>
            </w:pPr>
            <w:r>
              <w:rPr>
                <w:rFonts w:ascii="Arial" w:cs="Arial" w:eastAsia="Arial" w:hAnsi="Arial"/>
                <w:sz w:val="11"/>
                <w:szCs w:val="11"/>
                <w:i w:val="1"/>
                <w:iCs w:val="1"/>
                <w:color w:val="auto"/>
              </w:rPr>
              <w:t>Noninterest-earning assets: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and due from banks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135,168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168,332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250,118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179,250</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200,523</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255,715</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Total</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314,418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368,855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505,833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Reserves for loan losses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2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(33,020)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(33,859)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(37,601)</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20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(191,132)</w:t>
            </w: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(167,337)</w:t>
            </w: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(154,917)</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Total</w:t>
            </w:r>
          </w:p>
        </w:tc>
        <w:tc>
          <w:tcPr>
            <w:tcW w:w="2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(224,152)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(201,196)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(192,518)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Premises and equipment</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177,012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165,610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182,308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66,559</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79,281</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73,948</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Total</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243,571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244,891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256,256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5"/>
              </w:rPr>
              <w:t>Other non-interest-earning assets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141,397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84,716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334,653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320,424</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412,659</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561,477</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Total</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461,821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497,375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896,130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6"/>
              </w:rPr>
              <w:t>Total non-interest-earning assets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420,557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384,799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729,478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375,101</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525,126</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736,223</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Total</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795,658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909,925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1,465,701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average assets</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2,576,140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187,289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5.70</w:t>
            </w:r>
          </w:p>
        </w:tc>
        <w:tc>
          <w:tcPr>
            <w:tcW w:w="640" w:type="dxa"/>
            <w:vAlign w:val="bottom"/>
          </w:tcPr>
          <w:p>
            <w:pPr>
              <w:jc w:val="right"/>
              <w:spacing w:after="0"/>
              <w:rPr>
                <w:sz w:val="20"/>
                <w:szCs w:val="20"/>
                <w:color w:val="auto"/>
              </w:rPr>
            </w:pPr>
            <w:r>
              <w:rPr>
                <w:rFonts w:ascii="Arial" w:cs="Arial" w:eastAsia="Arial" w:hAnsi="Arial"/>
                <w:sz w:val="11"/>
                <w:szCs w:val="11"/>
                <w:color w:val="auto"/>
              </w:rPr>
              <w:t>7.27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2,853,773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238,104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7.26</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8.34</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5,044,678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410,063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7.05</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8.13</w:t>
            </w:r>
          </w:p>
        </w:tc>
        <w:tc>
          <w:tcPr>
            <w:tcW w:w="0" w:type="dxa"/>
            <w:vAlign w:val="bottom"/>
          </w:tcPr>
          <w:p>
            <w:pPr>
              <w:spacing w:after="0"/>
              <w:rPr>
                <w:sz w:val="1"/>
                <w:szCs w:val="1"/>
                <w:color w:val="auto"/>
              </w:rPr>
            </w:pPr>
          </w:p>
        </w:tc>
      </w:tr>
      <w:tr>
        <w:trPr>
          <w:trHeight w:val="135"/>
        </w:trPr>
        <w:tc>
          <w:tcPr>
            <w:tcW w:w="158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7,182,526</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425,143</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5.92</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5.92</w:t>
            </w:r>
          </w:p>
        </w:tc>
        <w:tc>
          <w:tcPr>
            <w:tcW w:w="1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8,804,258</w:t>
            </w: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543,899</w:t>
            </w: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6.18</w:t>
            </w:r>
          </w:p>
        </w:tc>
        <w:tc>
          <w:tcPr>
            <w:tcW w:w="1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6.18</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10,512,888</w:t>
            </w: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655,911</w:t>
            </w: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6.24</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6.24</w:t>
            </w:r>
          </w:p>
        </w:tc>
        <w:tc>
          <w:tcPr>
            <w:tcW w:w="0" w:type="dxa"/>
            <w:vAlign w:val="bottom"/>
          </w:tcPr>
          <w:p>
            <w:pPr>
              <w:spacing w:after="0"/>
              <w:rPr>
                <w:sz w:val="1"/>
                <w:szCs w:val="1"/>
                <w:color w:val="auto"/>
              </w:rPr>
            </w:pPr>
          </w:p>
        </w:tc>
      </w:tr>
      <w:tr>
        <w:trPr>
          <w:trHeight w:val="140"/>
        </w:trPr>
        <w:tc>
          <w:tcPr>
            <w:tcW w:w="1580" w:type="dxa"/>
            <w:vAlign w:val="bottom"/>
          </w:tcPr>
          <w:p>
            <w:pPr>
              <w:ind w:left="180"/>
              <w:spacing w:after="0"/>
              <w:rPr>
                <w:sz w:val="20"/>
                <w:szCs w:val="20"/>
                <w:color w:val="auto"/>
              </w:rPr>
            </w:pPr>
            <w:r>
              <w:rPr>
                <w:rFonts w:ascii="Arial" w:cs="Arial" w:eastAsia="Arial" w:hAnsi="Arial"/>
                <w:sz w:val="11"/>
                <w:szCs w:val="11"/>
                <w:color w:val="auto"/>
              </w:rPr>
              <w:t>Total</w:t>
            </w: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9,758,666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612,432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5.86</w:t>
            </w:r>
          </w:p>
        </w:tc>
        <w:tc>
          <w:tcPr>
            <w:tcW w:w="640" w:type="dxa"/>
            <w:vAlign w:val="bottom"/>
          </w:tcPr>
          <w:p>
            <w:pPr>
              <w:jc w:val="right"/>
              <w:spacing w:after="0"/>
              <w:rPr>
                <w:sz w:val="20"/>
                <w:szCs w:val="20"/>
                <w:color w:val="auto"/>
              </w:rPr>
            </w:pPr>
            <w:r>
              <w:rPr>
                <w:rFonts w:ascii="Arial" w:cs="Arial" w:eastAsia="Arial" w:hAnsi="Arial"/>
                <w:sz w:val="11"/>
                <w:szCs w:val="11"/>
                <w:color w:val="auto"/>
              </w:rPr>
              <w:t>6.28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11,658,031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782,003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6.44</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6.71</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15,557,566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1,065,974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6.50</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1061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40" w:right="5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3" w:name="page74"/>
    <w:bookmarkEnd w:id="73"/>
    <w:p>
      <w:pPr>
        <w:jc w:val="center"/>
        <w:ind w:right="32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1"/>
                <w:szCs w:val="11"/>
                <w:b w:val="1"/>
                <w:bCs w:val="1"/>
                <w:color w:val="auto"/>
                <w:w w:val="98"/>
              </w:rPr>
              <w:t>Year ended December 31,</w:t>
            </w: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2005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2006</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2007</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Real</w:t>
            </w:r>
          </w:p>
        </w:tc>
        <w:tc>
          <w:tcPr>
            <w:tcW w:w="66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87"/>
              </w:rPr>
              <w:t>Nominal</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Real</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Real</w:t>
            </w:r>
          </w:p>
        </w:tc>
        <w:tc>
          <w:tcPr>
            <w:tcW w:w="68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2"/>
              </w:rPr>
              <w:t>Nominal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vMerge w:val="restart"/>
          </w:tcPr>
          <w:p>
            <w:pPr>
              <w:spacing w:after="0"/>
              <w:rPr>
                <w:sz w:val="20"/>
                <w:szCs w:val="20"/>
                <w:color w:val="auto"/>
              </w:rPr>
            </w:pPr>
            <w:r>
              <w:rPr>
                <w:rFonts w:ascii="Arial" w:cs="Arial" w:eastAsia="Arial" w:hAnsi="Arial"/>
                <w:sz w:val="11"/>
                <w:szCs w:val="11"/>
                <w:b w:val="1"/>
                <w:bCs w:val="1"/>
                <w:color w:val="auto"/>
              </w:rPr>
              <w:t>LIABILITIES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Average</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0"/>
              </w:rPr>
              <w:t>Interest</w:t>
            </w:r>
          </w:p>
        </w:tc>
        <w:tc>
          <w:tcPr>
            <w:tcW w:w="580" w:type="dxa"/>
            <w:vAlign w:val="bottom"/>
            <w:gridSpan w:val="2"/>
          </w:tcPr>
          <w:p>
            <w:pPr>
              <w:ind w:left="120"/>
              <w:spacing w:after="0"/>
              <w:rPr>
                <w:sz w:val="20"/>
                <w:szCs w:val="20"/>
                <w:color w:val="auto"/>
              </w:rPr>
            </w:pPr>
            <w:r>
              <w:rPr>
                <w:rFonts w:ascii="Arial" w:cs="Arial" w:eastAsia="Arial" w:hAnsi="Arial"/>
                <w:sz w:val="11"/>
                <w:szCs w:val="11"/>
                <w:b w:val="1"/>
                <w:bCs w:val="1"/>
                <w:color w:val="auto"/>
              </w:rPr>
              <w:t>Avg.</w:t>
            </w:r>
          </w:p>
        </w:tc>
        <w:tc>
          <w:tcPr>
            <w:tcW w:w="10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83"/>
              </w:rPr>
              <w:t>Avg.</w:t>
            </w: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Average</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w w:val="95"/>
              </w:rPr>
              <w:t>Interest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Avg.</w:t>
            </w:r>
          </w:p>
        </w:tc>
        <w:tc>
          <w:tcPr>
            <w:tcW w:w="1080" w:type="dxa"/>
            <w:vAlign w:val="bottom"/>
            <w:gridSpan w:val="3"/>
          </w:tcPr>
          <w:p>
            <w:pPr>
              <w:ind w:left="200"/>
              <w:spacing w:after="0"/>
              <w:rPr>
                <w:sz w:val="20"/>
                <w:szCs w:val="20"/>
                <w:color w:val="auto"/>
              </w:rPr>
            </w:pPr>
            <w:r>
              <w:rPr>
                <w:rFonts w:ascii="Arial" w:cs="Arial" w:eastAsia="Arial" w:hAnsi="Arial"/>
                <w:sz w:val="11"/>
                <w:szCs w:val="11"/>
                <w:b w:val="1"/>
                <w:bCs w:val="1"/>
                <w:color w:val="auto"/>
              </w:rPr>
              <w:t>Nominal</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Average</w:t>
            </w:r>
          </w:p>
        </w:tc>
        <w:tc>
          <w:tcPr>
            <w:tcW w:w="240" w:type="dxa"/>
            <w:vAlign w:val="bottom"/>
          </w:tcPr>
          <w:p>
            <w:pPr>
              <w:spacing w:after="0"/>
              <w:rPr>
                <w:sz w:val="11"/>
                <w:szCs w:val="11"/>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w w:val="95"/>
              </w:rPr>
              <w:t>Interest</w:t>
            </w:r>
          </w:p>
        </w:tc>
        <w:tc>
          <w:tcPr>
            <w:tcW w:w="600" w:type="dxa"/>
            <w:vAlign w:val="bottom"/>
            <w:gridSpan w:val="2"/>
          </w:tcPr>
          <w:p>
            <w:pPr>
              <w:ind w:left="140"/>
              <w:spacing w:after="0"/>
              <w:rPr>
                <w:sz w:val="20"/>
                <w:szCs w:val="20"/>
                <w:color w:val="auto"/>
              </w:rPr>
            </w:pPr>
            <w:r>
              <w:rPr>
                <w:rFonts w:ascii="Arial" w:cs="Arial" w:eastAsia="Arial" w:hAnsi="Arial"/>
                <w:sz w:val="11"/>
                <w:szCs w:val="11"/>
                <w:b w:val="1"/>
                <w:bCs w:val="1"/>
                <w:color w:val="auto"/>
              </w:rPr>
              <w:t>Avg.</w:t>
            </w: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3"/>
              </w:rPr>
              <w:t>Avg.</w:t>
            </w:r>
          </w:p>
        </w:tc>
        <w:tc>
          <w:tcPr>
            <w:tcW w:w="0" w:type="dxa"/>
            <w:vAlign w:val="bottom"/>
          </w:tcPr>
          <w:p>
            <w:pPr>
              <w:spacing w:after="0"/>
              <w:rPr>
                <w:sz w:val="1"/>
                <w:szCs w:val="1"/>
                <w:color w:val="auto"/>
              </w:rPr>
            </w:pPr>
          </w:p>
        </w:tc>
      </w:tr>
      <w:tr>
        <w:trPr>
          <w:trHeight w:val="145"/>
        </w:trPr>
        <w:tc>
          <w:tcPr>
            <w:tcW w:w="1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Balance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5"/>
              </w:rPr>
              <w:t>Paid</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2"/>
              </w:rPr>
              <w:t>Rate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Balance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Paid</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2"/>
                <w:szCs w:val="12"/>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w w:val="90"/>
              </w:rPr>
              <w:t>Avg. Rate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4"/>
              </w:rPr>
              <w:t>Balance</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Paid</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92"/>
              </w:rPr>
              <w:t>Rate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00" w:type="dxa"/>
            <w:vAlign w:val="bottom"/>
            <w:gridSpan w:val="12"/>
          </w:tcPr>
          <w:p>
            <w:pPr>
              <w:ind w:left="420"/>
              <w:spacing w:after="0"/>
              <w:rPr>
                <w:sz w:val="20"/>
                <w:szCs w:val="20"/>
                <w:color w:val="auto"/>
              </w:rPr>
            </w:pPr>
            <w:r>
              <w:rPr>
                <w:rFonts w:ascii="Arial" w:cs="Arial" w:eastAsia="Arial" w:hAnsi="Arial"/>
                <w:sz w:val="11"/>
                <w:szCs w:val="11"/>
                <w:i w:val="1"/>
                <w:iCs w:val="1"/>
                <w:color w:val="auto"/>
              </w:rPr>
              <w:t>(U.S. Dollars in thousands, except percentages)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spacing w:after="0"/>
              <w:rPr>
                <w:sz w:val="20"/>
                <w:szCs w:val="20"/>
                <w:color w:val="auto"/>
              </w:rPr>
            </w:pPr>
            <w:r>
              <w:rPr>
                <w:rFonts w:ascii="Arial" w:cs="Arial" w:eastAsia="Arial" w:hAnsi="Arial"/>
                <w:sz w:val="11"/>
                <w:szCs w:val="11"/>
                <w:i w:val="1"/>
                <w:iCs w:val="1"/>
                <w:color w:val="auto"/>
              </w:rPr>
              <w:t>Interest-bearing liabilities:</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20"/>
                <w:szCs w:val="20"/>
                <w:color w:val="auto"/>
              </w:rPr>
            </w:pPr>
            <w:r>
              <w:rPr>
                <w:rFonts w:ascii="Arial" w:cs="Arial" w:eastAsia="Arial" w:hAnsi="Arial"/>
                <w:sz w:val="11"/>
                <w:szCs w:val="11"/>
                <w:color w:val="auto"/>
              </w:rPr>
              <w:t>Demand deposits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Nuevos Soles(1)</w:t>
            </w:r>
          </w:p>
        </w:tc>
        <w:tc>
          <w:tcPr>
            <w:tcW w:w="280" w:type="dxa"/>
            <w:vAlign w:val="bottom"/>
            <w:gridSpan w:val="2"/>
            <w:shd w:val="clear" w:color="auto" w:fill="CCFFCC"/>
          </w:tcPr>
          <w:p>
            <w:pPr>
              <w:ind w:left="40"/>
              <w:spacing w:after="0"/>
              <w:rPr>
                <w:sz w:val="20"/>
                <w:szCs w:val="20"/>
                <w:color w:val="auto"/>
              </w:rPr>
            </w:pPr>
            <w:r>
              <w:rPr>
                <w:rFonts w:ascii="Arial" w:cs="Arial" w:eastAsia="Arial" w:hAnsi="Arial"/>
                <w:sz w:val="11"/>
                <w:szCs w:val="11"/>
                <w:color w:val="auto"/>
              </w:rPr>
              <w:t>US$</w:t>
            </w: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641,920</w:t>
            </w:r>
          </w:p>
        </w:tc>
        <w:tc>
          <w:tcPr>
            <w:tcW w:w="280" w:type="dxa"/>
            <w:vAlign w:val="bottom"/>
            <w:gridSpan w:val="2"/>
            <w:shd w:val="clear" w:color="auto" w:fill="CCFFCC"/>
          </w:tcPr>
          <w:p>
            <w:pPr>
              <w:ind w:left="60"/>
              <w:spacing w:after="0"/>
              <w:rPr>
                <w:sz w:val="20"/>
                <w:szCs w:val="20"/>
                <w:color w:val="auto"/>
              </w:rPr>
            </w:pPr>
            <w:r>
              <w:rPr>
                <w:rFonts w:ascii="Arial" w:cs="Arial" w:eastAsia="Arial" w:hAnsi="Arial"/>
                <w:sz w:val="11"/>
                <w:szCs w:val="11"/>
                <w:color w:val="auto"/>
                <w:w w:val="93"/>
              </w:rPr>
              <w:t>US$</w:t>
            </w: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6,056</w:t>
            </w:r>
          </w:p>
        </w:tc>
        <w:tc>
          <w:tcPr>
            <w:tcW w:w="16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-0.54%</w:t>
            </w:r>
          </w:p>
        </w:tc>
        <w:tc>
          <w:tcPr>
            <w:tcW w:w="1060" w:type="dxa"/>
            <w:vAlign w:val="bottom"/>
            <w:gridSpan w:val="3"/>
            <w:shd w:val="clear" w:color="auto" w:fill="CCFFCC"/>
          </w:tcPr>
          <w:p>
            <w:pPr>
              <w:ind w:left="480"/>
              <w:spacing w:after="0"/>
              <w:rPr>
                <w:sz w:val="20"/>
                <w:szCs w:val="20"/>
                <w:color w:val="auto"/>
              </w:rPr>
            </w:pPr>
            <w:r>
              <w:rPr>
                <w:rFonts w:ascii="Arial" w:cs="Arial" w:eastAsia="Arial" w:hAnsi="Arial"/>
                <w:sz w:val="11"/>
                <w:szCs w:val="11"/>
                <w:color w:val="auto"/>
                <w:w w:val="95"/>
              </w:rPr>
              <w:t>0.94%  US$</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776,964</w:t>
            </w:r>
          </w:p>
        </w:tc>
        <w:tc>
          <w:tcPr>
            <w:tcW w:w="280" w:type="dxa"/>
            <w:vAlign w:val="bottom"/>
            <w:gridSpan w:val="2"/>
            <w:shd w:val="clear" w:color="auto" w:fill="CCFFCC"/>
          </w:tcPr>
          <w:p>
            <w:pPr>
              <w:ind w:left="40"/>
              <w:spacing w:after="0"/>
              <w:rPr>
                <w:sz w:val="20"/>
                <w:szCs w:val="20"/>
                <w:color w:val="auto"/>
              </w:rPr>
            </w:pPr>
            <w:r>
              <w:rPr>
                <w:rFonts w:ascii="Arial" w:cs="Arial" w:eastAsia="Arial" w:hAnsi="Arial"/>
                <w:sz w:val="11"/>
                <w:szCs w:val="11"/>
                <w:color w:val="auto"/>
              </w:rPr>
              <w:t>US$</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8,631</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0.10%</w:t>
            </w:r>
          </w:p>
        </w:tc>
        <w:tc>
          <w:tcPr>
            <w:tcW w:w="1080" w:type="dxa"/>
            <w:vAlign w:val="bottom"/>
            <w:gridSpan w:val="3"/>
            <w:shd w:val="clear" w:color="auto" w:fill="CCFFCC"/>
          </w:tcPr>
          <w:p>
            <w:pPr>
              <w:ind w:left="500"/>
              <w:spacing w:after="0"/>
              <w:rPr>
                <w:sz w:val="20"/>
                <w:szCs w:val="20"/>
                <w:color w:val="auto"/>
              </w:rPr>
            </w:pPr>
            <w:r>
              <w:rPr>
                <w:rFonts w:ascii="Arial" w:cs="Arial" w:eastAsia="Arial" w:hAnsi="Arial"/>
                <w:sz w:val="11"/>
                <w:szCs w:val="11"/>
                <w:color w:val="auto"/>
                <w:w w:val="95"/>
              </w:rPr>
              <w:t>1.11%  US$</w:t>
            </w: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1,120,416</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20"/>
                <w:szCs w:val="20"/>
                <w:color w:val="auto"/>
              </w:rPr>
            </w:pPr>
            <w:r>
              <w:rPr>
                <w:rFonts w:ascii="Arial" w:cs="Arial" w:eastAsia="Arial" w:hAnsi="Arial"/>
                <w:sz w:val="11"/>
                <w:szCs w:val="11"/>
                <w:color w:val="auto"/>
              </w:rPr>
              <w:t>US$</w:t>
            </w: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12,761</w:t>
            </w:r>
          </w:p>
        </w:tc>
        <w:tc>
          <w:tcPr>
            <w:tcW w:w="1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ind w:left="300"/>
              <w:spacing w:after="0"/>
              <w:rPr>
                <w:sz w:val="20"/>
                <w:szCs w:val="20"/>
                <w:color w:val="auto"/>
              </w:rPr>
            </w:pPr>
            <w:r>
              <w:rPr>
                <w:rFonts w:ascii="Arial" w:cs="Arial" w:eastAsia="Arial" w:hAnsi="Arial"/>
                <w:sz w:val="11"/>
                <w:szCs w:val="11"/>
                <w:color w:val="auto"/>
                <w:w w:val="89"/>
              </w:rPr>
              <w:t>0.10%</w:t>
            </w: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w w:val="89"/>
              </w:rPr>
              <w:t>1.14%</w:t>
            </w: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Foreign Currency(1)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926,710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10,861</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1.17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1,512,284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16,150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1.07</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2,206,983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12,362</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0.56</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0.56</w:t>
            </w: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1,568,630</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16,917</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0.47</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1.08</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2,289,248</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24,781</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0.74</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1.08</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3,327,399</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25,123</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0.40</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0.76</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20"/>
                <w:szCs w:val="20"/>
                <w:color w:val="auto"/>
              </w:rPr>
            </w:pPr>
            <w:r>
              <w:rPr>
                <w:rFonts w:ascii="Arial" w:cs="Arial" w:eastAsia="Arial" w:hAnsi="Arial"/>
                <w:sz w:val="11"/>
                <w:szCs w:val="11"/>
                <w:color w:val="auto"/>
              </w:rPr>
              <w:t>Savings deposits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Nuevos Soles(1)</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452,826</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3,495</w:t>
            </w:r>
          </w:p>
        </w:tc>
        <w:tc>
          <w:tcPr>
            <w:tcW w:w="16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-0.71</w:t>
            </w: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0.77</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518,859</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4,917</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-0.06</w:t>
            </w: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0.95</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711,641</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8,550</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0.16</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Foreign Currency(1)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1,118,117</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5,739</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0.51</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0.51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1,238,890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7,919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0.64</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0.64</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1,396,318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11,319</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0.81</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0.81</w:t>
            </w: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1,570,943</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9,234</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0.16</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0.59</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1,757,749</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12,836</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0.43</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0.73</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2,107,959</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19,869</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0.59</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0.94</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20"/>
                <w:szCs w:val="20"/>
                <w:color w:val="auto"/>
              </w:rPr>
            </w:pPr>
            <w:r>
              <w:rPr>
                <w:rFonts w:ascii="Arial" w:cs="Arial" w:eastAsia="Arial" w:hAnsi="Arial"/>
                <w:sz w:val="11"/>
                <w:szCs w:val="11"/>
                <w:color w:val="auto"/>
              </w:rPr>
              <w:t>Time deposits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Nuevos Soles(1)</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562,148</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24,300</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2.79</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4.32</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709,208</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36,221</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4.05</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500"/>
              <w:spacing w:after="0"/>
              <w:rPr>
                <w:sz w:val="20"/>
                <w:szCs w:val="20"/>
                <w:color w:val="auto"/>
              </w:rPr>
            </w:pPr>
            <w:r>
              <w:rPr>
                <w:rFonts w:ascii="Arial" w:cs="Arial" w:eastAsia="Arial" w:hAnsi="Arial"/>
                <w:sz w:val="11"/>
                <w:szCs w:val="11"/>
                <w:color w:val="auto"/>
              </w:rPr>
              <w:t>5.11</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1,440,081</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82,746</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4.66</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5.75</w:t>
            </w: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Foreign Currency(1)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2,944,558</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76,954</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2.61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3,068,947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124,344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4.05</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4.05</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3,613,304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180,741</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5.00</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3,506,706</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101,254</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2.64</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2.89</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3,778,155</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160,565</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4.05</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4.25</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5,053,385</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263,487</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4.90</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5.21</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20"/>
                <w:szCs w:val="20"/>
                <w:color w:val="auto"/>
              </w:rPr>
            </w:pPr>
            <w:r>
              <w:rPr>
                <w:rFonts w:ascii="Arial" w:cs="Arial" w:eastAsia="Arial" w:hAnsi="Arial"/>
                <w:sz w:val="11"/>
                <w:szCs w:val="11"/>
                <w:color w:val="auto"/>
                <w:w w:val="93"/>
              </w:rPr>
              <w:t>Due to banks and correspondents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159,892</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3,162</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0.48</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1.98</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249,212</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14,870</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4.91</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5.97</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153,258</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8,719</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4.60</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5.69</w:t>
            </w: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448,419</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18,260</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4.07</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4.07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865,365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45,143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5.22</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5.22</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1,411,710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81,210</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5.75</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5.75</w:t>
            </w: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608,311</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21,422</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3.52</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1,114,577</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60,013</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5.15</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5.38</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1,564,968</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89,929</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5.64</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5.75</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20"/>
                <w:szCs w:val="20"/>
                <w:color w:val="auto"/>
              </w:rPr>
            </w:pPr>
            <w:r>
              <w:rPr>
                <w:rFonts w:ascii="Arial" w:cs="Arial" w:eastAsia="Arial" w:hAnsi="Arial"/>
                <w:sz w:val="11"/>
                <w:szCs w:val="11"/>
                <w:color w:val="auto"/>
              </w:rPr>
              <w:t>Bonds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122,521</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9,655</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6.30</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7.88</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153,178</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11,041</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6.13</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7.21</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201,787</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12,954</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5.33</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6.42</w:t>
            </w: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295,821</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14,677</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4.96</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4.96</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292,984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14,242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4.86</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341,643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20,638</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6.04</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6.04</w:t>
            </w: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418,342</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24,332</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5.35</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5.82</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446,162</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25,283</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5.30</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5.67</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543,430</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33,592</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5.78</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6.18</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20"/>
                <w:szCs w:val="20"/>
                <w:color w:val="auto"/>
              </w:rPr>
            </w:pPr>
            <w:r>
              <w:rPr>
                <w:rFonts w:ascii="Arial" w:cs="Arial" w:eastAsia="Arial" w:hAnsi="Arial"/>
                <w:sz w:val="11"/>
                <w:szCs w:val="11"/>
                <w:color w:val="auto"/>
              </w:rPr>
              <w:t>Total interest-bearing liabilities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1,939,307</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46,668</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0.90</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2.41</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2,407,421</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75,680</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2.11</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3.14</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3,627,183</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125,730</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2.40</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5,733,625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126,491</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2.21</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2.21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6,978,470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207,798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2.98</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2.98</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8,969,958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306,270</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3.41</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3.41</w:t>
            </w: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Total</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7,672,932</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173,159</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1.88</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2.26</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9,385,891</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283,478</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2.76</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3.02</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4"/>
              </w:rPr>
              <w:t>12,597,141</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432,000</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3.12</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125"/>
        </w:trPr>
        <w:tc>
          <w:tcPr>
            <w:tcW w:w="1560" w:type="dxa"/>
            <w:vAlign w:val="bottom"/>
          </w:tcPr>
          <w:p>
            <w:pPr>
              <w:spacing w:after="0" w:line="125" w:lineRule="exact"/>
              <w:rPr>
                <w:sz w:val="20"/>
                <w:szCs w:val="20"/>
                <w:color w:val="auto"/>
              </w:rPr>
            </w:pPr>
            <w:r>
              <w:rPr>
                <w:rFonts w:ascii="Arial" w:cs="Arial" w:eastAsia="Arial" w:hAnsi="Arial"/>
                <w:sz w:val="11"/>
                <w:szCs w:val="11"/>
                <w:i w:val="1"/>
                <w:iCs w:val="1"/>
                <w:color w:val="auto"/>
              </w:rPr>
              <w:t>Non-interest-bearing liabilities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20"/>
                <w:szCs w:val="20"/>
                <w:color w:val="auto"/>
              </w:rPr>
            </w:pPr>
            <w:r>
              <w:rPr>
                <w:rFonts w:ascii="Arial" w:cs="Arial" w:eastAsia="Arial" w:hAnsi="Arial"/>
                <w:sz w:val="11"/>
                <w:szCs w:val="11"/>
                <w:i w:val="1"/>
                <w:iCs w:val="1"/>
                <w:color w:val="auto"/>
              </w:rPr>
              <w:t>and net equity: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CCFFCC"/>
          </w:tcPr>
          <w:p>
            <w:pPr>
              <w:spacing w:after="0"/>
              <w:rPr>
                <w:sz w:val="20"/>
                <w:szCs w:val="20"/>
                <w:color w:val="auto"/>
              </w:rPr>
            </w:pPr>
            <w:r>
              <w:rPr>
                <w:rFonts w:ascii="Arial" w:cs="Arial" w:eastAsia="Arial" w:hAnsi="Arial"/>
                <w:sz w:val="11"/>
                <w:szCs w:val="11"/>
                <w:color w:val="auto"/>
              </w:rPr>
              <w:t>Other liabilities</w:t>
            </w: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108,140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56,016</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157,062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770,712</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862,715</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1,123,751</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Total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878,852</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918,731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1,280,813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60" w:type="dxa"/>
            <w:vAlign w:val="bottom"/>
            <w:shd w:val="clear" w:color="auto" w:fill="CCFFCC"/>
          </w:tcPr>
          <w:p>
            <w:pPr>
              <w:spacing w:after="0" w:line="125" w:lineRule="exact"/>
              <w:rPr>
                <w:sz w:val="20"/>
                <w:szCs w:val="20"/>
                <w:color w:val="auto"/>
              </w:rPr>
            </w:pPr>
            <w:r>
              <w:rPr>
                <w:rFonts w:ascii="Arial" w:cs="Arial" w:eastAsia="Arial" w:hAnsi="Arial"/>
                <w:sz w:val="11"/>
                <w:szCs w:val="11"/>
                <w:color w:val="auto"/>
              </w:rPr>
              <w:t>Equity attributable to Credicorp</w:t>
            </w:r>
          </w:p>
        </w:tc>
        <w:tc>
          <w:tcPr>
            <w:tcW w:w="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FFCC"/>
          </w:tcPr>
          <w:p>
            <w:pPr>
              <w:spacing w:after="0"/>
              <w:rPr>
                <w:sz w:val="20"/>
                <w:szCs w:val="20"/>
                <w:color w:val="auto"/>
              </w:rPr>
            </w:pPr>
            <w:r>
              <w:rPr>
                <w:rFonts w:ascii="Arial" w:cs="Arial" w:eastAsia="Arial" w:hAnsi="Arial"/>
                <w:sz w:val="11"/>
                <w:szCs w:val="11"/>
                <w:color w:val="auto"/>
              </w:rPr>
              <w:t>equity holders</w:t>
            </w: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1,133,773</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1,247,195</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1,547,283</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Total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1,133,773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1,247,195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1,547,283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spacing w:after="0"/>
              <w:rPr>
                <w:sz w:val="20"/>
                <w:szCs w:val="20"/>
                <w:color w:val="auto"/>
              </w:rPr>
            </w:pPr>
            <w:r>
              <w:rPr>
                <w:rFonts w:ascii="Arial" w:cs="Arial" w:eastAsia="Arial" w:hAnsi="Arial"/>
                <w:sz w:val="11"/>
                <w:szCs w:val="11"/>
                <w:color w:val="auto"/>
              </w:rPr>
              <w:t>Minority Interest</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93,109</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106,214</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132,329</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Total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93,109</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106,214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132,329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60" w:type="dxa"/>
            <w:vAlign w:val="bottom"/>
            <w:shd w:val="clear" w:color="auto" w:fill="CCFFCC"/>
          </w:tcPr>
          <w:p>
            <w:pPr>
              <w:spacing w:after="0" w:line="125" w:lineRule="exact"/>
              <w:rPr>
                <w:sz w:val="20"/>
                <w:szCs w:val="20"/>
                <w:color w:val="auto"/>
              </w:rPr>
            </w:pPr>
            <w:r>
              <w:rPr>
                <w:rFonts w:ascii="Arial" w:cs="Arial" w:eastAsia="Arial" w:hAnsi="Arial"/>
                <w:sz w:val="11"/>
                <w:szCs w:val="11"/>
                <w:color w:val="auto"/>
              </w:rPr>
              <w:t>Total non-interest-bearing</w:t>
            </w:r>
          </w:p>
        </w:tc>
        <w:tc>
          <w:tcPr>
            <w:tcW w:w="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560" w:type="dxa"/>
            <w:vAlign w:val="bottom"/>
            <w:shd w:val="clear" w:color="auto" w:fill="CCFFCC"/>
          </w:tcPr>
          <w:p>
            <w:pPr>
              <w:spacing w:after="0"/>
              <w:rPr>
                <w:sz w:val="20"/>
                <w:szCs w:val="20"/>
                <w:color w:val="auto"/>
              </w:rPr>
            </w:pPr>
            <w:r>
              <w:rPr>
                <w:rFonts w:ascii="Arial" w:cs="Arial" w:eastAsia="Arial" w:hAnsi="Arial"/>
                <w:sz w:val="11"/>
                <w:szCs w:val="11"/>
                <w:color w:val="auto"/>
              </w:rPr>
              <w:t>liabilities and equity</w:t>
            </w: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108,140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56,016</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157,062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1,977,594</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2,216,124</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2,803,363</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Total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2,085,734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2,272,140</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2,960,425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spacing w:after="0"/>
              <w:rPr>
                <w:sz w:val="20"/>
                <w:szCs w:val="20"/>
                <w:color w:val="auto"/>
              </w:rPr>
            </w:pPr>
            <w:r>
              <w:rPr>
                <w:rFonts w:ascii="Arial" w:cs="Arial" w:eastAsia="Arial" w:hAnsi="Arial"/>
                <w:sz w:val="11"/>
                <w:szCs w:val="11"/>
                <w:color w:val="auto"/>
                <w:w w:val="92"/>
              </w:rPr>
              <w:t>Total average liabilities and equity</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80"/>
              <w:spacing w:after="0"/>
              <w:rPr>
                <w:sz w:val="20"/>
                <w:szCs w:val="20"/>
                <w:color w:val="auto"/>
              </w:rPr>
            </w:pPr>
            <w:r>
              <w:rPr>
                <w:rFonts w:ascii="Arial" w:cs="Arial" w:eastAsia="Arial" w:hAnsi="Arial"/>
                <w:sz w:val="11"/>
                <w:szCs w:val="11"/>
                <w:color w:val="auto"/>
              </w:rPr>
              <w:t>Nuevos Soles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2,047,447</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46,668</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0.78</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2.28</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2,463,437</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75,680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2.04</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3.07</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3,784,245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125,730</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2.26</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3.32</w:t>
            </w:r>
          </w:p>
        </w:tc>
        <w:tc>
          <w:tcPr>
            <w:tcW w:w="0" w:type="dxa"/>
            <w:vAlign w:val="bottom"/>
          </w:tcPr>
          <w:p>
            <w:pPr>
              <w:spacing w:after="0"/>
              <w:rPr>
                <w:sz w:val="1"/>
                <w:szCs w:val="1"/>
                <w:color w:val="auto"/>
              </w:rPr>
            </w:pPr>
          </w:p>
        </w:tc>
      </w:tr>
      <w:tr>
        <w:trPr>
          <w:trHeight w:val="135"/>
        </w:trPr>
        <w:tc>
          <w:tcPr>
            <w:tcW w:w="1560" w:type="dxa"/>
            <w:vAlign w:val="bottom"/>
            <w:shd w:val="clear" w:color="auto" w:fill="CCFFCC"/>
          </w:tcPr>
          <w:p>
            <w:pPr>
              <w:ind w:left="180"/>
              <w:spacing w:after="0"/>
              <w:rPr>
                <w:sz w:val="20"/>
                <w:szCs w:val="20"/>
                <w:color w:val="auto"/>
              </w:rPr>
            </w:pPr>
            <w:r>
              <w:rPr>
                <w:rFonts w:ascii="Arial" w:cs="Arial" w:eastAsia="Arial" w:hAnsi="Arial"/>
                <w:sz w:val="11"/>
                <w:szCs w:val="11"/>
                <w:color w:val="auto"/>
              </w:rPr>
              <w:t>Foreign Currency</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7,711,219</w:t>
            </w:r>
          </w:p>
        </w:tc>
        <w:tc>
          <w:tcPr>
            <w:tcW w:w="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126,491</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1.64</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1"/>
                <w:szCs w:val="11"/>
                <w:color w:val="auto"/>
                <w:w w:val="74"/>
              </w:rPr>
              <w:t>1.64</w:t>
            </w:r>
          </w:p>
        </w:tc>
        <w:tc>
          <w:tcPr>
            <w:tcW w:w="1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9,194,594</w:t>
            </w:r>
          </w:p>
        </w:tc>
        <w:tc>
          <w:tcPr>
            <w:tcW w:w="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207,798</w:t>
            </w:r>
          </w:p>
        </w:tc>
        <w:tc>
          <w:tcPr>
            <w:tcW w:w="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2.20</w:t>
            </w:r>
          </w:p>
        </w:tc>
        <w:tc>
          <w:tcPr>
            <w:tcW w:w="100" w:type="dxa"/>
            <w:vAlign w:val="bottom"/>
            <w:shd w:val="clear" w:color="auto" w:fill="CCFFCC"/>
          </w:tcPr>
          <w:p>
            <w:pPr>
              <w:spacing w:after="0"/>
              <w:rPr>
                <w:sz w:val="11"/>
                <w:szCs w:val="11"/>
                <w:color w:val="auto"/>
              </w:rPr>
            </w:pP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2.26</w:t>
            </w: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4"/>
              </w:rPr>
              <w:t>11,773,321</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306,270</w:t>
            </w: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ind w:left="300"/>
              <w:spacing w:after="0"/>
              <w:rPr>
                <w:sz w:val="20"/>
                <w:szCs w:val="20"/>
                <w:color w:val="auto"/>
              </w:rPr>
            </w:pPr>
            <w:r>
              <w:rPr>
                <w:rFonts w:ascii="Arial" w:cs="Arial" w:eastAsia="Arial" w:hAnsi="Arial"/>
                <w:sz w:val="11"/>
                <w:szCs w:val="11"/>
                <w:color w:val="auto"/>
                <w:w w:val="74"/>
              </w:rPr>
              <w:t>2.60</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ind w:left="480"/>
              <w:spacing w:after="0"/>
              <w:rPr>
                <w:sz w:val="20"/>
                <w:szCs w:val="20"/>
                <w:color w:val="auto"/>
              </w:rPr>
            </w:pPr>
            <w:r>
              <w:rPr>
                <w:rFonts w:ascii="Arial" w:cs="Arial" w:eastAsia="Arial" w:hAnsi="Arial"/>
                <w:sz w:val="11"/>
                <w:szCs w:val="11"/>
                <w:color w:val="auto"/>
              </w:rPr>
              <w:t>2.60</w:t>
            </w: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Total</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9,758,666</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173,159</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1"/>
                <w:szCs w:val="11"/>
                <w:color w:val="auto"/>
              </w:rPr>
            </w:pPr>
          </w:p>
        </w:tc>
        <w:tc>
          <w:tcPr>
            <w:tcW w:w="660" w:type="dxa"/>
            <w:vAlign w:val="bottom"/>
          </w:tcPr>
          <w:p>
            <w:pPr>
              <w:ind w:left="480"/>
              <w:spacing w:after="0"/>
              <w:rPr>
                <w:sz w:val="20"/>
                <w:szCs w:val="20"/>
                <w:color w:val="auto"/>
              </w:rPr>
            </w:pPr>
            <w:r>
              <w:rPr>
                <w:rFonts w:ascii="Arial" w:cs="Arial" w:eastAsia="Arial" w:hAnsi="Arial"/>
                <w:sz w:val="11"/>
                <w:szCs w:val="11"/>
                <w:color w:val="auto"/>
                <w:w w:val="74"/>
              </w:rPr>
              <w:t>1.77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11,658,031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283,478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2.21</w:t>
            </w:r>
          </w:p>
        </w:tc>
        <w:tc>
          <w:tcPr>
            <w:tcW w:w="100" w:type="dxa"/>
            <w:vAlign w:val="bottom"/>
          </w:tcPr>
          <w:p>
            <w:pPr>
              <w:spacing w:after="0"/>
              <w:rPr>
                <w:sz w:val="11"/>
                <w:szCs w:val="11"/>
                <w:color w:val="auto"/>
              </w:rPr>
            </w:pPr>
          </w:p>
        </w:tc>
        <w:tc>
          <w:tcPr>
            <w:tcW w:w="860" w:type="dxa"/>
            <w:vAlign w:val="bottom"/>
            <w:gridSpan w:val="2"/>
          </w:tcPr>
          <w:p>
            <w:pPr>
              <w:ind w:left="480"/>
              <w:spacing w:after="0"/>
              <w:rPr>
                <w:sz w:val="20"/>
                <w:szCs w:val="20"/>
                <w:color w:val="auto"/>
              </w:rPr>
            </w:pPr>
            <w:r>
              <w:rPr>
                <w:rFonts w:ascii="Arial" w:cs="Arial" w:eastAsia="Arial" w:hAnsi="Arial"/>
                <w:sz w:val="11"/>
                <w:szCs w:val="11"/>
                <w:color w:val="auto"/>
              </w:rPr>
              <w:t>2.43</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4"/>
              </w:rPr>
              <w:t>15,557,566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432,000</w:t>
            </w:r>
          </w:p>
        </w:tc>
        <w:tc>
          <w:tcPr>
            <w:tcW w:w="160" w:type="dxa"/>
            <w:vAlign w:val="bottom"/>
          </w:tcPr>
          <w:p>
            <w:pPr>
              <w:spacing w:after="0"/>
              <w:rPr>
                <w:sz w:val="11"/>
                <w:szCs w:val="11"/>
                <w:color w:val="auto"/>
              </w:rPr>
            </w:pPr>
          </w:p>
        </w:tc>
        <w:tc>
          <w:tcPr>
            <w:tcW w:w="480" w:type="dxa"/>
            <w:vAlign w:val="bottom"/>
          </w:tcPr>
          <w:p>
            <w:pPr>
              <w:ind w:left="300"/>
              <w:spacing w:after="0"/>
              <w:rPr>
                <w:sz w:val="20"/>
                <w:szCs w:val="20"/>
                <w:color w:val="auto"/>
              </w:rPr>
            </w:pPr>
            <w:r>
              <w:rPr>
                <w:rFonts w:ascii="Arial" w:cs="Arial" w:eastAsia="Arial" w:hAnsi="Arial"/>
                <w:sz w:val="11"/>
                <w:szCs w:val="11"/>
                <w:color w:val="auto"/>
                <w:w w:val="74"/>
              </w:rPr>
              <w:t>2.52</w:t>
            </w:r>
          </w:p>
        </w:tc>
        <w:tc>
          <w:tcPr>
            <w:tcW w:w="120" w:type="dxa"/>
            <w:vAlign w:val="bottom"/>
          </w:tcPr>
          <w:p>
            <w:pPr>
              <w:spacing w:after="0"/>
              <w:rPr>
                <w:sz w:val="11"/>
                <w:szCs w:val="11"/>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1061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amount paid to Central Bank for the deposit insurance fund.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6"/>
          <w:szCs w:val="16"/>
          <w:i w:val="1"/>
          <w:iCs w:val="1"/>
          <w:color w:val="auto"/>
        </w:rPr>
        <w:t>Changes in Net Interest Income and Expense: Volume and Rate Analysis</w:t>
      </w:r>
    </w:p>
    <w:p>
      <w:pPr>
        <w:sectPr>
          <w:pgSz w:w="11900" w:h="16838" w:orient="portrait"/>
          <w:cols w:equalWidth="0" w:num="1">
            <w:col w:w="11420"/>
          </w:cols>
          <w:pgMar w:left="240" w:top="368" w:right="239" w:bottom="690" w:gutter="0" w:footer="0" w:header="0"/>
        </w:sectPr>
      </w:pPr>
    </w:p>
    <w:p>
      <w:pPr>
        <w:spacing w:after="0" w:line="325"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2006/2005</w:t>
      </w:r>
    </w:p>
    <w:p>
      <w:pPr>
        <w:spacing w:after="0" w:line="36" w:lineRule="exact"/>
        <w:rPr>
          <w:sz w:val="20"/>
          <w:szCs w:val="20"/>
          <w:color w:val="auto"/>
        </w:rPr>
      </w:pPr>
    </w:p>
    <w:p>
      <w:pPr>
        <w:jc w:val="center"/>
        <w:ind w:left="4240"/>
        <w:spacing w:after="0"/>
        <w:rPr>
          <w:sz w:val="20"/>
          <w:szCs w:val="20"/>
          <w:color w:val="auto"/>
        </w:rPr>
      </w:pPr>
      <w:r>
        <w:rPr>
          <w:rFonts w:ascii="Arial" w:cs="Arial" w:eastAsia="Arial" w:hAnsi="Arial"/>
          <w:sz w:val="15"/>
          <w:szCs w:val="15"/>
          <w:b w:val="1"/>
          <w:bCs w:val="1"/>
          <w:color w:val="auto"/>
        </w:rPr>
        <w:t>Increase/(Decrease) due to changes in:</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2007/2006</w:t>
      </w:r>
    </w:p>
    <w:p>
      <w:pPr>
        <w:spacing w:after="0" w:line="36"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auto"/>
        </w:rPr>
        <w:t>Increase/(Decrease) due to changes in:</w:t>
      </w:r>
    </w:p>
    <w:p>
      <w:pPr>
        <w:spacing w:after="0" w:line="98" w:lineRule="exact"/>
        <w:rPr>
          <w:sz w:val="20"/>
          <w:szCs w:val="20"/>
          <w:color w:val="auto"/>
        </w:rPr>
      </w:pPr>
    </w:p>
    <w:p>
      <w:pPr>
        <w:sectPr>
          <w:pgSz w:w="11900" w:h="16838" w:orient="portrait"/>
          <w:cols w:equalWidth="0" w:num="2">
            <w:col w:w="7400" w:space="720"/>
            <w:col w:w="3300"/>
          </w:cols>
          <w:pgMar w:left="240" w:top="368" w:right="239" w:bottom="69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0"/>
                <w:szCs w:val="20"/>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1"/>
              </w:rPr>
              <w:t>Net Change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 Change</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260"/>
              <w:spacing w:after="0"/>
              <w:rPr>
                <w:sz w:val="20"/>
                <w:szCs w:val="20"/>
                <w:color w:val="auto"/>
              </w:rPr>
            </w:pPr>
            <w:r>
              <w:rPr>
                <w:rFonts w:ascii="Arial" w:cs="Arial" w:eastAsia="Arial" w:hAnsi="Arial"/>
                <w:sz w:val="18"/>
                <w:szCs w:val="18"/>
                <w:i w:val="1"/>
                <w:iCs w:val="1"/>
                <w:color w:val="auto"/>
              </w:rPr>
              <w:t>(U.S. Dollars in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Interest-earning deposits in Central Bank</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13,851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18,958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32,809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(10,998)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(10,231)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13,925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18,991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32,916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(10,960)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(10,049)</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689</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7,237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15,917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23,154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14,371</w:t>
            </w:r>
          </w:p>
        </w:tc>
        <w:tc>
          <w:tcPr>
            <w:tcW w:w="1120" w:type="dxa"/>
            <w:vAlign w:val="bottom"/>
          </w:tcPr>
          <w:p>
            <w:pPr>
              <w:jc w:val="right"/>
              <w:spacing w:after="0"/>
              <w:rPr>
                <w:sz w:val="20"/>
                <w:szCs w:val="20"/>
                <w:color w:val="auto"/>
              </w:rPr>
            </w:pPr>
            <w:r>
              <w:rPr>
                <w:rFonts w:ascii="Arial" w:cs="Arial" w:eastAsia="Arial" w:hAnsi="Arial"/>
                <w:sz w:val="18"/>
                <w:szCs w:val="18"/>
                <w:color w:val="auto"/>
              </w:rPr>
              <w:t>8,147</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22,518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7,632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16,211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23,843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13,833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8,147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21,980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58,914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29,635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88,549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16,943</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30,594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(10,846)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19,748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7,022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89,508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18,789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108,297</w:t>
            </w:r>
          </w:p>
        </w:tc>
      </w:tr>
      <w:tr>
        <w:trPr>
          <w:trHeight w:val="257"/>
        </w:trPr>
        <w:tc>
          <w:tcPr>
            <w:tcW w:w="3900" w:type="dxa"/>
            <w:vAlign w:val="bottom"/>
          </w:tcPr>
          <w:p>
            <w:pPr>
              <w:spacing w:after="0" w:line="256" w:lineRule="exact"/>
              <w:rPr>
                <w:sz w:val="20"/>
                <w:szCs w:val="20"/>
                <w:color w:val="auto"/>
              </w:rPr>
            </w:pPr>
            <w:r>
              <w:rPr>
                <w:rFonts w:ascii="Arial" w:cs="Arial" w:eastAsia="Arial" w:hAnsi="Arial"/>
                <w:sz w:val="18"/>
                <w:szCs w:val="18"/>
                <w:color w:val="auto"/>
              </w:rPr>
              <w:t>Total loans</w:t>
            </w:r>
            <w:r>
              <w:rPr>
                <w:rFonts w:ascii="Arial" w:cs="Arial" w:eastAsia="Arial" w:hAnsi="Arial"/>
                <w:sz w:val="29"/>
                <w:szCs w:val="29"/>
                <w:color w:val="auto"/>
                <w:vertAlign w:val="superscript"/>
              </w:rPr>
              <w:t>(1)</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76,033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(30,256)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45,777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86,585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83,933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27,029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44,502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87,245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(7,377)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79,868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93,506</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90,279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173,830</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(10,029)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163,801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dividend-earning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3,919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4,974</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(5,141)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2,862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5,588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5,225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(5,283)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27,229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23,586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50,815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178,047</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171,959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91,912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26,844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118,756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98,381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13,631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112,012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119,141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50,430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169,571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276,428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7,543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283,971</w:t>
            </w: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4,130</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6,863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(1,574)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5,289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7,419</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(11,207)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(3,788)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8,137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11,234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(10,892)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1,827</w:t>
            </w:r>
          </w:p>
        </w:tc>
        <w:tc>
          <w:tcPr>
            <w:tcW w:w="112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2,472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2,833</w:t>
            </w:r>
          </w:p>
        </w:tc>
        <w:tc>
          <w:tcPr>
            <w:tcW w:w="1120" w:type="dxa"/>
            <w:vAlign w:val="bottom"/>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7,033</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6,357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11,921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37,327</w:t>
            </w:r>
          </w:p>
        </w:tc>
        <w:tc>
          <w:tcPr>
            <w:tcW w:w="1120" w:type="dxa"/>
            <w:vAlign w:val="bottom"/>
          </w:tcPr>
          <w:p>
            <w:pPr>
              <w:jc w:val="right"/>
              <w:spacing w:after="0"/>
              <w:rPr>
                <w:sz w:val="20"/>
                <w:szCs w:val="20"/>
                <w:color w:val="auto"/>
              </w:rPr>
            </w:pPr>
            <w:r>
              <w:rPr>
                <w:rFonts w:ascii="Arial" w:cs="Arial" w:eastAsia="Arial" w:hAnsi="Arial"/>
                <w:sz w:val="18"/>
                <w:szCs w:val="18"/>
                <w:color w:val="auto"/>
              </w:rPr>
              <w:t>9,198</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46,525</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44,139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47,390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22,056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56,397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9,608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49,703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59,311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59,383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43,539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102,922</w:t>
            </w:r>
          </w:p>
        </w:tc>
      </w:tr>
      <w:tr>
        <w:trPr>
          <w:trHeight w:val="202"/>
        </w:trPr>
        <w:tc>
          <w:tcPr>
            <w:tcW w:w="3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Due to banks and correspondents and issued</w:t>
            </w: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9,942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11,708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(6,151)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16,978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26,883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28,501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36,067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18,744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19,847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38,591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22,776</w:t>
            </w:r>
          </w:p>
        </w:tc>
        <w:tc>
          <w:tcPr>
            <w:tcW w:w="1120" w:type="dxa"/>
            <w:vAlign w:val="bottom"/>
          </w:tcPr>
          <w:p>
            <w:pPr>
              <w:jc w:val="right"/>
              <w:spacing w:after="0"/>
              <w:rPr>
                <w:sz w:val="20"/>
                <w:szCs w:val="20"/>
                <w:color w:val="auto"/>
              </w:rPr>
            </w:pPr>
            <w:r>
              <w:rPr>
                <w:rFonts w:ascii="Arial" w:cs="Arial" w:eastAsia="Arial" w:hAnsi="Arial"/>
                <w:sz w:val="18"/>
                <w:szCs w:val="18"/>
                <w:color w:val="auto"/>
              </w:rPr>
              <w:t>7,140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29,916</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2,416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2,365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6,396</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5,869</w:t>
            </w:r>
          </w:p>
        </w:tc>
        <w:tc>
          <w:tcPr>
            <w:tcW w:w="112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8,309</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interest-bearing liabilities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11,265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29,012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38,345</w:t>
            </w:r>
          </w:p>
        </w:tc>
        <w:tc>
          <w:tcPr>
            <w:tcW w:w="1120" w:type="dxa"/>
            <w:vAlign w:val="bottom"/>
          </w:tcPr>
          <w:p>
            <w:pPr>
              <w:jc w:val="right"/>
              <w:spacing w:after="0"/>
              <w:rPr>
                <w:sz w:val="20"/>
                <w:szCs w:val="20"/>
                <w:color w:val="auto"/>
              </w:rPr>
            </w:pPr>
            <w:r>
              <w:rPr>
                <w:rFonts w:ascii="Arial" w:cs="Arial" w:eastAsia="Arial" w:hAnsi="Arial"/>
                <w:sz w:val="18"/>
                <w:szCs w:val="18"/>
                <w:color w:val="auto"/>
              </w:rPr>
              <w:t>11,705</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50,050</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27,463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53,844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81,307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59,301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39,171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98,472</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38,728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71,591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110,319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97,646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50,876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0" w:right="38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ectPr>
          <w:pgSz w:w="11900" w:h="16838" w:orient="portrait"/>
          <w:cols w:equalWidth="0" w:num="1">
            <w:col w:w="11420"/>
          </w:cols>
          <w:pgMar w:left="240" w:top="368" w:right="239" w:bottom="69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690" w:gutter="0" w:footer="0" w:header="0"/>
          <w:type w:val="continuous"/>
        </w:sectPr>
      </w:pPr>
    </w:p>
    <w:bookmarkStart w:id="75" w:name="page76"/>
    <w:bookmarkEnd w:id="75"/>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3460" w:type="dxa"/>
            <w:vAlign w:val="bottom"/>
            <w:gridSpan w:val="5"/>
          </w:tcPr>
          <w:p>
            <w:pPr>
              <w:jc w:val="center"/>
              <w:ind w:left="970"/>
              <w:spacing w:after="0"/>
              <w:rPr>
                <w:sz w:val="20"/>
                <w:szCs w:val="20"/>
                <w:color w:val="auto"/>
              </w:rPr>
            </w:pPr>
            <w:r>
              <w:rPr>
                <w:rFonts w:ascii="Arial" w:cs="Arial" w:eastAsia="Arial" w:hAnsi="Arial"/>
                <w:sz w:val="18"/>
                <w:szCs w:val="18"/>
                <w:b w:val="1"/>
                <w:bCs w:val="1"/>
                <w:color w:val="auto"/>
                <w:w w:val="89"/>
              </w:rPr>
              <w:t>Year ended December 31,</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6120" w:type="dxa"/>
            <w:vAlign w:val="bottom"/>
          </w:tcPr>
          <w:p>
            <w:pPr>
              <w:spacing w:after="0"/>
              <w:rPr>
                <w:sz w:val="23"/>
                <w:szCs w:val="23"/>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r>
      <w:tr>
        <w:trPr>
          <w:trHeight w:val="237"/>
        </w:trPr>
        <w:tc>
          <w:tcPr>
            <w:tcW w:w="6120" w:type="dxa"/>
            <w:vAlign w:val="bottom"/>
          </w:tcPr>
          <w:p>
            <w:pPr>
              <w:spacing w:after="0"/>
              <w:rPr>
                <w:sz w:val="20"/>
                <w:szCs w:val="20"/>
                <w:color w:val="auto"/>
              </w:rPr>
            </w:pPr>
          </w:p>
        </w:tc>
        <w:tc>
          <w:tcPr>
            <w:tcW w:w="4720" w:type="dxa"/>
            <w:vAlign w:val="bottom"/>
            <w:gridSpan w:val="7"/>
          </w:tcPr>
          <w:p>
            <w:pPr>
              <w:jc w:val="center"/>
              <w:ind w:right="200"/>
              <w:spacing w:after="0"/>
              <w:rPr>
                <w:sz w:val="20"/>
                <w:szCs w:val="20"/>
                <w:color w:val="auto"/>
              </w:rPr>
            </w:pPr>
            <w:r>
              <w:rPr>
                <w:rFonts w:ascii="Arial" w:cs="Arial" w:eastAsia="Arial" w:hAnsi="Arial"/>
                <w:sz w:val="18"/>
                <w:szCs w:val="18"/>
                <w:i w:val="1"/>
                <w:iCs w:val="1"/>
                <w:color w:val="auto"/>
                <w:w w:val="90"/>
              </w:rPr>
              <w:t>(U.S. Dollars in thousands, except percentages)</w:t>
            </w:r>
          </w:p>
        </w:tc>
      </w:tr>
      <w:tr>
        <w:trPr>
          <w:trHeight w:val="243"/>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61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360" w:type="dxa"/>
            <w:vAlign w:val="bottom"/>
          </w:tcPr>
          <w:p>
            <w:pPr>
              <w:jc w:val="right"/>
              <w:spacing w:after="0"/>
              <w:rPr>
                <w:sz w:val="20"/>
                <w:szCs w:val="20"/>
                <w:color w:val="auto"/>
              </w:rPr>
            </w:pPr>
            <w:r>
              <w:rPr>
                <w:rFonts w:ascii="Arial" w:cs="Arial" w:eastAsia="Arial" w:hAnsi="Arial"/>
                <w:sz w:val="18"/>
                <w:szCs w:val="18"/>
                <w:color w:val="auto"/>
              </w:rPr>
              <w:t>2,155,583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2,468,974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4,315,200</w:t>
            </w:r>
          </w:p>
        </w:tc>
        <w:tc>
          <w:tcPr>
            <w:tcW w:w="180" w:type="dxa"/>
            <w:vAlign w:val="bottom"/>
          </w:tcPr>
          <w:p>
            <w:pPr>
              <w:spacing w:after="0"/>
              <w:rPr>
                <w:sz w:val="21"/>
                <w:szCs w:val="21"/>
                <w:color w:val="auto"/>
              </w:rPr>
            </w:pPr>
          </w:p>
        </w:tc>
      </w:tr>
      <w:tr>
        <w:trPr>
          <w:trHeight w:val="243"/>
        </w:trPr>
        <w:tc>
          <w:tcPr>
            <w:tcW w:w="6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6,807,425</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8,279,132</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9,776,665</w:t>
            </w:r>
          </w:p>
        </w:tc>
        <w:tc>
          <w:tcPr>
            <w:tcW w:w="180" w:type="dxa"/>
            <w:vAlign w:val="bottom"/>
            <w:shd w:val="clear" w:color="auto" w:fill="CCFFCC"/>
          </w:tcPr>
          <w:p>
            <w:pPr>
              <w:spacing w:after="0"/>
              <w:rPr>
                <w:sz w:val="21"/>
                <w:szCs w:val="21"/>
                <w:color w:val="auto"/>
              </w:rPr>
            </w:pPr>
          </w:p>
        </w:tc>
      </w:tr>
      <w:tr>
        <w:trPr>
          <w:trHeight w:val="243"/>
        </w:trPr>
        <w:tc>
          <w:tcPr>
            <w:tcW w:w="6120" w:type="dxa"/>
            <w:vAlign w:val="bottom"/>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8,963,008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10,748,106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14,091,865</w:t>
            </w:r>
          </w:p>
        </w:tc>
        <w:tc>
          <w:tcPr>
            <w:tcW w:w="180" w:type="dxa"/>
            <w:vAlign w:val="bottom"/>
          </w:tcPr>
          <w:p>
            <w:pPr>
              <w:spacing w:after="0"/>
              <w:rPr>
                <w:sz w:val="21"/>
                <w:szCs w:val="21"/>
                <w:color w:val="auto"/>
              </w:rPr>
            </w:pPr>
          </w:p>
        </w:tc>
      </w:tr>
      <w:tr>
        <w:trPr>
          <w:trHeight w:val="243"/>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61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360" w:type="dxa"/>
            <w:vAlign w:val="bottom"/>
          </w:tcPr>
          <w:p>
            <w:pPr>
              <w:jc w:val="right"/>
              <w:spacing w:after="0"/>
              <w:rPr>
                <w:sz w:val="20"/>
                <w:szCs w:val="20"/>
                <w:color w:val="auto"/>
              </w:rPr>
            </w:pPr>
            <w:r>
              <w:rPr>
                <w:rFonts w:ascii="Arial" w:cs="Arial" w:eastAsia="Arial" w:hAnsi="Arial"/>
                <w:sz w:val="18"/>
                <w:szCs w:val="18"/>
                <w:color w:val="auto"/>
              </w:rPr>
              <w:t>140,621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162,424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284,333</w:t>
            </w:r>
          </w:p>
        </w:tc>
        <w:tc>
          <w:tcPr>
            <w:tcW w:w="180" w:type="dxa"/>
            <w:vAlign w:val="bottom"/>
          </w:tcPr>
          <w:p>
            <w:pPr>
              <w:spacing w:after="0"/>
              <w:rPr>
                <w:sz w:val="21"/>
                <w:szCs w:val="21"/>
                <w:color w:val="auto"/>
              </w:rPr>
            </w:pPr>
          </w:p>
        </w:tc>
      </w:tr>
      <w:tr>
        <w:trPr>
          <w:trHeight w:val="243"/>
        </w:trPr>
        <w:tc>
          <w:tcPr>
            <w:tcW w:w="6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298,652</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336,101</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349,641</w:t>
            </w:r>
          </w:p>
        </w:tc>
        <w:tc>
          <w:tcPr>
            <w:tcW w:w="180" w:type="dxa"/>
            <w:vAlign w:val="bottom"/>
            <w:shd w:val="clear" w:color="auto" w:fill="CCFFCC"/>
          </w:tcPr>
          <w:p>
            <w:pPr>
              <w:spacing w:after="0"/>
              <w:rPr>
                <w:sz w:val="21"/>
                <w:szCs w:val="21"/>
                <w:color w:val="auto"/>
              </w:rPr>
            </w:pPr>
          </w:p>
        </w:tc>
      </w:tr>
      <w:tr>
        <w:trPr>
          <w:trHeight w:val="243"/>
        </w:trPr>
        <w:tc>
          <w:tcPr>
            <w:tcW w:w="6120" w:type="dxa"/>
            <w:vAlign w:val="bottom"/>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439,273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498,525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633,974</w:t>
            </w:r>
          </w:p>
        </w:tc>
        <w:tc>
          <w:tcPr>
            <w:tcW w:w="180" w:type="dxa"/>
            <w:vAlign w:val="bottom"/>
          </w:tcPr>
          <w:p>
            <w:pPr>
              <w:spacing w:after="0"/>
              <w:rPr>
                <w:sz w:val="21"/>
                <w:szCs w:val="21"/>
                <w:color w:val="auto"/>
              </w:rPr>
            </w:pP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3720" w:type="dxa"/>
            <w:vAlign w:val="bottom"/>
            <w:shd w:val="clear" w:color="auto" w:fill="CCFFCC"/>
          </w:tcPr>
          <w:p>
            <w:pPr>
              <w:spacing w:after="0"/>
              <w:rPr>
                <w:sz w:val="19"/>
                <w:szCs w:val="19"/>
                <w:color w:val="auto"/>
              </w:rPr>
            </w:pPr>
          </w:p>
        </w:tc>
        <w:tc>
          <w:tcPr>
            <w:tcW w:w="158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3720" w:type="dxa"/>
            <w:vAlign w:val="bottom"/>
          </w:tcPr>
          <w:p>
            <w:pPr>
              <w:jc w:val="right"/>
              <w:ind w:right="470"/>
              <w:spacing w:after="0"/>
              <w:rPr>
                <w:sz w:val="20"/>
                <w:szCs w:val="20"/>
                <w:color w:val="auto"/>
              </w:rPr>
            </w:pPr>
            <w:r>
              <w:rPr>
                <w:rFonts w:ascii="Arial" w:cs="Arial" w:eastAsia="Arial" w:hAnsi="Arial"/>
                <w:sz w:val="18"/>
                <w:szCs w:val="18"/>
                <w:color w:val="auto"/>
              </w:rPr>
              <w:t>8.69%</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9.64%</w:t>
            </w: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43"/>
        </w:trPr>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37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6.25%</w:t>
            </w:r>
          </w:p>
        </w:tc>
        <w:tc>
          <w:tcPr>
            <w:tcW w:w="158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6.57%</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w:t>
            </w: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3720" w:type="dxa"/>
            <w:vAlign w:val="bottom"/>
          </w:tcPr>
          <w:p>
            <w:pPr>
              <w:jc w:val="right"/>
              <w:ind w:right="470"/>
              <w:spacing w:after="0"/>
              <w:rPr>
                <w:sz w:val="20"/>
                <w:szCs w:val="20"/>
                <w:color w:val="auto"/>
              </w:rPr>
            </w:pPr>
            <w:r>
              <w:rPr>
                <w:rFonts w:ascii="Arial" w:cs="Arial" w:eastAsia="Arial" w:hAnsi="Arial"/>
                <w:sz w:val="18"/>
                <w:szCs w:val="18"/>
                <w:color w:val="auto"/>
              </w:rPr>
              <w:t>6.83%</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7.28%</w:t>
            </w: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43"/>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(2)</w:t>
            </w:r>
          </w:p>
        </w:tc>
        <w:tc>
          <w:tcPr>
            <w:tcW w:w="3720" w:type="dxa"/>
            <w:vAlign w:val="bottom"/>
            <w:shd w:val="clear" w:color="auto" w:fill="CCFFCC"/>
          </w:tcPr>
          <w:p>
            <w:pPr>
              <w:spacing w:after="0"/>
              <w:rPr>
                <w:sz w:val="21"/>
                <w:szCs w:val="21"/>
                <w:color w:val="auto"/>
              </w:rPr>
            </w:pPr>
          </w:p>
        </w:tc>
        <w:tc>
          <w:tcPr>
            <w:tcW w:w="158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3720" w:type="dxa"/>
            <w:vAlign w:val="bottom"/>
          </w:tcPr>
          <w:p>
            <w:pPr>
              <w:jc w:val="right"/>
              <w:ind w:right="470"/>
              <w:spacing w:after="0"/>
              <w:rPr>
                <w:sz w:val="20"/>
                <w:szCs w:val="20"/>
                <w:color w:val="auto"/>
              </w:rPr>
            </w:pPr>
            <w:r>
              <w:rPr>
                <w:rFonts w:ascii="Arial" w:cs="Arial" w:eastAsia="Arial" w:hAnsi="Arial"/>
                <w:sz w:val="18"/>
                <w:szCs w:val="18"/>
                <w:color w:val="auto"/>
              </w:rPr>
              <w:t>6.52%</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6.58%</w:t>
            </w:r>
          </w:p>
        </w:tc>
        <w:tc>
          <w:tcPr>
            <w:tcW w:w="108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37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4.39%</w:t>
            </w:r>
          </w:p>
        </w:tc>
        <w:tc>
          <w:tcPr>
            <w:tcW w:w="158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4.06%</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3720" w:type="dxa"/>
            <w:vAlign w:val="bottom"/>
          </w:tcPr>
          <w:p>
            <w:pPr>
              <w:jc w:val="right"/>
              <w:ind w:right="470"/>
              <w:spacing w:after="0"/>
              <w:rPr>
                <w:sz w:val="20"/>
                <w:szCs w:val="20"/>
                <w:color w:val="auto"/>
              </w:rPr>
            </w:pPr>
            <w:r>
              <w:rPr>
                <w:rFonts w:ascii="Arial" w:cs="Arial" w:eastAsia="Arial" w:hAnsi="Arial"/>
                <w:sz w:val="18"/>
                <w:szCs w:val="18"/>
                <w:color w:val="auto"/>
              </w:rPr>
              <w:t>4.90%</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4.64%</w:t>
            </w: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3720" w:type="dxa"/>
            <w:vAlign w:val="bottom"/>
            <w:shd w:val="clear" w:color="auto" w:fill="CCFFCC"/>
          </w:tcPr>
          <w:p>
            <w:pPr>
              <w:spacing w:after="0"/>
              <w:rPr>
                <w:sz w:val="21"/>
                <w:szCs w:val="21"/>
                <w:color w:val="auto"/>
              </w:rPr>
            </w:pPr>
          </w:p>
        </w:tc>
        <w:tc>
          <w:tcPr>
            <w:tcW w:w="158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3720" w:type="dxa"/>
            <w:vAlign w:val="bottom"/>
          </w:tcPr>
          <w:p>
            <w:pPr>
              <w:jc w:val="right"/>
              <w:ind w:right="470"/>
              <w:spacing w:after="0"/>
              <w:rPr>
                <w:sz w:val="20"/>
                <w:szCs w:val="20"/>
                <w:color w:val="auto"/>
              </w:rPr>
            </w:pPr>
            <w:r>
              <w:rPr>
                <w:rFonts w:ascii="Arial" w:cs="Arial" w:eastAsia="Arial" w:hAnsi="Arial"/>
                <w:sz w:val="18"/>
                <w:szCs w:val="18"/>
                <w:color w:val="auto"/>
              </w:rPr>
              <w:t>6.28%</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6.50%</w:t>
            </w:r>
          </w:p>
        </w:tc>
        <w:tc>
          <w:tcPr>
            <w:tcW w:w="108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43"/>
        </w:trPr>
        <w:tc>
          <w:tcPr>
            <w:tcW w:w="4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37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4.04%</w:t>
            </w:r>
          </w:p>
        </w:tc>
        <w:tc>
          <w:tcPr>
            <w:tcW w:w="158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3.59%</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446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3720" w:type="dxa"/>
            <w:vAlign w:val="bottom"/>
          </w:tcPr>
          <w:p>
            <w:pPr>
              <w:jc w:val="right"/>
              <w:ind w:right="470"/>
              <w:spacing w:after="0"/>
              <w:rPr>
                <w:sz w:val="20"/>
                <w:szCs w:val="20"/>
                <w:color w:val="auto"/>
              </w:rPr>
            </w:pPr>
            <w:r>
              <w:rPr>
                <w:rFonts w:ascii="Arial" w:cs="Arial" w:eastAsia="Arial" w:hAnsi="Arial"/>
                <w:sz w:val="18"/>
                <w:szCs w:val="18"/>
                <w:color w:val="auto"/>
              </w:rPr>
              <w:t>4.58%</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4.26%</w:t>
            </w:r>
          </w:p>
        </w:tc>
        <w:tc>
          <w:tcPr>
            <w:tcW w:w="1080" w:type="dxa"/>
            <w:vAlign w:val="bottom"/>
          </w:tcPr>
          <w:p>
            <w:pPr>
              <w:jc w:val="right"/>
              <w:spacing w:after="0"/>
              <w:rPr>
                <w:sz w:val="20"/>
                <w:szCs w:val="20"/>
                <w:color w:val="auto"/>
              </w:rPr>
            </w:pPr>
            <w:r>
              <w:rPr>
                <w:rFonts w:ascii="Arial" w:cs="Arial" w:eastAsia="Arial" w:hAnsi="Arial"/>
                <w:sz w:val="18"/>
                <w:szCs w:val="18"/>
                <w:color w:val="auto"/>
              </w:rPr>
              <w:t>4.14%</w:t>
            </w:r>
          </w:p>
        </w:tc>
      </w:tr>
    </w:tbl>
    <w:p>
      <w:pPr>
        <w:spacing w:after="0"/>
        <w:rPr>
          <w:sz w:val="20"/>
          <w:szCs w:val="20"/>
          <w:color w:val="auto"/>
        </w:rPr>
      </w:pPr>
      <w:r>
        <w:rPr>
          <w:rFonts w:ascii="Arial" w:cs="Arial" w:eastAsia="Arial" w:hAnsi="Arial"/>
          <w:sz w:val="18"/>
          <w:szCs w:val="18"/>
          <w:color w:val="auto"/>
        </w:rPr>
        <w:t>_________________________________</w:t>
      </w:r>
    </w:p>
    <w:p>
      <w:pPr>
        <w:spacing w:after="0" w:line="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shows the short-term funds deposited with other banks broken down by currency as of the dates indicated. Deposits held in countries other than Peru are denominated in several currencies; however, the substantial majority of such deposits are denominated in U.S. Dollars. These currencies were converted to U.S. Dollars using the applicable SBS exchange rate as of the date of relevant balance.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Year ended December 31,</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2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r>
      <w:tr>
        <w:trPr>
          <w:trHeight w:val="237"/>
        </w:trPr>
        <w:tc>
          <w:tcPr>
            <w:tcW w:w="6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20" w:type="dxa"/>
            <w:vAlign w:val="bottom"/>
            <w:gridSpan w:val="5"/>
          </w:tcPr>
          <w:p>
            <w:pPr>
              <w:jc w:val="center"/>
              <w:ind w:right="350"/>
              <w:spacing w:after="0"/>
              <w:rPr>
                <w:sz w:val="20"/>
                <w:szCs w:val="20"/>
                <w:color w:val="auto"/>
              </w:rPr>
            </w:pPr>
            <w:r>
              <w:rPr>
                <w:rFonts w:ascii="Arial" w:cs="Arial" w:eastAsia="Arial" w:hAnsi="Arial"/>
                <w:sz w:val="18"/>
                <w:szCs w:val="18"/>
                <w:i w:val="1"/>
                <w:iCs w:val="1"/>
                <w:color w:val="auto"/>
                <w:w w:val="92"/>
              </w:rPr>
              <w:t>(U.S. Dollars in thousands</w:t>
            </w:r>
            <w:r>
              <w:rPr>
                <w:rFonts w:ascii="Arial" w:cs="Arial" w:eastAsia="Arial" w:hAnsi="Arial"/>
                <w:sz w:val="18"/>
                <w:szCs w:val="18"/>
                <w:color w:val="auto"/>
                <w:w w:val="92"/>
              </w:rPr>
              <w: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Peruvian Central Bank</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37,547</w:t>
            </w: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Commercial banks</w:t>
            </w:r>
          </w:p>
        </w:tc>
        <w:tc>
          <w:tcPr>
            <w:tcW w:w="44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55,941</w:t>
            </w:r>
          </w:p>
        </w:tc>
        <w:tc>
          <w:tcPr>
            <w:tcW w:w="2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55,819</w:t>
            </w:r>
          </w:p>
        </w:tc>
        <w:tc>
          <w:tcPr>
            <w:tcW w:w="2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41,826</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Total Nuevo Sol-denominated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55,941</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93,366</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41,826</w:t>
            </w:r>
          </w:p>
        </w:tc>
      </w:tr>
      <w:tr>
        <w:trPr>
          <w:trHeight w:val="243"/>
        </w:trPr>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Peruvian Central Bank (U.S. Dollars)</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1,275,965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1.105,921</w:t>
            </w: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43"/>
        </w:trPr>
        <w:tc>
          <w:tcPr>
            <w:tcW w:w="6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U.S. Dollars, other</w:t>
            </w:r>
          </w:p>
        </w:tc>
        <w:tc>
          <w:tcPr>
            <w:tcW w:w="44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632,698</w:t>
            </w:r>
          </w:p>
        </w:tc>
        <w:tc>
          <w:tcPr>
            <w:tcW w:w="2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739,028</w:t>
            </w:r>
          </w:p>
        </w:tc>
        <w:tc>
          <w:tcPr>
            <w:tcW w:w="2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1,360,649</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55,506</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w:t>
            </w:r>
          </w:p>
        </w:tc>
        <w:tc>
          <w:tcPr>
            <w:tcW w:w="100" w:type="dxa"/>
            <w:vAlign w:val="bottom"/>
          </w:tcPr>
          <w:p>
            <w:pPr>
              <w:spacing w:after="0"/>
              <w:rPr>
                <w:sz w:val="20"/>
                <w:szCs w:val="20"/>
                <w:color w:val="auto"/>
              </w:rPr>
            </w:pPr>
          </w:p>
        </w:tc>
      </w:tr>
      <w:tr>
        <w:trPr>
          <w:trHeight w:val="237"/>
        </w:trPr>
        <w:tc>
          <w:tcPr>
            <w:tcW w:w="6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Foreign Currency-denominated</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1,916,739</w:t>
            </w:r>
          </w:p>
        </w:tc>
        <w:tc>
          <w:tcPr>
            <w:tcW w:w="6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1,900,455</w:t>
            </w:r>
          </w:p>
        </w:tc>
        <w:tc>
          <w:tcPr>
            <w:tcW w:w="2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2,411,121</w:t>
            </w:r>
          </w:p>
        </w:tc>
      </w:tr>
      <w:tr>
        <w:trPr>
          <w:trHeight w:val="20"/>
        </w:trPr>
        <w:tc>
          <w:tcPr>
            <w:tcW w:w="62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280" w:type="dxa"/>
            <w:vAlign w:val="bottom"/>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1,972,680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1,993,821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2,452,947</w:t>
            </w:r>
          </w:p>
        </w:tc>
      </w:tr>
      <w:tr>
        <w:trPr>
          <w:trHeight w:val="20"/>
        </w:trPr>
        <w:tc>
          <w:tcPr>
            <w:tcW w:w="6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(ii)</w:t>
        <w:tab/>
        <w:t>Investment Portfolio</w:t>
      </w:r>
    </w:p>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fair value of Credicorp’s trading and available-for-sale investment securities by type at the dates indicated. See Notes 5 and 6 to the Credicorp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On December 31,</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2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2"/>
                <w:szCs w:val="22"/>
                <w:color w:val="auto"/>
              </w:rPr>
            </w:pPr>
          </w:p>
        </w:tc>
      </w:tr>
      <w:tr>
        <w:trPr>
          <w:trHeight w:val="237"/>
        </w:trPr>
        <w:tc>
          <w:tcPr>
            <w:tcW w:w="6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5"/>
          </w:tcPr>
          <w:p>
            <w:pPr>
              <w:ind w:left="40"/>
              <w:spacing w:after="0"/>
              <w:rPr>
                <w:sz w:val="20"/>
                <w:szCs w:val="20"/>
                <w:color w:val="auto"/>
              </w:rPr>
            </w:pPr>
            <w:r>
              <w:rPr>
                <w:rFonts w:ascii="Arial" w:cs="Arial" w:eastAsia="Arial" w:hAnsi="Arial"/>
                <w:sz w:val="18"/>
                <w:szCs w:val="18"/>
                <w:i w:val="1"/>
                <w:iCs w:val="1"/>
                <w:color w:val="auto"/>
              </w:rPr>
              <w:t>(U.S. 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4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Peruvian Government bonds</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129,137</w:t>
            </w:r>
          </w:p>
        </w:tc>
        <w:tc>
          <w:tcPr>
            <w:tcW w:w="40" w:type="dxa"/>
            <w:vAlign w:val="bottom"/>
          </w:tcPr>
          <w:p>
            <w:pPr>
              <w:spacing w:after="0"/>
              <w:rPr>
                <w:sz w:val="21"/>
                <w:szCs w:val="21"/>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156,890</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274,391</w:t>
            </w:r>
          </w:p>
        </w:tc>
      </w:tr>
      <w:tr>
        <w:trPr>
          <w:trHeight w:val="243"/>
        </w:trPr>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144,919</w:t>
            </w:r>
          </w:p>
        </w:tc>
        <w:tc>
          <w:tcPr>
            <w:tcW w:w="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148,333</w:t>
            </w:r>
          </w:p>
        </w:tc>
        <w:tc>
          <w:tcPr>
            <w:tcW w:w="44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227,751</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Bonds</w:t>
            </w:r>
          </w:p>
        </w:tc>
        <w:tc>
          <w:tcPr>
            <w:tcW w:w="4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91,065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74,010</w:t>
            </w:r>
          </w:p>
        </w:tc>
        <w:tc>
          <w:tcPr>
            <w:tcW w:w="4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110,916</w:t>
            </w:r>
          </w:p>
        </w:tc>
      </w:tr>
      <w:tr>
        <w:trPr>
          <w:trHeight w:val="243"/>
        </w:trPr>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Peruvian Central Bank certif. notes</w:t>
            </w: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835,287</w:t>
            </w:r>
          </w:p>
        </w:tc>
        <w:tc>
          <w:tcPr>
            <w:tcW w:w="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1,277,613</w:t>
            </w: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2,407,005</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Other investments</w:t>
            </w:r>
          </w:p>
        </w:tc>
        <w:tc>
          <w:tcPr>
            <w:tcW w:w="4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40,287</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264,112</w:t>
            </w:r>
          </w:p>
        </w:tc>
        <w:tc>
          <w:tcPr>
            <w:tcW w:w="4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132,788</w:t>
            </w:r>
          </w:p>
        </w:tc>
      </w:tr>
      <w:tr>
        <w:trPr>
          <w:trHeight w:val="237"/>
        </w:trPr>
        <w:tc>
          <w:tcPr>
            <w:tcW w:w="62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Nuevo Sol-denominated</w:t>
            </w:r>
          </w:p>
        </w:tc>
        <w:tc>
          <w:tcPr>
            <w:tcW w:w="4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1,240,695</w:t>
            </w:r>
          </w:p>
        </w:tc>
        <w:tc>
          <w:tcPr>
            <w:tcW w:w="4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top w:val="single" w:sz="8" w:color="auto"/>
              <w:bottom w:val="single" w:sz="8" w:color="auto"/>
            </w:tcBorders>
            <w:shd w:val="clear" w:color="auto" w:fill="CCFFCC"/>
          </w:tcPr>
          <w:p>
            <w:pPr>
              <w:spacing w:after="0"/>
              <w:rPr>
                <w:sz w:val="20"/>
                <w:szCs w:val="20"/>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1,920,958</w:t>
            </w:r>
          </w:p>
        </w:tc>
        <w:tc>
          <w:tcPr>
            <w:tcW w:w="2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top w:val="single" w:sz="8" w:color="auto"/>
              <w:bottom w:val="single" w:sz="8" w:color="auto"/>
            </w:tcBorders>
            <w:shd w:val="clear" w:color="auto" w:fill="CCFFCC"/>
          </w:tcPr>
          <w:p>
            <w:pPr>
              <w:spacing w:after="0"/>
              <w:rPr>
                <w:sz w:val="20"/>
                <w:szCs w:val="20"/>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3,152,851</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6280" w:type="dxa"/>
            <w:vAlign w:val="bottom"/>
          </w:tcPr>
          <w:p>
            <w:pPr>
              <w:spacing w:after="0"/>
              <w:rPr>
                <w:sz w:val="20"/>
                <w:szCs w:val="20"/>
                <w:color w:val="auto"/>
              </w:rPr>
            </w:pPr>
            <w:r>
              <w:rPr>
                <w:rFonts w:ascii="Arial" w:cs="Arial" w:eastAsia="Arial" w:hAnsi="Arial"/>
                <w:sz w:val="18"/>
                <w:szCs w:val="18"/>
                <w:b w:val="1"/>
                <w:bCs w:val="1"/>
                <w:color w:val="auto"/>
              </w:rPr>
              <w:t>Foreign Currency-denominated:</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63,332</w:t>
            </w:r>
          </w:p>
        </w:tc>
        <w:tc>
          <w:tcPr>
            <w:tcW w:w="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102,543</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118,313</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Bonds</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891,666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1,114,211</w:t>
            </w:r>
          </w:p>
        </w:tc>
        <w:tc>
          <w:tcPr>
            <w:tcW w:w="4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1,198,073</w:t>
            </w:r>
          </w:p>
        </w:tc>
      </w:tr>
      <w:tr>
        <w:trPr>
          <w:trHeight w:val="243"/>
        </w:trPr>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Investment in Peruvian debt</w:t>
            </w: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185,138</w:t>
            </w:r>
          </w:p>
        </w:tc>
        <w:tc>
          <w:tcPr>
            <w:tcW w:w="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268,235</w:t>
            </w:r>
          </w:p>
        </w:tc>
        <w:tc>
          <w:tcPr>
            <w:tcW w:w="44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362,603</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Peruvian Central Bank certif. notes</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310,528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investment</w:t>
            </w:r>
          </w:p>
        </w:tc>
        <w:tc>
          <w:tcPr>
            <w:tcW w:w="44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163,894</w:t>
            </w:r>
          </w:p>
        </w:tc>
        <w:tc>
          <w:tcPr>
            <w:tcW w:w="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61,634</w:t>
            </w:r>
          </w:p>
        </w:tc>
        <w:tc>
          <w:tcPr>
            <w:tcW w:w="2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406,262</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Total Foreign Currency-denominated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1,614,558</w:t>
            </w:r>
          </w:p>
        </w:tc>
        <w:tc>
          <w:tcPr>
            <w:tcW w:w="40" w:type="dxa"/>
            <w:vAlign w:val="bottom"/>
          </w:tcPr>
          <w:p>
            <w:pPr>
              <w:spacing w:after="0"/>
              <w:rPr>
                <w:sz w:val="20"/>
                <w:szCs w:val="20"/>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1,546,623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2,085,251</w:t>
            </w:r>
          </w:p>
        </w:tc>
      </w:tr>
      <w:tr>
        <w:trPr>
          <w:trHeight w:val="237"/>
        </w:trPr>
        <w:tc>
          <w:tcPr>
            <w:tcW w:w="6280" w:type="dxa"/>
            <w:vAlign w:val="bottom"/>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46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Total securities holdings</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2,855,253</w:t>
            </w:r>
          </w:p>
        </w:tc>
        <w:tc>
          <w:tcPr>
            <w:tcW w:w="40" w:type="dxa"/>
            <w:vAlign w:val="bottom"/>
          </w:tcPr>
          <w:p>
            <w:pPr>
              <w:spacing w:after="0"/>
              <w:rPr>
                <w:sz w:val="23"/>
                <w:szCs w:val="23"/>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3,467,581</w:t>
            </w:r>
          </w:p>
        </w:tc>
        <w:tc>
          <w:tcPr>
            <w:tcW w:w="22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5,238,102</w:t>
            </w:r>
          </w:p>
        </w:tc>
      </w:tr>
      <w:tr>
        <w:trPr>
          <w:trHeight w:val="20"/>
        </w:trPr>
        <w:tc>
          <w:tcPr>
            <w:tcW w:w="6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interest-earning investment securities was 4.2% in 2005, 5.2% in 2006 and 6.6% in 2007. The weighted-average yield on Credicorp’s foreign currency-denominated portfolio was 5.7% in 2005 and 2006 and 5.1% in 2007. The total weighted-average yield of Credicorp’s investment securities was 5.0% in 2005, 5.5% in 2006 and 5.9% in 2007.</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dividend-earning assets was 3.5% in 2005, 5.2% in 2006 and 2.8% in 2007. The weighted-average yield on Credicorp’s foreign currency-denominated portfolio was 2.0% in 2005, 2.7% in 2006 and 2.6% in 2007. The total weighted-average yield of Credicorp’s dividend –earning assets was 2.7% in 2005, 4.0% in 2006 and 2.7% in 2007.</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color w:val="auto"/>
        </w:rPr>
        <w:t>The following table shows the maturities of Credicorp’s trading and available-for-sale investment securities by type on December 31, 2007: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rPr>
              <w:t>Maturing</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Maturing</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After 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After 5</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After 1 year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years but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years but</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Within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but within</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within 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within</w:t>
            </w:r>
          </w:p>
        </w:tc>
        <w:tc>
          <w:tcPr>
            <w:tcW w:w="34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After 10</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3years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10 years</w:t>
            </w:r>
          </w:p>
        </w:tc>
        <w:tc>
          <w:tcPr>
            <w:tcW w:w="34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40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gridSpan w:val="8"/>
          </w:tcPr>
          <w:p>
            <w:pPr>
              <w:jc w:val="right"/>
              <w:ind w:right="60"/>
              <w:spacing w:after="0"/>
              <w:rPr>
                <w:sz w:val="20"/>
                <w:szCs w:val="20"/>
                <w:color w:val="auto"/>
              </w:rPr>
            </w:pPr>
            <w:r>
              <w:rPr>
                <w:rFonts w:ascii="Arial" w:cs="Arial" w:eastAsia="Arial" w:hAnsi="Arial"/>
                <w:sz w:val="14"/>
                <w:szCs w:val="14"/>
                <w:i w:val="1"/>
                <w:iCs w:val="1"/>
                <w:color w:val="auto"/>
              </w:rPr>
              <w:t>(U.S. Dollars in thousands, except percentages)</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Nuevo Sol-denominated:</w:t>
            </w:r>
          </w:p>
        </w:tc>
        <w:tc>
          <w:tcPr>
            <w:tcW w:w="2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00" w:type="dxa"/>
            <w:vAlign w:val="bottom"/>
            <w:tcBorders>
              <w:left w:val="single" w:sz="8" w:color="CCFFCC"/>
            </w:tcBorders>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Peruvian government bonds</w:t>
            </w: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US$</w:t>
            </w:r>
          </w:p>
        </w:tc>
        <w:tc>
          <w:tcPr>
            <w:tcW w:w="860" w:type="dxa"/>
            <w:vAlign w:val="bottom"/>
          </w:tcPr>
          <w:p>
            <w:pPr>
              <w:jc w:val="right"/>
              <w:spacing w:after="0"/>
              <w:rPr>
                <w:sz w:val="20"/>
                <w:szCs w:val="20"/>
                <w:color w:val="auto"/>
              </w:rPr>
            </w:pPr>
            <w:r>
              <w:rPr>
                <w:rFonts w:ascii="Arial" w:cs="Arial" w:eastAsia="Arial" w:hAnsi="Arial"/>
                <w:sz w:val="14"/>
                <w:szCs w:val="14"/>
                <w:color w:val="auto"/>
              </w:rPr>
              <w:t>104,856</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US$</w:t>
            </w:r>
          </w:p>
        </w:tc>
        <w:tc>
          <w:tcPr>
            <w:tcW w:w="960" w:type="dxa"/>
            <w:vAlign w:val="bottom"/>
          </w:tcPr>
          <w:p>
            <w:pPr>
              <w:jc w:val="right"/>
              <w:spacing w:after="0"/>
              <w:rPr>
                <w:sz w:val="20"/>
                <w:szCs w:val="20"/>
                <w:color w:val="auto"/>
              </w:rPr>
            </w:pPr>
            <w:r>
              <w:rPr>
                <w:rFonts w:ascii="Arial" w:cs="Arial" w:eastAsia="Arial" w:hAnsi="Arial"/>
                <w:sz w:val="14"/>
                <w:szCs w:val="14"/>
                <w:color w:val="auto"/>
              </w:rPr>
              <w:t>38,228</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US$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38,211</w:t>
            </w:r>
          </w:p>
        </w:tc>
        <w:tc>
          <w:tcPr>
            <w:tcW w:w="340" w:type="dxa"/>
            <w:vAlign w:val="bottom"/>
          </w:tcPr>
          <w:p>
            <w:pPr>
              <w:spacing w:after="0"/>
              <w:rPr>
                <w:sz w:val="20"/>
                <w:szCs w:val="20"/>
                <w:color w:val="auto"/>
              </w:rPr>
            </w:pPr>
            <w:r>
              <w:rPr>
                <w:rFonts w:ascii="Arial" w:cs="Arial" w:eastAsia="Arial" w:hAnsi="Arial"/>
                <w:sz w:val="14"/>
                <w:szCs w:val="14"/>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93,096</w:t>
            </w:r>
          </w:p>
        </w:tc>
        <w:tc>
          <w:tcPr>
            <w:tcW w:w="400" w:type="dxa"/>
            <w:vAlign w:val="bottom"/>
          </w:tcPr>
          <w:p>
            <w:pPr>
              <w:spacing w:after="0"/>
              <w:rPr>
                <w:sz w:val="20"/>
                <w:szCs w:val="20"/>
                <w:color w:val="auto"/>
              </w:rPr>
            </w:pPr>
            <w:r>
              <w:rPr>
                <w:rFonts w:ascii="Arial" w:cs="Arial" w:eastAsia="Arial" w:hAnsi="Arial"/>
                <w:sz w:val="14"/>
                <w:szCs w:val="14"/>
                <w:color w:val="auto"/>
              </w:rPr>
              <w:t>US$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274,391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Equity securities (1)</w:t>
            </w:r>
          </w:p>
        </w:tc>
        <w:tc>
          <w:tcPr>
            <w:tcW w:w="2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227,751</w:t>
            </w:r>
          </w:p>
        </w:tc>
        <w:tc>
          <w:tcPr>
            <w:tcW w:w="100" w:type="dxa"/>
            <w:vAlign w:val="bottom"/>
            <w:tcBorders>
              <w:left w:val="single" w:sz="8" w:color="CCFFCC"/>
            </w:tcBorders>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FFCC"/>
            </w:tcBorders>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CC"/>
          </w:tcPr>
          <w:p>
            <w:pPr>
              <w:spacing w:after="0"/>
              <w:rPr>
                <w:sz w:val="15"/>
                <w:szCs w:val="15"/>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227,751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160"/>
              <w:spacing w:after="0"/>
              <w:rPr>
                <w:sz w:val="20"/>
                <w:szCs w:val="20"/>
                <w:color w:val="auto"/>
              </w:rPr>
            </w:pPr>
            <w:r>
              <w:rPr>
                <w:rFonts w:ascii="Arial" w:cs="Arial" w:eastAsia="Arial" w:hAnsi="Arial"/>
                <w:sz w:val="14"/>
                <w:szCs w:val="14"/>
                <w:color w:val="auto"/>
              </w:rPr>
              <w:t>Bonds and debentures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21,045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12,124</w:t>
            </w:r>
          </w:p>
        </w:tc>
        <w:tc>
          <w:tcPr>
            <w:tcW w:w="3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54,759</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110,916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Peruvian Central Bank certif. notes</w:t>
            </w:r>
          </w:p>
        </w:tc>
        <w:tc>
          <w:tcPr>
            <w:tcW w:w="2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1,971,161</w:t>
            </w:r>
          </w:p>
        </w:tc>
        <w:tc>
          <w:tcPr>
            <w:tcW w:w="100" w:type="dxa"/>
            <w:vAlign w:val="bottom"/>
            <w:tcBorders>
              <w:left w:val="single" w:sz="8" w:color="CCFFCC"/>
            </w:tcBorders>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435,844</w:t>
            </w: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FFCC"/>
            </w:tcBorders>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2,407,005</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160"/>
              <w:spacing w:after="0"/>
              <w:rPr>
                <w:sz w:val="20"/>
                <w:szCs w:val="20"/>
                <w:color w:val="auto"/>
              </w:rPr>
            </w:pPr>
            <w:r>
              <w:rPr>
                <w:rFonts w:ascii="Arial" w:cs="Arial" w:eastAsia="Arial" w:hAnsi="Arial"/>
                <w:sz w:val="14"/>
                <w:szCs w:val="14"/>
                <w:color w:val="auto"/>
              </w:rPr>
              <w:t>Other investments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96,048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15,354</w:t>
            </w:r>
          </w:p>
        </w:tc>
        <w:tc>
          <w:tcPr>
            <w:tcW w:w="3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7,022</w:t>
            </w:r>
          </w:p>
        </w:tc>
        <w:tc>
          <w:tcPr>
            <w:tcW w:w="4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132,788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4"/>
                <w:szCs w:val="14"/>
                <w:color w:val="auto"/>
              </w:rPr>
              <w:t>Total Nuevo Sol-denominated</w:t>
            </w:r>
          </w:p>
        </w:tc>
        <w:tc>
          <w:tcPr>
            <w:tcW w:w="56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2,419,913</w:t>
            </w:r>
          </w:p>
        </w:tc>
        <w:tc>
          <w:tcPr>
            <w:tcW w:w="400" w:type="dxa"/>
            <w:vAlign w:val="bottom"/>
            <w:tcBorders>
              <w:left w:val="single" w:sz="8" w:color="CCFFCC"/>
            </w:tcBorders>
            <w:gridSpan w:val="2"/>
            <w:shd w:val="clear" w:color="auto" w:fill="CCFFCC"/>
          </w:tcPr>
          <w:p>
            <w:pPr>
              <w:ind w:left="100"/>
              <w:spacing w:after="0"/>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507,191</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5,181</w:t>
            </w:r>
          </w:p>
        </w:tc>
        <w:tc>
          <w:tcPr>
            <w:tcW w:w="420" w:type="dxa"/>
            <w:vAlign w:val="bottom"/>
            <w:tcBorders>
              <w:left w:val="single" w:sz="8" w:color="CCFFCC"/>
            </w:tcBorders>
            <w:gridSpan w:val="2"/>
            <w:shd w:val="clear" w:color="auto" w:fill="CCFFCC"/>
          </w:tcPr>
          <w:p>
            <w:pPr>
              <w:ind w:left="100"/>
              <w:spacing w:after="0"/>
              <w:rPr>
                <w:sz w:val="20"/>
                <w:szCs w:val="20"/>
                <w:color w:val="auto"/>
              </w:rPr>
            </w:pPr>
            <w:r>
              <w:rPr>
                <w:rFonts w:ascii="Arial" w:cs="Arial" w:eastAsia="Arial" w:hAnsi="Arial"/>
                <w:sz w:val="14"/>
                <w:szCs w:val="14"/>
                <w:color w:val="auto"/>
              </w:rPr>
              <w:t>US$</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65,689</w:t>
            </w:r>
          </w:p>
        </w:tc>
        <w:tc>
          <w:tcPr>
            <w:tcW w:w="34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154,877</w:t>
            </w:r>
          </w:p>
        </w:tc>
        <w:tc>
          <w:tcPr>
            <w:tcW w:w="40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3,152,851</w:t>
            </w: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Borders>
              <w:top w:val="single" w:sz="8" w:color="CCFFCC"/>
            </w:tcBorders>
          </w:tcPr>
          <w:p>
            <w:pPr>
              <w:spacing w:after="0"/>
              <w:rPr>
                <w:sz w:val="20"/>
                <w:szCs w:val="20"/>
                <w:color w:val="auto"/>
              </w:rPr>
            </w:pPr>
            <w:r>
              <w:rPr>
                <w:rFonts w:ascii="Arial" w:cs="Arial" w:eastAsia="Arial" w:hAnsi="Arial"/>
                <w:sz w:val="14"/>
                <w:szCs w:val="14"/>
                <w:b w:val="1"/>
                <w:bCs w:val="1"/>
                <w:color w:val="auto"/>
              </w:rPr>
              <w:t>Foreign Currency-denominated:</w:t>
            </w:r>
          </w:p>
        </w:tc>
        <w:tc>
          <w:tcPr>
            <w:tcW w:w="200" w:type="dxa"/>
            <w:vAlign w:val="bottom"/>
            <w:tcBorders>
              <w:top w:val="single" w:sz="8" w:color="CCFFC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4"/>
                <w:szCs w:val="14"/>
                <w:color w:val="auto"/>
              </w:rPr>
              <w:t>Peruvian Government Bonds</w:t>
            </w:r>
          </w:p>
        </w:tc>
        <w:tc>
          <w:tcPr>
            <w:tcW w:w="2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73,004</w:t>
            </w:r>
          </w:p>
        </w:tc>
        <w:tc>
          <w:tcPr>
            <w:tcW w:w="100" w:type="dxa"/>
            <w:vAlign w:val="bottom"/>
            <w:tcBorders>
              <w:left w:val="single" w:sz="8" w:color="CCFFCC"/>
            </w:tcBorders>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1,363</w:t>
            </w: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26,981</w:t>
            </w:r>
          </w:p>
        </w:tc>
        <w:tc>
          <w:tcPr>
            <w:tcW w:w="100" w:type="dxa"/>
            <w:vAlign w:val="bottom"/>
            <w:tcBorders>
              <w:left w:val="single" w:sz="8" w:color="CCFFCC"/>
            </w:tcBorders>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92,648</w:t>
            </w:r>
          </w:p>
        </w:tc>
        <w:tc>
          <w:tcPr>
            <w:tcW w:w="34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168,607</w:t>
            </w:r>
          </w:p>
        </w:tc>
        <w:tc>
          <w:tcPr>
            <w:tcW w:w="400" w:type="dxa"/>
            <w:vAlign w:val="bottom"/>
            <w:shd w:val="clear" w:color="auto" w:fill="CCFFCC"/>
          </w:tcPr>
          <w:p>
            <w:pPr>
              <w:spacing w:after="0"/>
              <w:rPr>
                <w:sz w:val="15"/>
                <w:szCs w:val="15"/>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362,603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ind w:left="320"/>
              <w:spacing w:after="0"/>
              <w:rPr>
                <w:sz w:val="20"/>
                <w:szCs w:val="20"/>
                <w:color w:val="auto"/>
              </w:rPr>
            </w:pPr>
            <w:r>
              <w:rPr>
                <w:rFonts w:ascii="Arial" w:cs="Arial" w:eastAsia="Arial" w:hAnsi="Arial"/>
                <w:sz w:val="14"/>
                <w:szCs w:val="14"/>
                <w:color w:val="auto"/>
              </w:rPr>
              <w:t>Equity securities (1)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118,313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118,313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shd w:val="clear" w:color="auto" w:fill="CCFFCC"/>
          </w:tcPr>
          <w:p>
            <w:pPr>
              <w:ind w:left="320"/>
              <w:spacing w:after="0"/>
              <w:rPr>
                <w:sz w:val="20"/>
                <w:szCs w:val="20"/>
                <w:color w:val="auto"/>
              </w:rPr>
            </w:pPr>
            <w:r>
              <w:rPr>
                <w:rFonts w:ascii="Arial" w:cs="Arial" w:eastAsia="Arial" w:hAnsi="Arial"/>
                <w:sz w:val="14"/>
                <w:szCs w:val="14"/>
                <w:color w:val="auto"/>
                <w:w w:val="96"/>
              </w:rPr>
              <w:t>Bonds Peruvian Central Bank certificates notes</w:t>
            </w:r>
          </w:p>
        </w:tc>
        <w:tc>
          <w:tcPr>
            <w:tcW w:w="20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164,559</w:t>
            </w:r>
          </w:p>
        </w:tc>
        <w:tc>
          <w:tcPr>
            <w:tcW w:w="100" w:type="dxa"/>
            <w:vAlign w:val="bottom"/>
            <w:tcBorders>
              <w:left w:val="single" w:sz="8" w:color="CCFFCC"/>
            </w:tcBorders>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409,755</w:t>
            </w: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139,752</w:t>
            </w:r>
          </w:p>
        </w:tc>
        <w:tc>
          <w:tcPr>
            <w:tcW w:w="100" w:type="dxa"/>
            <w:vAlign w:val="bottom"/>
            <w:tcBorders>
              <w:left w:val="single" w:sz="8" w:color="CCFFCC"/>
            </w:tcBorders>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176,081</w:t>
            </w:r>
          </w:p>
        </w:tc>
        <w:tc>
          <w:tcPr>
            <w:tcW w:w="340" w:type="dxa"/>
            <w:vAlign w:val="bottom"/>
            <w:shd w:val="clear" w:color="auto" w:fill="CCFFCC"/>
          </w:tcPr>
          <w:p>
            <w:pPr>
              <w:spacing w:after="0"/>
              <w:rPr>
                <w:sz w:val="15"/>
                <w:szCs w:val="15"/>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307,926</w:t>
            </w:r>
          </w:p>
        </w:tc>
        <w:tc>
          <w:tcPr>
            <w:tcW w:w="4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1,198,073</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320"/>
              <w:spacing w:after="0"/>
              <w:rPr>
                <w:sz w:val="20"/>
                <w:szCs w:val="20"/>
                <w:color w:val="auto"/>
              </w:rPr>
            </w:pPr>
            <w:r>
              <w:rPr>
                <w:rFonts w:ascii="Arial" w:cs="Arial" w:eastAsia="Arial" w:hAnsi="Arial"/>
                <w:sz w:val="14"/>
                <w:szCs w:val="14"/>
                <w:color w:val="auto"/>
              </w:rPr>
              <w:t>Other investments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384,124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7,351</w:t>
            </w:r>
          </w:p>
        </w:tc>
        <w:tc>
          <w:tcPr>
            <w:tcW w:w="3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4,149</w:t>
            </w:r>
          </w:p>
        </w:tc>
        <w:tc>
          <w:tcPr>
            <w:tcW w:w="4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406,262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4"/>
                <w:szCs w:val="14"/>
                <w:color w:val="auto"/>
              </w:rPr>
              <w:t>Total Foreign Currency-denominated</w:t>
            </w:r>
          </w:p>
        </w:tc>
        <w:tc>
          <w:tcPr>
            <w:tcW w:w="560" w:type="dxa"/>
            <w:vAlign w:val="bottom"/>
            <w:gridSpan w:val="2"/>
            <w:shd w:val="clear" w:color="auto" w:fill="CCFFCC"/>
          </w:tcPr>
          <w:p>
            <w:pPr>
              <w:ind w:left="200"/>
              <w:spacing w:after="0"/>
              <w:rPr>
                <w:sz w:val="20"/>
                <w:szCs w:val="20"/>
                <w:color w:val="auto"/>
              </w:rPr>
            </w:pPr>
            <w:r>
              <w:rPr>
                <w:rFonts w:ascii="Arial" w:cs="Arial" w:eastAsia="Arial" w:hAnsi="Arial"/>
                <w:sz w:val="14"/>
                <w:szCs w:val="14"/>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740,000</w:t>
            </w:r>
          </w:p>
        </w:tc>
        <w:tc>
          <w:tcPr>
            <w:tcW w:w="400" w:type="dxa"/>
            <w:vAlign w:val="bottom"/>
            <w:tcBorders>
              <w:left w:val="single" w:sz="8" w:color="CCFFCC"/>
            </w:tcBorders>
            <w:gridSpan w:val="2"/>
            <w:shd w:val="clear" w:color="auto" w:fill="CCFFCC"/>
          </w:tcPr>
          <w:p>
            <w:pPr>
              <w:ind w:left="100"/>
              <w:spacing w:after="0"/>
              <w:rPr>
                <w:sz w:val="20"/>
                <w:szCs w:val="20"/>
                <w:color w:val="auto"/>
              </w:rPr>
            </w:pPr>
            <w:r>
              <w:rPr>
                <w:rFonts w:ascii="Arial" w:cs="Arial" w:eastAsia="Arial" w:hAnsi="Arial"/>
                <w:sz w:val="14"/>
                <w:szCs w:val="14"/>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418,138</w:t>
            </w:r>
          </w:p>
        </w:tc>
        <w:tc>
          <w:tcPr>
            <w:tcW w:w="44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170,351</w:t>
            </w:r>
          </w:p>
        </w:tc>
        <w:tc>
          <w:tcPr>
            <w:tcW w:w="420" w:type="dxa"/>
            <w:vAlign w:val="bottom"/>
            <w:tcBorders>
              <w:left w:val="single" w:sz="8" w:color="CCFFCC"/>
            </w:tcBorders>
            <w:gridSpan w:val="2"/>
            <w:shd w:val="clear" w:color="auto" w:fill="CCFFCC"/>
          </w:tcPr>
          <w:p>
            <w:pPr>
              <w:ind w:left="100"/>
              <w:spacing w:after="0"/>
              <w:rPr>
                <w:sz w:val="20"/>
                <w:szCs w:val="20"/>
                <w:color w:val="auto"/>
              </w:rPr>
            </w:pPr>
            <w:r>
              <w:rPr>
                <w:rFonts w:ascii="Arial" w:cs="Arial" w:eastAsia="Arial" w:hAnsi="Arial"/>
                <w:sz w:val="14"/>
                <w:szCs w:val="14"/>
                <w:color w:val="auto"/>
              </w:rPr>
              <w:t>US$</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276,080</w:t>
            </w:r>
          </w:p>
        </w:tc>
        <w:tc>
          <w:tcPr>
            <w:tcW w:w="34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480,682</w:t>
            </w:r>
          </w:p>
        </w:tc>
        <w:tc>
          <w:tcPr>
            <w:tcW w:w="40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2,085,251</w:t>
            </w: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Total securities holdings:</w:t>
            </w: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US$</w:t>
            </w:r>
          </w:p>
        </w:tc>
        <w:tc>
          <w:tcPr>
            <w:tcW w:w="860" w:type="dxa"/>
            <w:vAlign w:val="bottom"/>
          </w:tcPr>
          <w:p>
            <w:pPr>
              <w:jc w:val="right"/>
              <w:spacing w:after="0"/>
              <w:rPr>
                <w:sz w:val="20"/>
                <w:szCs w:val="20"/>
                <w:color w:val="auto"/>
              </w:rPr>
            </w:pPr>
            <w:r>
              <w:rPr>
                <w:rFonts w:ascii="Arial" w:cs="Arial" w:eastAsia="Arial" w:hAnsi="Arial"/>
                <w:sz w:val="14"/>
                <w:szCs w:val="14"/>
                <w:color w:val="auto"/>
              </w:rPr>
              <w:t>3,159,1913</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US$</w:t>
            </w:r>
          </w:p>
        </w:tc>
        <w:tc>
          <w:tcPr>
            <w:tcW w:w="960" w:type="dxa"/>
            <w:vAlign w:val="bottom"/>
          </w:tcPr>
          <w:p>
            <w:pPr>
              <w:jc w:val="right"/>
              <w:spacing w:after="0"/>
              <w:rPr>
                <w:sz w:val="20"/>
                <w:szCs w:val="20"/>
                <w:color w:val="auto"/>
              </w:rPr>
            </w:pPr>
            <w:r>
              <w:rPr>
                <w:rFonts w:ascii="Arial" w:cs="Arial" w:eastAsia="Arial" w:hAnsi="Arial"/>
                <w:sz w:val="14"/>
                <w:szCs w:val="14"/>
                <w:color w:val="auto"/>
              </w:rPr>
              <w:t>925,329</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US$</w:t>
            </w:r>
          </w:p>
        </w:tc>
        <w:tc>
          <w:tcPr>
            <w:tcW w:w="920" w:type="dxa"/>
            <w:vAlign w:val="bottom"/>
          </w:tcPr>
          <w:p>
            <w:pPr>
              <w:jc w:val="right"/>
              <w:spacing w:after="0"/>
              <w:rPr>
                <w:sz w:val="20"/>
                <w:szCs w:val="20"/>
                <w:color w:val="auto"/>
              </w:rPr>
            </w:pPr>
            <w:r>
              <w:rPr>
                <w:rFonts w:ascii="Arial" w:cs="Arial" w:eastAsia="Arial" w:hAnsi="Arial"/>
                <w:sz w:val="14"/>
                <w:szCs w:val="14"/>
                <w:color w:val="auto"/>
              </w:rPr>
              <w:t>175,532</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US$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341,769</w:t>
            </w:r>
          </w:p>
        </w:tc>
        <w:tc>
          <w:tcPr>
            <w:tcW w:w="340" w:type="dxa"/>
            <w:vAlign w:val="bottom"/>
          </w:tcPr>
          <w:p>
            <w:pPr>
              <w:spacing w:after="0"/>
              <w:rPr>
                <w:sz w:val="20"/>
                <w:szCs w:val="20"/>
                <w:color w:val="auto"/>
              </w:rPr>
            </w:pPr>
            <w:r>
              <w:rPr>
                <w:rFonts w:ascii="Arial" w:cs="Arial" w:eastAsia="Arial" w:hAnsi="Arial"/>
                <w:sz w:val="14"/>
                <w:szCs w:val="14"/>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635,559</w:t>
            </w:r>
          </w:p>
        </w:tc>
        <w:tc>
          <w:tcPr>
            <w:tcW w:w="400" w:type="dxa"/>
            <w:vAlign w:val="bottom"/>
          </w:tcPr>
          <w:p>
            <w:pPr>
              <w:spacing w:after="0"/>
              <w:rPr>
                <w:sz w:val="20"/>
                <w:szCs w:val="20"/>
                <w:color w:val="auto"/>
              </w:rPr>
            </w:pPr>
            <w:r>
              <w:rPr>
                <w:rFonts w:ascii="Arial" w:cs="Arial" w:eastAsia="Arial" w:hAnsi="Arial"/>
                <w:sz w:val="14"/>
                <w:szCs w:val="14"/>
                <w:color w:val="auto"/>
              </w:rPr>
              <w:t>US$</w:t>
            </w:r>
          </w:p>
        </w:tc>
        <w:tc>
          <w:tcPr>
            <w:tcW w:w="820" w:type="dxa"/>
            <w:vAlign w:val="bottom"/>
          </w:tcPr>
          <w:p>
            <w:pPr>
              <w:jc w:val="right"/>
              <w:spacing w:after="0"/>
              <w:rPr>
                <w:sz w:val="20"/>
                <w:szCs w:val="20"/>
                <w:color w:val="auto"/>
              </w:rPr>
            </w:pPr>
            <w:r>
              <w:rPr>
                <w:rFonts w:ascii="Arial" w:cs="Arial" w:eastAsia="Arial" w:hAnsi="Arial"/>
                <w:sz w:val="14"/>
                <w:szCs w:val="14"/>
                <w:color w:val="auto"/>
              </w:rPr>
              <w:t>5,238,102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1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860" w:type="dxa"/>
            <w:vAlign w:val="bottom"/>
            <w:tcBorders>
              <w:top w:val="single" w:sz="8" w:color="auto"/>
            </w:tcBorders>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0" w:type="dxa"/>
            <w:vAlign w:val="bottom"/>
            <w:tcBorders>
              <w:top w:val="single" w:sz="8" w:color="auto"/>
            </w:tcBorders>
            <w:shd w:val="clear" w:color="auto" w:fill="CCFFCC"/>
          </w:tcPr>
          <w:p>
            <w:pPr>
              <w:spacing w:after="0"/>
              <w:rPr>
                <w:sz w:val="20"/>
                <w:szCs w:val="20"/>
                <w:color w:val="auto"/>
              </w:rPr>
            </w:pPr>
          </w:p>
        </w:tc>
        <w:tc>
          <w:tcPr>
            <w:tcW w:w="8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8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Weighted average yield</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1061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  Equity securities in Credicorp’s account are categorized as maturing within one year.</w:t>
      </w:r>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Maturities of Credicorp’s investments securities classified by trading and available-for-sale, as of December 31, 2007 are described in “Item 11. Quantitative and Qualitative Disclosures about Market Risk.”</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realized and unrealized gains and losses related to the trading of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38" w:lineRule="exact"/>
        <w:rPr>
          <w:sz w:val="20"/>
          <w:szCs w:val="20"/>
          <w:color w:val="auto"/>
        </w:rPr>
      </w:pPr>
    </w:p>
    <w:p>
      <w:pPr>
        <w:ind w:left="1140" w:hanging="484"/>
        <w:spacing w:after="0"/>
        <w:tabs>
          <w:tab w:leader="none" w:pos="11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loans by type of loan, at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On December 31,</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3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r>
      <w:tr>
        <w:trPr>
          <w:trHeight w:val="237"/>
        </w:trPr>
        <w:tc>
          <w:tcPr>
            <w:tcW w:w="4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20" w:type="dxa"/>
            <w:vAlign w:val="bottom"/>
            <w:gridSpan w:val="8"/>
          </w:tcPr>
          <w:p>
            <w:pPr>
              <w:ind w:left="680"/>
              <w:spacing w:after="0"/>
              <w:rPr>
                <w:sz w:val="20"/>
                <w:szCs w:val="20"/>
                <w:color w:val="auto"/>
              </w:rPr>
            </w:pPr>
            <w:r>
              <w:rPr>
                <w:rFonts w:ascii="Arial" w:cs="Arial" w:eastAsia="Arial" w:hAnsi="Arial"/>
                <w:sz w:val="18"/>
                <w:szCs w:val="18"/>
                <w:i w:val="1"/>
                <w:iCs w:val="1"/>
                <w:color w:val="auto"/>
                <w:w w:val="98"/>
              </w:rPr>
              <w:t>(U.S. Dollars 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3,284,141</w:t>
            </w:r>
          </w:p>
        </w:tc>
        <w:tc>
          <w:tcPr>
            <w:tcW w:w="80" w:type="dxa"/>
            <w:vAlign w:val="bottom"/>
            <w:shd w:val="clear" w:color="auto" w:fill="CCFFCC"/>
          </w:tcPr>
          <w:p>
            <w:pPr>
              <w:spacing w:after="0"/>
              <w:rPr>
                <w:sz w:val="21"/>
                <w:szCs w:val="21"/>
                <w:color w:val="auto"/>
              </w:rPr>
            </w:pPr>
          </w:p>
        </w:tc>
        <w:tc>
          <w:tcPr>
            <w:tcW w:w="4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3,507,831</w:t>
            </w:r>
          </w:p>
        </w:tc>
        <w:tc>
          <w:tcPr>
            <w:tcW w:w="4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3,865,643</w:t>
            </w: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4,662,730</w:t>
            </w:r>
          </w:p>
        </w:tc>
        <w:tc>
          <w:tcPr>
            <w:tcW w:w="1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6,520,116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Leasing transactions</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452,635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424,902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564,575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675,804</w:t>
            </w: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1,118,301</w:t>
            </w:r>
          </w:p>
        </w:tc>
      </w:tr>
      <w:tr>
        <w:trPr>
          <w:trHeight w:val="243"/>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176,991</w:t>
            </w: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183,519</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213,232</w:t>
            </w: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256,534</w:t>
            </w: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325,047</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Factoring</w:t>
            </w: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56,446</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58,116</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87,757</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89,171</w:t>
            </w: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109,928</w:t>
            </w:r>
          </w:p>
        </w:tc>
      </w:tr>
      <w:tr>
        <w:trPr>
          <w:trHeight w:val="243"/>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40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45,827</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48,506</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49,283</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84,262</w:t>
            </w: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127,486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Refinanced loans</w:t>
            </w: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296,116</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243,892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175,211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126,006</w:t>
            </w: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88,451</w:t>
            </w:r>
          </w:p>
        </w:tc>
      </w:tr>
      <w:tr>
        <w:trPr>
          <w:trHeight w:val="243"/>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4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256,208</w:t>
            </w: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159,057</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95,769</w:t>
            </w:r>
          </w:p>
        </w:tc>
        <w:tc>
          <w:tcPr>
            <w:tcW w:w="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76,770</w:t>
            </w: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61,488</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Unearned interest</w:t>
            </w:r>
          </w:p>
        </w:tc>
        <w:tc>
          <w:tcPr>
            <w:tcW w:w="4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(86,868)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(66,805)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(78,495)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(93,916)</w:t>
            </w:r>
          </w:p>
        </w:tc>
        <w:tc>
          <w:tcPr>
            <w:tcW w:w="4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(166,972)</w:t>
            </w:r>
          </w:p>
        </w:tc>
      </w:tr>
      <w:tr>
        <w:trPr>
          <w:trHeight w:val="237"/>
        </w:trPr>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4,481,496</w:t>
            </w: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4,559,018</w:t>
            </w: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4,972,975</w:t>
            </w: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5,877,361</w:t>
            </w:r>
          </w:p>
        </w:tc>
        <w:tc>
          <w:tcPr>
            <w:tcW w:w="10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8,183,845</w:t>
            </w:r>
          </w:p>
        </w:tc>
        <w:tc>
          <w:tcPr>
            <w:tcW w:w="100" w:type="dxa"/>
            <w:vAlign w:val="bottom"/>
            <w:shd w:val="clear" w:color="auto" w:fill="CCFFCC"/>
          </w:tcPr>
          <w:p>
            <w:pPr>
              <w:spacing w:after="0"/>
              <w:rPr>
                <w:sz w:val="20"/>
                <w:szCs w:val="20"/>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Total past due loans amounts</w:t>
            </w:r>
          </w:p>
        </w:tc>
        <w:tc>
          <w:tcPr>
            <w:tcW w:w="4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(256,208)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(159,057)</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(95,769)</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(76,770)</w:t>
            </w:r>
          </w:p>
        </w:tc>
        <w:tc>
          <w:tcPr>
            <w:tcW w:w="4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(61,488)</w:t>
            </w:r>
          </w:p>
        </w:tc>
      </w:tr>
      <w:tr>
        <w:trPr>
          <w:trHeight w:val="277"/>
        </w:trPr>
        <w:tc>
          <w:tcPr>
            <w:tcW w:w="43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performing loans</w:t>
            </w: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4,225,288</w:t>
            </w:r>
          </w:p>
        </w:tc>
        <w:tc>
          <w:tcPr>
            <w:tcW w:w="80" w:type="dxa"/>
            <w:vAlign w:val="bottom"/>
            <w:tcBorders>
              <w:bottom w:val="single" w:sz="8" w:color="CCFFCC"/>
            </w:tcBorders>
            <w:shd w:val="clear" w:color="auto" w:fill="CCFFCC"/>
          </w:tcPr>
          <w:p>
            <w:pPr>
              <w:spacing w:after="0"/>
              <w:rPr>
                <w:sz w:val="24"/>
                <w:szCs w:val="24"/>
                <w:color w:val="auto"/>
              </w:rPr>
            </w:pPr>
          </w:p>
        </w:tc>
        <w:tc>
          <w:tcPr>
            <w:tcW w:w="20" w:type="dxa"/>
            <w:vAlign w:val="bottom"/>
            <w:tcBorders>
              <w:bottom w:val="single" w:sz="8" w:color="CCFFCC"/>
            </w:tcBorders>
            <w:shd w:val="clear" w:color="auto" w:fill="CCFFCC"/>
          </w:tcPr>
          <w:p>
            <w:pPr>
              <w:spacing w:after="0"/>
              <w:rPr>
                <w:sz w:val="24"/>
                <w:szCs w:val="24"/>
                <w:color w:val="auto"/>
              </w:rPr>
            </w:pP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4,399,961</w:t>
            </w:r>
          </w:p>
        </w:tc>
        <w:tc>
          <w:tcPr>
            <w:tcW w:w="80" w:type="dxa"/>
            <w:vAlign w:val="bottom"/>
            <w:tcBorders>
              <w:bottom w:val="single" w:sz="8" w:color="CCFFCC"/>
            </w:tcBorders>
            <w:shd w:val="clear" w:color="auto" w:fill="CCFFCC"/>
          </w:tcPr>
          <w:p>
            <w:pPr>
              <w:spacing w:after="0"/>
              <w:rPr>
                <w:sz w:val="24"/>
                <w:szCs w:val="24"/>
                <w:color w:val="auto"/>
              </w:rPr>
            </w:pPr>
          </w:p>
        </w:tc>
        <w:tc>
          <w:tcPr>
            <w:tcW w:w="20" w:type="dxa"/>
            <w:vAlign w:val="bottom"/>
            <w:tcBorders>
              <w:bottom w:val="single" w:sz="8" w:color="CCFFCC"/>
            </w:tcBorders>
            <w:shd w:val="clear" w:color="auto" w:fill="CCFFCC"/>
          </w:tcPr>
          <w:p>
            <w:pPr>
              <w:spacing w:after="0"/>
              <w:rPr>
                <w:sz w:val="24"/>
                <w:szCs w:val="24"/>
                <w:color w:val="auto"/>
              </w:rPr>
            </w:pP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4,877,206</w:t>
            </w:r>
          </w:p>
        </w:tc>
        <w:tc>
          <w:tcPr>
            <w:tcW w:w="80" w:type="dxa"/>
            <w:vAlign w:val="bottom"/>
            <w:tcBorders>
              <w:bottom w:val="single" w:sz="8" w:color="CCFFCC"/>
            </w:tcBorders>
            <w:shd w:val="clear" w:color="auto" w:fill="CCFFCC"/>
          </w:tcPr>
          <w:p>
            <w:pPr>
              <w:spacing w:after="0"/>
              <w:rPr>
                <w:sz w:val="24"/>
                <w:szCs w:val="24"/>
                <w:color w:val="auto"/>
              </w:rPr>
            </w:pPr>
          </w:p>
        </w:tc>
        <w:tc>
          <w:tcPr>
            <w:tcW w:w="20" w:type="dxa"/>
            <w:vAlign w:val="bottom"/>
            <w:tcBorders>
              <w:bottom w:val="single" w:sz="8" w:color="CCFFCC"/>
            </w:tcBorders>
            <w:shd w:val="clear" w:color="auto" w:fill="CCFFCC"/>
          </w:tcPr>
          <w:p>
            <w:pPr>
              <w:spacing w:after="0"/>
              <w:rPr>
                <w:sz w:val="24"/>
                <w:szCs w:val="24"/>
                <w:color w:val="auto"/>
              </w:rPr>
            </w:pP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5,800,591</w:t>
            </w:r>
          </w:p>
        </w:tc>
        <w:tc>
          <w:tcPr>
            <w:tcW w:w="100" w:type="dxa"/>
            <w:vAlign w:val="bottom"/>
            <w:tcBorders>
              <w:bottom w:val="single" w:sz="8" w:color="CCFFCC"/>
            </w:tcBorders>
            <w:shd w:val="clear" w:color="auto" w:fill="CCFFCC"/>
          </w:tcPr>
          <w:p>
            <w:pPr>
              <w:spacing w:after="0"/>
              <w:rPr>
                <w:sz w:val="24"/>
                <w:szCs w:val="24"/>
                <w:color w:val="auto"/>
              </w:rPr>
            </w:pPr>
          </w:p>
        </w:tc>
        <w:tc>
          <w:tcPr>
            <w:tcW w:w="4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8,122,357</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78" w:name="page79"/>
    <w:bookmarkEnd w:id="78"/>
    <w:p>
      <w:pPr>
        <w:jc w:val="both"/>
        <w:ind w:firstLine="648"/>
        <w:spacing w:after="0" w:line="259" w:lineRule="auto"/>
        <w:rPr>
          <w:sz w:val="20"/>
          <w:szCs w:val="20"/>
          <w:color w:val="auto"/>
        </w:rPr>
      </w:pPr>
      <w:r>
        <w:rPr>
          <w:rFonts w:ascii="Arial" w:cs="Arial" w:eastAsia="Arial" w:hAnsi="Arial"/>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area set forth under “Item 4. Information on the Company—(B) Business Overview—(3) Commercial Banking.” Pursuant to the guidelines of the SBS, loans are categorized as follows: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loans in various forms, including trade finance loans to importers and exporters on specialized terms adapted to the needs of the international trade transaction.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Involve the acquisition by Credicorp of an asset and the leasing of that asset to Credicorp’s client.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Credicorp makes a loan supported by a draft signed by one party and discounted by another party, with recourse to both parties.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Factoring</w:t>
      </w:r>
      <w:r>
        <w:rPr>
          <w:rFonts w:ascii="Arial" w:cs="Arial" w:eastAsia="Arial" w:hAnsi="Arial"/>
          <w:sz w:val="18"/>
          <w:szCs w:val="18"/>
          <w:color w:val="auto"/>
        </w:rPr>
        <w:t>: Involves the sale of title of a company’s accounts receivables to a bank (or financial company). The receivables are sold without 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bank cannot turn to the seller in the event that the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short-term advances.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Includes loans that were refinanced because the client was unable to pay at maturity. A loan is categorized as a refinanced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a debtor is experiencing payment problems, unless the debtor is current on all interest payments and pays down at least 20% of the principal amount of the original loan. Credicorp distinguished a sub-group entitled </w:t>
      </w:r>
      <w:r>
        <w:rPr>
          <w:rFonts w:ascii="Arial" w:cs="Arial" w:eastAsia="Arial" w:hAnsi="Arial"/>
          <w:sz w:val="18"/>
          <w:szCs w:val="18"/>
          <w:i w:val="1"/>
          <w:iCs w:val="1"/>
          <w:color w:val="auto"/>
        </w:rPr>
        <w:t>Restructured Loans</w:t>
      </w:r>
      <w:r>
        <w:rPr>
          <w:rFonts w:ascii="Arial" w:cs="Arial" w:eastAsia="Arial" w:hAnsi="Arial"/>
          <w:sz w:val="18"/>
          <w:szCs w:val="18"/>
          <w:color w:val="auto"/>
        </w:rPr>
        <w:t>, defined as those loans extended under the bankruptcy protection procedures established in the Equity Restructuring Law.</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Past due loans: </w:t>
      </w:r>
      <w:r>
        <w:rPr>
          <w:rFonts w:ascii="Arial" w:cs="Arial" w:eastAsia="Arial" w:hAnsi="Arial"/>
          <w:sz w:val="18"/>
          <w:szCs w:val="18"/>
          <w:color w:val="auto"/>
        </w:rPr>
        <w:t>Includes overdue loans. See “— Past Due Loan Portfolio” for further detail.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Credicorp’s total loan portfolio composition, net of unearned interest, based on the borrower’s principal economic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0"/>
              </w:rPr>
              <w:t>At December 31,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10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b w:val="1"/>
                <w:bCs w:val="1"/>
                <w:color w:val="auto"/>
                <w:w w:val="89"/>
              </w:rPr>
              <w:t>2004</w:t>
            </w:r>
          </w:p>
        </w:tc>
        <w:tc>
          <w:tcPr>
            <w:tcW w:w="10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10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10"/>
          </w:tcPr>
          <w:p>
            <w:pPr>
              <w:jc w:val="center"/>
              <w:ind w:left="6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Economic Activity</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Amount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 Total</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Amount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 Total</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Amount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Manufacturing</w:t>
            </w:r>
          </w:p>
        </w:tc>
        <w:tc>
          <w:tcPr>
            <w:tcW w:w="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1,461,350</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32.61%</w:t>
            </w:r>
          </w:p>
        </w:tc>
        <w:tc>
          <w:tcPr>
            <w:tcW w:w="4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85"/>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1,376,874</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30.20%</w:t>
            </w: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1"/>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1,430,559</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Consumer Loans (1)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1,033,881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1,187,378</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1,364,910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Commerce</w:t>
            </w:r>
          </w:p>
        </w:tc>
        <w:tc>
          <w:tcPr>
            <w:tcW w:w="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560,052</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523,574</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11.48</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625,908</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5"/>
              </w:rPr>
              <w:t>Realty Businesses and Leasing Services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233,506</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224,745</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216,095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Mining</w:t>
            </w:r>
          </w:p>
        </w:tc>
        <w:tc>
          <w:tcPr>
            <w:tcW w:w="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233,355</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194,022</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223,156</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Communication, Storage and</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189,612</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181,018</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210,002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211,610</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248,571</w:t>
            </w:r>
          </w:p>
        </w:tc>
        <w:tc>
          <w:tcPr>
            <w:tcW w:w="12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192,096</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0"/>
        </w:trPr>
        <w:tc>
          <w:tcPr>
            <w:tcW w:w="316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142,697</w:t>
            </w:r>
          </w:p>
        </w:tc>
        <w:tc>
          <w:tcPr>
            <w:tcW w:w="1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160,167</w:t>
            </w:r>
          </w:p>
        </w:tc>
        <w:tc>
          <w:tcPr>
            <w:tcW w:w="1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153,410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Fishing</w:t>
            </w:r>
          </w:p>
        </w:tc>
        <w:tc>
          <w:tcPr>
            <w:tcW w:w="18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90,786</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68,604</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117,104</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31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96,371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90,042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105,484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Education, Health and Other</w:t>
            </w:r>
          </w:p>
        </w:tc>
        <w:tc>
          <w:tcPr>
            <w:tcW w:w="1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99,702</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62,341</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69,468</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316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70,676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72,879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68,217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Others (2)</w:t>
            </w:r>
          </w:p>
        </w:tc>
        <w:tc>
          <w:tcPr>
            <w:tcW w:w="18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144,766</w:t>
            </w:r>
          </w:p>
        </w:tc>
        <w:tc>
          <w:tcPr>
            <w:tcW w:w="10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235,608</w:t>
            </w:r>
          </w:p>
        </w:tc>
        <w:tc>
          <w:tcPr>
            <w:tcW w:w="120" w:type="dxa"/>
            <w:vAlign w:val="bottom"/>
            <w:shd w:val="clear" w:color="auto" w:fill="CCFFCC"/>
          </w:tcPr>
          <w:p>
            <w:pPr>
              <w:spacing w:after="0"/>
              <w:rPr>
                <w:sz w:val="23"/>
                <w:szCs w:val="23"/>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275,061</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Sub total</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4,568,364</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101.94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4,625,823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5,051,470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20"/>
        </w:trPr>
        <w:tc>
          <w:tcPr>
            <w:tcW w:w="3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8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(86,868)</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(66,805)</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(78,495)</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4,481,496</w:t>
            </w: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40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4,559,018</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4,972,975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5"/>
          </w:tcPr>
          <w:p>
            <w:pPr>
              <w:jc w:val="right"/>
              <w:ind w:right="1220"/>
              <w:spacing w:after="0"/>
              <w:rPr>
                <w:sz w:val="20"/>
                <w:szCs w:val="20"/>
                <w:color w:val="auto"/>
              </w:rPr>
            </w:pPr>
            <w:r>
              <w:rPr>
                <w:rFonts w:ascii="Arial" w:cs="Arial" w:eastAsia="Arial" w:hAnsi="Arial"/>
                <w:sz w:val="18"/>
                <w:szCs w:val="18"/>
                <w:b w:val="1"/>
                <w:bCs w:val="1"/>
                <w:color w:val="auto"/>
              </w:rPr>
              <w:t>At December 31,</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13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13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60" w:type="dxa"/>
            <w:vAlign w:val="bottom"/>
            <w:gridSpan w:val="7"/>
          </w:tcPr>
          <w:p>
            <w:pPr>
              <w:jc w:val="right"/>
              <w:ind w:right="140"/>
              <w:spacing w:after="0"/>
              <w:rPr>
                <w:sz w:val="20"/>
                <w:szCs w:val="20"/>
                <w:color w:val="auto"/>
              </w:rPr>
            </w:pPr>
            <w:r>
              <w:rPr>
                <w:rFonts w:ascii="Arial" w:cs="Arial" w:eastAsia="Arial" w:hAnsi="Arial"/>
                <w:sz w:val="18"/>
                <w:szCs w:val="18"/>
                <w:i w:val="1"/>
                <w:iCs w:val="1"/>
                <w:color w:val="auto"/>
              </w:rPr>
              <w:t>(U.S. Dollars in thousands, except percentages)</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Economy Activity</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1"/>
                <w:szCs w:val="21"/>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Total</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1"/>
                <w:szCs w:val="21"/>
                <w:color w:val="auto"/>
              </w:rPr>
            </w:pPr>
          </w:p>
        </w:tc>
      </w:tr>
      <w:tr>
        <w:trPr>
          <w:trHeight w:val="237"/>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Manufacturing</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1,624,765</w:t>
            </w:r>
          </w:p>
        </w:tc>
        <w:tc>
          <w:tcPr>
            <w:tcW w:w="220" w:type="dxa"/>
            <w:vAlign w:val="bottom"/>
            <w:shd w:val="clear" w:color="auto" w:fill="CCFFCC"/>
          </w:tcPr>
          <w:p>
            <w:pPr>
              <w:spacing w:after="0"/>
              <w:rPr>
                <w:sz w:val="20"/>
                <w:szCs w:val="20"/>
                <w:color w:val="auto"/>
              </w:rPr>
            </w:pPr>
          </w:p>
        </w:tc>
        <w:tc>
          <w:tcPr>
            <w:tcW w:w="1920" w:type="dxa"/>
            <w:vAlign w:val="bottom"/>
            <w:gridSpan w:val="3"/>
            <w:shd w:val="clear" w:color="auto" w:fill="CCFFCC"/>
          </w:tcPr>
          <w:p>
            <w:pPr>
              <w:ind w:left="920"/>
              <w:spacing w:after="0"/>
              <w:rPr>
                <w:sz w:val="20"/>
                <w:szCs w:val="20"/>
                <w:color w:val="auto"/>
              </w:rPr>
            </w:pPr>
            <w:r>
              <w:rPr>
                <w:rFonts w:ascii="Arial" w:cs="Arial" w:eastAsia="Arial" w:hAnsi="Arial"/>
                <w:sz w:val="18"/>
                <w:szCs w:val="18"/>
                <w:color w:val="auto"/>
                <w:w w:val="96"/>
              </w:rPr>
              <w:t>27.65% US$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2,204,481</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26.94%</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Consumer Loans (1)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1,729,682</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2,480,916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30.31</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Commerce</w:t>
            </w:r>
          </w:p>
        </w:tc>
        <w:tc>
          <w:tcPr>
            <w:tcW w:w="2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686,291</w:t>
            </w:r>
          </w:p>
        </w:tc>
        <w:tc>
          <w:tcPr>
            <w:tcW w:w="22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11.68</w:t>
            </w:r>
          </w:p>
        </w:tc>
        <w:tc>
          <w:tcPr>
            <w:tcW w:w="3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884,253</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10.80</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Realty Businesses and Leasing Services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236,445</w:t>
            </w:r>
          </w:p>
        </w:tc>
        <w:tc>
          <w:tcPr>
            <w:tcW w:w="2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387,180</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Mining</w:t>
            </w:r>
          </w:p>
        </w:tc>
        <w:tc>
          <w:tcPr>
            <w:tcW w:w="2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303,238</w:t>
            </w:r>
          </w:p>
        </w:tc>
        <w:tc>
          <w:tcPr>
            <w:tcW w:w="22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4.36</w:t>
            </w:r>
          </w:p>
        </w:tc>
        <w:tc>
          <w:tcPr>
            <w:tcW w:w="3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463,577</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5.66</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Communication, Storage and Transportation</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255,730</w:t>
            </w:r>
          </w:p>
        </w:tc>
        <w:tc>
          <w:tcPr>
            <w:tcW w:w="2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394,986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2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256,541</w:t>
            </w:r>
          </w:p>
        </w:tc>
        <w:tc>
          <w:tcPr>
            <w:tcW w:w="22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341,718</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4.18</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Agriculture</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150,020</w:t>
            </w:r>
          </w:p>
        </w:tc>
        <w:tc>
          <w:tcPr>
            <w:tcW w:w="2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179,509</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Fishing</w:t>
            </w:r>
          </w:p>
        </w:tc>
        <w:tc>
          <w:tcPr>
            <w:tcW w:w="2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152,538</w:t>
            </w:r>
          </w:p>
        </w:tc>
        <w:tc>
          <w:tcPr>
            <w:tcW w:w="22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134,235</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163,946</w:t>
            </w:r>
          </w:p>
        </w:tc>
        <w:tc>
          <w:tcPr>
            <w:tcW w:w="2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219,850</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Education, Health and Other Services</w:t>
            </w:r>
          </w:p>
        </w:tc>
        <w:tc>
          <w:tcPr>
            <w:tcW w:w="2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75,376</w:t>
            </w: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106,423</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74,482</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201,298</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Others (2)</w:t>
            </w:r>
          </w:p>
        </w:tc>
        <w:tc>
          <w:tcPr>
            <w:tcW w:w="2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262,223</w:t>
            </w:r>
          </w:p>
        </w:tc>
        <w:tc>
          <w:tcPr>
            <w:tcW w:w="22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352,391</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4.31</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Sub total</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5,971,277</w:t>
            </w:r>
          </w:p>
        </w:tc>
        <w:tc>
          <w:tcPr>
            <w:tcW w:w="2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101.60</w:t>
            </w: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8,350,817</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102.04</w:t>
            </w: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22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(93,916)</w:t>
            </w: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(166,972)</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w:t>
            </w:r>
          </w:p>
        </w:tc>
      </w:tr>
      <w:tr>
        <w:trPr>
          <w:trHeight w:val="20"/>
        </w:trPr>
        <w:tc>
          <w:tcPr>
            <w:tcW w:w="4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46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5,877,361</w:t>
            </w:r>
          </w:p>
        </w:tc>
        <w:tc>
          <w:tcPr>
            <w:tcW w:w="22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8,183,845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2007, 70.8% of the loan portfolio was concentrated in Lima and 93.10% was concentrated in Peru. An additional 5.32% of the loan portfolio was concentrated in Bolivia.</w:t>
      </w:r>
    </w:p>
    <w:p>
      <w:pPr>
        <w:sectPr>
          <w:pgSz w:w="11900" w:h="16838" w:orient="portrait"/>
          <w:cols w:equalWidth="0" w:num="1">
            <w:col w:w="11420"/>
          </w:cols>
          <w:pgMar w:left="240" w:top="368" w:right="239" w:bottom="1108"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108" w:gutter="0" w:footer="0" w:header="0"/>
          <w:type w:val="continuous"/>
        </w:sectPr>
      </w:pPr>
    </w:p>
    <w:bookmarkStart w:id="80" w:name="page81"/>
    <w:bookmarkEnd w:id="80"/>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Credicorp’s loans and other contingent credits to the 20 customers (considered as economic groups) to which it had the largest exposure as of December 31, 2007 were US$1,932.0 million, of which US$1,700.6 million were outstanding loans representing 23.2% of the total loan portfolio. See “—</w:t>
      </w:r>
    </w:p>
    <w:p>
      <w:pPr>
        <w:jc w:val="both"/>
        <w:ind w:firstLine="8"/>
        <w:spacing w:after="0" w:line="253" w:lineRule="auto"/>
        <w:tabs>
          <w:tab w:leader="none" w:pos="3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Supervision and Regulation—(ii) BCP—Lending Activities” for the definition of economic group. Total loans and other contingent credits outstanding to these customers ranged from US$158.3 million to US$55.4 million, including fifteen customers with over US$75.0 million. Total loans and other contingent credits outstanding to Credicorp’s 20 largest customers were ranked in the following risk categories as of December 31, 2007: Class A (normal)—92.8%; Class B (potential problems)—7.2%; Class C (substandard)—0%; Class D (doubtful)—0%; and Class E (loss)—0%. See “—Classification of the Loan Portfolio.”</w:t>
      </w:r>
    </w:p>
    <w:p>
      <w:pPr>
        <w:spacing w:after="0" w:line="2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loans to Directors and employees and relatives have a global limit of 7% of capital stock and reserves and an individual limit of 5% of such global limit.</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S/.3,157.1 million (US$1,053.9 million) on December 31, 2007 BCP’s legal lending limits vary from S/.315.7 million (US$105.4 million) to S/.1,578.6 million (US$527.0 million). Credicorp’s consolidated lending limits, based on its regulatory capital on a consolidated basis of US$1,420.2 million on December 31, 2007, would range from US$71.0 million to US$710.1 million. As of December 31, 2007, BCP was in compliance with all Law 26702 lending limits.</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Credicorp complied with the applicable legal lending limits in each of the jurisdictions in which it operates. Such limit is calculated quarterly based on Credicorp’s consolidated equity plus reserves for impaired loans not specifically identified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1" w:name="page82"/>
    <w:bookmarkEnd w:id="81"/>
    <w:p>
      <w:pPr>
        <w:jc w:val="both"/>
        <w:ind w:firstLine="648"/>
        <w:spacing w:after="0" w:line="286" w:lineRule="auto"/>
        <w:rPr>
          <w:sz w:val="20"/>
          <w:szCs w:val="20"/>
          <w:color w:val="auto"/>
        </w:rPr>
      </w:pPr>
      <w:r>
        <w:rPr>
          <w:rFonts w:ascii="Arial" w:cs="Arial" w:eastAsia="Arial" w:hAnsi="Arial"/>
          <w:sz w:val="17"/>
          <w:szCs w:val="17"/>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Credicorp’s Nuevo Sol and foreign currency-denominated loan portfolio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At December 31,</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33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10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89"/>
              </w:rPr>
              <w:t>2004</w:t>
            </w:r>
          </w:p>
        </w:tc>
        <w:tc>
          <w:tcPr>
            <w:tcW w:w="5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10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3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gridSpan w:val="9"/>
          </w:tcPr>
          <w:p>
            <w:pPr>
              <w:jc w:val="center"/>
              <w:ind w:left="53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4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300" w:type="dxa"/>
            <w:vAlign w:val="bottom"/>
            <w:tcBorders>
              <w:right w:val="single" w:sz="8" w:color="CCFFCC"/>
            </w:tcBorders>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300" w:type="dxa"/>
            <w:vAlign w:val="bottom"/>
            <w:tcBorders>
              <w:right w:val="single" w:sz="8" w:color="CCFFCC"/>
            </w:tcBorders>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Nuevo Sol-denominated</w:t>
            </w: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840" w:type="dxa"/>
            <w:vAlign w:val="bottom"/>
          </w:tcPr>
          <w:p>
            <w:pPr>
              <w:jc w:val="right"/>
              <w:spacing w:after="0"/>
              <w:rPr>
                <w:sz w:val="20"/>
                <w:szCs w:val="20"/>
                <w:color w:val="auto"/>
              </w:rPr>
            </w:pPr>
            <w:r>
              <w:rPr>
                <w:rFonts w:ascii="Arial" w:cs="Arial" w:eastAsia="Arial" w:hAnsi="Arial"/>
                <w:sz w:val="18"/>
                <w:szCs w:val="18"/>
                <w:color w:val="auto"/>
              </w:rPr>
              <w:t>723,955</w:t>
            </w:r>
          </w:p>
        </w:tc>
        <w:tc>
          <w:tcPr>
            <w:tcW w:w="1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16.15%</w:t>
            </w: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662,058</w:t>
            </w:r>
          </w:p>
        </w:tc>
        <w:tc>
          <w:tcPr>
            <w:tcW w:w="5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14.52%</w:t>
            </w: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1,032,481</w:t>
            </w:r>
          </w:p>
        </w:tc>
        <w:tc>
          <w:tcPr>
            <w:tcW w:w="1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20.76%</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46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3,757,541</w:t>
            </w:r>
          </w:p>
        </w:tc>
        <w:tc>
          <w:tcPr>
            <w:tcW w:w="100" w:type="dxa"/>
            <w:vAlign w:val="bottom"/>
            <w:shd w:val="clear" w:color="auto" w:fill="CCFFCC"/>
          </w:tcPr>
          <w:p>
            <w:pPr>
              <w:spacing w:after="0"/>
              <w:rPr>
                <w:sz w:val="21"/>
                <w:szCs w:val="21"/>
                <w:color w:val="auto"/>
              </w:rPr>
            </w:pPr>
          </w:p>
        </w:tc>
        <w:tc>
          <w:tcPr>
            <w:tcW w:w="13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83.85%</w:t>
            </w:r>
          </w:p>
        </w:tc>
        <w:tc>
          <w:tcPr>
            <w:tcW w:w="46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3,896,960</w:t>
            </w:r>
          </w:p>
        </w:tc>
        <w:tc>
          <w:tcPr>
            <w:tcW w:w="520" w:type="dxa"/>
            <w:vAlign w:val="bottom"/>
            <w:shd w:val="clear" w:color="auto" w:fill="CCFFCC"/>
          </w:tcPr>
          <w:p>
            <w:pPr>
              <w:spacing w:after="0"/>
              <w:rPr>
                <w:sz w:val="21"/>
                <w:szCs w:val="21"/>
                <w:color w:val="auto"/>
              </w:rPr>
            </w:pPr>
          </w:p>
        </w:tc>
        <w:tc>
          <w:tcPr>
            <w:tcW w:w="82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85.48%</w:t>
            </w:r>
          </w:p>
        </w:tc>
        <w:tc>
          <w:tcPr>
            <w:tcW w:w="4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3,940,494</w:t>
            </w:r>
          </w:p>
        </w:tc>
        <w:tc>
          <w:tcPr>
            <w:tcW w:w="1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79.24%</w:t>
            </w:r>
          </w:p>
        </w:tc>
      </w:tr>
      <w:tr>
        <w:trPr>
          <w:trHeight w:val="20"/>
        </w:trPr>
        <w:tc>
          <w:tcPr>
            <w:tcW w:w="33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right w:val="single" w:sz="8" w:color="CCFFCC"/>
            </w:tcBorders>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CCFFCC"/>
            </w:tcBorders>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3300" w:type="dxa"/>
            <w:vAlign w:val="bottom"/>
          </w:tcPr>
          <w:p>
            <w:pPr>
              <w:ind w:left="180"/>
              <w:spacing w:after="0"/>
              <w:rPr>
                <w:sz w:val="20"/>
                <w:szCs w:val="20"/>
                <w:color w:val="auto"/>
              </w:rPr>
            </w:pPr>
            <w:r>
              <w:rPr>
                <w:rFonts w:ascii="Arial" w:cs="Arial" w:eastAsia="Arial" w:hAnsi="Arial"/>
                <w:sz w:val="18"/>
                <w:szCs w:val="18"/>
                <w:color w:val="auto"/>
              </w:rPr>
              <w:t>Total loans (1)</w:t>
            </w:r>
          </w:p>
        </w:tc>
        <w:tc>
          <w:tcPr>
            <w:tcW w:w="46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4,481,496</w:t>
            </w: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4,559,018</w:t>
            </w:r>
          </w:p>
        </w:tc>
        <w:tc>
          <w:tcPr>
            <w:tcW w:w="5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100.00%</w:t>
            </w:r>
          </w:p>
        </w:tc>
        <w:tc>
          <w:tcPr>
            <w:tcW w:w="46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4,972,975</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0"/>
              </w:rPr>
              <w:t>At December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37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12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13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0" w:type="dxa"/>
            <w:vAlign w:val="bottom"/>
            <w:gridSpan w:val="7"/>
          </w:tcPr>
          <w:p>
            <w:pPr>
              <w:jc w:val="center"/>
              <w:ind w:left="67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5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Nuevo Sol-denominated</w:t>
            </w:r>
          </w:p>
        </w:tc>
        <w:tc>
          <w:tcPr>
            <w:tcW w:w="560" w:type="dxa"/>
            <w:vAlign w:val="bottom"/>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1503,306</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25.58%</w:t>
            </w:r>
          </w:p>
        </w:tc>
        <w:tc>
          <w:tcPr>
            <w:tcW w:w="680" w:type="dxa"/>
            <w:vAlign w:val="bottom"/>
          </w:tcPr>
          <w:p>
            <w:pPr>
              <w:spacing w:after="0"/>
              <w:rPr>
                <w:sz w:val="20"/>
                <w:szCs w:val="20"/>
                <w:color w:val="auto"/>
              </w:rPr>
            </w:pPr>
            <w:r>
              <w:rPr>
                <w:rFonts w:ascii="Arial" w:cs="Arial" w:eastAsia="Arial" w:hAnsi="Arial"/>
                <w:sz w:val="18"/>
                <w:szCs w:val="18"/>
                <w:color w:val="auto"/>
              </w:rPr>
              <w:t>US$</w:t>
            </w:r>
          </w:p>
        </w:tc>
        <w:tc>
          <w:tcPr>
            <w:tcW w:w="840" w:type="dxa"/>
            <w:vAlign w:val="bottom"/>
          </w:tcPr>
          <w:p>
            <w:pPr>
              <w:jc w:val="right"/>
              <w:spacing w:after="0"/>
              <w:rPr>
                <w:sz w:val="20"/>
                <w:szCs w:val="20"/>
                <w:color w:val="auto"/>
              </w:rPr>
            </w:pPr>
            <w:r>
              <w:rPr>
                <w:rFonts w:ascii="Arial" w:cs="Arial" w:eastAsia="Arial" w:hAnsi="Arial"/>
                <w:sz w:val="18"/>
                <w:szCs w:val="18"/>
                <w:color w:val="auto"/>
              </w:rPr>
              <w:t>2,461,787</w:t>
            </w:r>
          </w:p>
        </w:tc>
        <w:tc>
          <w:tcPr>
            <w:tcW w:w="22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30.08%</w:t>
            </w:r>
          </w:p>
        </w:tc>
      </w:tr>
      <w:tr>
        <w:trPr>
          <w:trHeight w:val="243"/>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56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4,374,055</w:t>
            </w:r>
          </w:p>
        </w:tc>
        <w:tc>
          <w:tcPr>
            <w:tcW w:w="2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74.42%</w:t>
            </w:r>
          </w:p>
        </w:tc>
        <w:tc>
          <w:tcPr>
            <w:tcW w:w="68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5,722,058</w:t>
            </w:r>
          </w:p>
        </w:tc>
        <w:tc>
          <w:tcPr>
            <w:tcW w:w="2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69.92%</w:t>
            </w:r>
          </w:p>
        </w:tc>
      </w:tr>
      <w:tr>
        <w:trPr>
          <w:trHeight w:val="20"/>
        </w:trPr>
        <w:tc>
          <w:tcPr>
            <w:tcW w:w="37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3700" w:type="dxa"/>
            <w:vAlign w:val="bottom"/>
          </w:tcPr>
          <w:p>
            <w:pPr>
              <w:ind w:left="180"/>
              <w:spacing w:after="0"/>
              <w:rPr>
                <w:sz w:val="20"/>
                <w:szCs w:val="20"/>
                <w:color w:val="auto"/>
              </w:rPr>
            </w:pPr>
            <w:r>
              <w:rPr>
                <w:rFonts w:ascii="Arial" w:cs="Arial" w:eastAsia="Arial" w:hAnsi="Arial"/>
                <w:sz w:val="18"/>
                <w:szCs w:val="18"/>
                <w:color w:val="auto"/>
              </w:rPr>
              <w:t>Total loans (1)</w:t>
            </w:r>
          </w:p>
        </w:tc>
        <w:tc>
          <w:tcPr>
            <w:tcW w:w="56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5,877,361</w:t>
            </w:r>
          </w:p>
        </w:tc>
        <w:tc>
          <w:tcPr>
            <w:tcW w:w="2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680" w:type="dxa"/>
            <w:vAlign w:val="bottom"/>
          </w:tcPr>
          <w:p>
            <w:pPr>
              <w:spacing w:after="0"/>
              <w:rPr>
                <w:sz w:val="20"/>
                <w:szCs w:val="20"/>
                <w:color w:val="auto"/>
              </w:rPr>
            </w:pPr>
            <w:r>
              <w:rPr>
                <w:rFonts w:ascii="Arial" w:cs="Arial" w:eastAsia="Arial" w:hAnsi="Arial"/>
                <w:sz w:val="18"/>
                <w:szCs w:val="18"/>
                <w:color w:val="auto"/>
              </w:rPr>
              <w:t>US$</w:t>
            </w:r>
          </w:p>
        </w:tc>
        <w:tc>
          <w:tcPr>
            <w:tcW w:w="840" w:type="dxa"/>
            <w:vAlign w:val="bottom"/>
          </w:tcPr>
          <w:p>
            <w:pPr>
              <w:jc w:val="right"/>
              <w:spacing w:after="0"/>
              <w:rPr>
                <w:sz w:val="20"/>
                <w:szCs w:val="20"/>
                <w:color w:val="auto"/>
              </w:rPr>
            </w:pPr>
            <w:r>
              <w:rPr>
                <w:rFonts w:ascii="Arial" w:cs="Arial" w:eastAsia="Arial" w:hAnsi="Arial"/>
                <w:sz w:val="18"/>
                <w:szCs w:val="18"/>
                <w:color w:val="auto"/>
              </w:rPr>
              <w:t>8,183,845</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an analysis of Credicorp’s performing loan portfolio on December 31, 2007, by type and by time remaining to maturity. Loans are stated before deduction of the reserves for loan losses.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After 3</w:t>
            </w:r>
          </w:p>
        </w:tc>
        <w:tc>
          <w:tcPr>
            <w:tcW w:w="3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Maturing</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Amount at</w:t>
            </w:r>
          </w:p>
        </w:tc>
        <w:tc>
          <w:tcPr>
            <w:tcW w:w="3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Within</w:t>
            </w:r>
          </w:p>
        </w:tc>
        <w:tc>
          <w:tcPr>
            <w:tcW w:w="3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months</w:t>
            </w:r>
          </w:p>
        </w:tc>
        <w:tc>
          <w:tcPr>
            <w:tcW w:w="1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After 1 year</w:t>
            </w: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After 3 years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36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but within</w:t>
            </w:r>
          </w:p>
        </w:tc>
        <w:tc>
          <w:tcPr>
            <w:tcW w:w="3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but within</w:t>
            </w:r>
          </w:p>
        </w:tc>
        <w:tc>
          <w:tcPr>
            <w:tcW w:w="3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but within</w:t>
            </w:r>
          </w:p>
        </w:tc>
        <w:tc>
          <w:tcPr>
            <w:tcW w:w="3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After 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months</w:t>
            </w:r>
          </w:p>
        </w:tc>
        <w:tc>
          <w:tcPr>
            <w:tcW w:w="16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6"/>
              </w:rPr>
              <w:t>12 months</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3 years</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5 years</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60" w:type="dxa"/>
            <w:vAlign w:val="bottom"/>
            <w:gridSpan w:val="9"/>
          </w:tcPr>
          <w:p>
            <w:pPr>
              <w:ind w:left="720"/>
              <w:spacing w:after="0"/>
              <w:rPr>
                <w:sz w:val="20"/>
                <w:szCs w:val="20"/>
                <w:color w:val="auto"/>
              </w:rPr>
            </w:pPr>
            <w:r>
              <w:rPr>
                <w:rFonts w:ascii="Arial" w:cs="Arial" w:eastAsia="Arial" w:hAnsi="Arial"/>
                <w:sz w:val="18"/>
                <w:szCs w:val="18"/>
                <w:i w:val="1"/>
                <w:iCs w:val="1"/>
                <w:color w:val="auto"/>
                <w:w w:val="92"/>
              </w:rPr>
              <w:t>(U.S. Dollars in thousands, except percentages)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6,520,116</w:t>
            </w:r>
          </w:p>
        </w:tc>
        <w:tc>
          <w:tcPr>
            <w:tcW w:w="1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2,581,571</w:t>
            </w:r>
          </w:p>
        </w:tc>
        <w:tc>
          <w:tcPr>
            <w:tcW w:w="1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1,373,870</w:t>
            </w:r>
          </w:p>
        </w:tc>
        <w:tc>
          <w:tcPr>
            <w:tcW w:w="16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990,849</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457,089</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1,116,736</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Leasing transactions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1,118,301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268,338</w:t>
            </w: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159,508</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432,984</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197,334</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3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325,047</w:t>
            </w:r>
          </w:p>
        </w:tc>
        <w:tc>
          <w:tcPr>
            <w:tcW w:w="1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310,585</w:t>
            </w:r>
          </w:p>
        </w:tc>
        <w:tc>
          <w:tcPr>
            <w:tcW w:w="3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14,386</w:t>
            </w:r>
          </w:p>
        </w:tc>
        <w:tc>
          <w:tcPr>
            <w:tcW w:w="34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88,451</w:t>
            </w:r>
          </w:p>
        </w:tc>
        <w:tc>
          <w:tcPr>
            <w:tcW w:w="3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20,672</w:t>
            </w: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14,106</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18,731</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12,247</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22,695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Factoring</w:t>
            </w:r>
          </w:p>
        </w:tc>
        <w:tc>
          <w:tcPr>
            <w:tcW w:w="3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109,928</w:t>
            </w:r>
          </w:p>
        </w:tc>
        <w:tc>
          <w:tcPr>
            <w:tcW w:w="1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108,466</w:t>
            </w:r>
          </w:p>
        </w:tc>
        <w:tc>
          <w:tcPr>
            <w:tcW w:w="3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1,032</w:t>
            </w:r>
          </w:p>
        </w:tc>
        <w:tc>
          <w:tcPr>
            <w:tcW w:w="34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Advances and overdrafts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127,486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126,905</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581</w:t>
            </w: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8,289,329</w:t>
            </w:r>
          </w:p>
        </w:tc>
        <w:tc>
          <w:tcPr>
            <w:tcW w:w="1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3,416,537</w:t>
            </w:r>
          </w:p>
        </w:tc>
        <w:tc>
          <w:tcPr>
            <w:tcW w:w="1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1,583,484</w:t>
            </w:r>
          </w:p>
        </w:tc>
        <w:tc>
          <w:tcPr>
            <w:tcW w:w="16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1,443,070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666,670</w:t>
            </w:r>
          </w:p>
        </w:tc>
        <w:tc>
          <w:tcPr>
            <w:tcW w:w="38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1,199,568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20" w:type="dxa"/>
            <w:vAlign w:val="bottom"/>
            <w:tcBorders>
              <w:top w:val="single" w:sz="8" w:color="CCFFCC"/>
            </w:tcBorders>
          </w:tcPr>
          <w:p>
            <w:pPr>
              <w:spacing w:after="0" w:line="182" w:lineRule="exact"/>
              <w:rPr>
                <w:sz w:val="20"/>
                <w:szCs w:val="20"/>
                <w:color w:val="auto"/>
              </w:rPr>
            </w:pPr>
            <w:r>
              <w:rPr>
                <w:rFonts w:ascii="Arial" w:cs="Arial" w:eastAsia="Arial" w:hAnsi="Arial"/>
                <w:sz w:val="18"/>
                <w:szCs w:val="18"/>
                <w:color w:val="auto"/>
              </w:rPr>
              <w:t>Percentage of total performing</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loan portfolio</w:t>
            </w:r>
          </w:p>
        </w:tc>
        <w:tc>
          <w:tcPr>
            <w:tcW w:w="3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41.22%</w:t>
            </w: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3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3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the loan portfolio on December 31, 2007, by currency and by the time remaining to maturity over one year: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2" w:name="page83"/>
    <w:bookmarkEnd w:id="82"/>
    <w:tbl>
      <w:tblPr>
        <w:tblLayout w:type="fixed"/>
        <w:tblInd w:w="66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Amount at</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7"/>
              </w:rPr>
              <w:t>Maturing After</w:t>
            </w:r>
          </w:p>
        </w:tc>
      </w:tr>
      <w:tr>
        <w:trPr>
          <w:trHeight w:val="220"/>
        </w:trPr>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1 year</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5"/>
          </w:tcPr>
          <w:p>
            <w:pPr>
              <w:ind w:left="520"/>
              <w:spacing w:after="0"/>
              <w:rPr>
                <w:sz w:val="20"/>
                <w:szCs w:val="20"/>
                <w:color w:val="auto"/>
              </w:rPr>
            </w:pPr>
            <w:r>
              <w:rPr>
                <w:rFonts w:ascii="Arial" w:cs="Arial" w:eastAsia="Arial" w:hAnsi="Arial"/>
                <w:sz w:val="18"/>
                <w:szCs w:val="18"/>
                <w:i w:val="1"/>
                <w:iCs w:val="1"/>
                <w:color w:val="auto"/>
              </w:rPr>
              <w:t>(U.S. Dollars in thousands)</w:t>
            </w:r>
          </w:p>
        </w:tc>
      </w:tr>
      <w:tr>
        <w:trPr>
          <w:trHeight w:val="243"/>
        </w:trPr>
        <w:tc>
          <w:tcPr>
            <w:tcW w:w="2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1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Nuevo Sol-denominated</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91"/>
              </w:rPr>
              <w:t>US$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309,781</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221,015</w:t>
            </w:r>
          </w:p>
        </w:tc>
      </w:tr>
      <w:tr>
        <w:trPr>
          <w:trHeight w:val="243"/>
        </w:trPr>
        <w:tc>
          <w:tcPr>
            <w:tcW w:w="2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8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1,292,134</w:t>
            </w:r>
          </w:p>
        </w:tc>
        <w:tc>
          <w:tcPr>
            <w:tcW w:w="16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auto"/>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992,355</w:t>
            </w:r>
          </w:p>
        </w:tc>
        <w:tc>
          <w:tcPr>
            <w:tcW w:w="80" w:type="dxa"/>
            <w:vAlign w:val="bottom"/>
            <w:tcBorders>
              <w:bottom w:val="single" w:sz="8" w:color="CCFFCC"/>
            </w:tcBorders>
            <w:shd w:val="clear" w:color="auto" w:fill="CCFFCC"/>
          </w:tcPr>
          <w:p>
            <w:pPr>
              <w:spacing w:after="0"/>
              <w:rPr>
                <w:sz w:val="21"/>
                <w:szCs w:val="21"/>
                <w:color w:val="auto"/>
              </w:rPr>
            </w:pPr>
          </w:p>
        </w:tc>
      </w:tr>
      <w:tr>
        <w:trPr>
          <w:trHeight w:val="237"/>
        </w:trPr>
        <w:tc>
          <w:tcPr>
            <w:tcW w:w="26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1,601,914</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1,213,370</w:t>
            </w:r>
          </w:p>
        </w:tc>
      </w:tr>
      <w:tr>
        <w:trPr>
          <w:trHeight w:val="243"/>
        </w:trPr>
        <w:tc>
          <w:tcPr>
            <w:tcW w:w="26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8"/>
                <w:szCs w:val="18"/>
                <w:b w:val="1"/>
                <w:bCs w:val="1"/>
                <w:color w:val="auto"/>
              </w:rPr>
              <w:t>Fixed Rate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2,152,006</w:t>
            </w:r>
          </w:p>
        </w:tc>
        <w:tc>
          <w:tcPr>
            <w:tcW w:w="1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473,955</w:t>
            </w: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4,429,924</w:t>
            </w:r>
          </w:p>
        </w:tc>
        <w:tc>
          <w:tcPr>
            <w:tcW w:w="1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1,457,076</w:t>
            </w:r>
          </w:p>
        </w:tc>
        <w:tc>
          <w:tcPr>
            <w:tcW w:w="80" w:type="dxa"/>
            <w:vAlign w:val="bottom"/>
          </w:tcPr>
          <w:p>
            <w:pPr>
              <w:spacing w:after="0"/>
              <w:rPr>
                <w:sz w:val="21"/>
                <w:szCs w:val="21"/>
                <w:color w:val="auto"/>
              </w:rPr>
            </w:pPr>
          </w:p>
        </w:tc>
      </w:tr>
      <w:tr>
        <w:trPr>
          <w:trHeight w:val="237"/>
        </w:trPr>
        <w:tc>
          <w:tcPr>
            <w:tcW w:w="26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6,581,930</w:t>
            </w:r>
          </w:p>
        </w:tc>
        <w:tc>
          <w:tcPr>
            <w:tcW w:w="16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1,931,031</w:t>
            </w:r>
          </w:p>
        </w:tc>
      </w:tr>
      <w:tr>
        <w:trPr>
          <w:trHeight w:val="243"/>
        </w:trPr>
        <w:tc>
          <w:tcPr>
            <w:tcW w:w="2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Total (1)</w:t>
            </w:r>
          </w:p>
        </w:tc>
        <w:tc>
          <w:tcPr>
            <w:tcW w:w="5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1"/>
              </w:rPr>
              <w:t>US$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8,183,845</w:t>
            </w:r>
          </w:p>
        </w:tc>
        <w:tc>
          <w:tcPr>
            <w:tcW w:w="16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3,144,401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240030</wp:posOffset>
            </wp:positionV>
            <wp:extent cx="10718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20" w:hanging="488"/>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3" w:lineRule="exact"/>
        <w:rPr>
          <w:rFonts w:ascii="Arial" w:cs="Arial" w:eastAsia="Arial" w:hAnsi="Arial"/>
          <w:sz w:val="18"/>
          <w:szCs w:val="18"/>
          <w:color w:val="auto"/>
        </w:rPr>
      </w:pPr>
    </w:p>
    <w:p>
      <w:pPr>
        <w:ind w:left="820" w:hanging="488"/>
        <w:spacing w:after="0" w:line="261"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Most of financial products with fixed rates can be switched to variable rates according to market conditions as specified on the contracts with clients.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losses not specifically identified on the loan portfolio.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3" w:name="page84"/>
    <w:bookmarkEnd w:id="83"/>
    <w:p>
      <w:pPr>
        <w:ind w:right="20" w:firstLine="648"/>
        <w:spacing w:after="0" w:line="277" w:lineRule="auto"/>
        <w:rPr>
          <w:sz w:val="20"/>
          <w:szCs w:val="20"/>
          <w:color w:val="auto"/>
        </w:rPr>
      </w:pPr>
      <w:r>
        <w:rPr>
          <w:rFonts w:ascii="Arial" w:cs="Arial" w:eastAsia="Arial" w:hAnsi="Arial"/>
          <w:sz w:val="18"/>
          <w:szCs w:val="18"/>
          <w:color w:val="auto"/>
        </w:rPr>
        <w:t>The following table sets forth a breakdown of the loan portfolio using the categories specified in SBS Resolution No. 808-2003 as of December 31 of each of the last five years.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9"/>
              </w:rPr>
              <w:t>At December 31,</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43"/>
        </w:trPr>
        <w:tc>
          <w:tcPr>
            <w:tcW w:w="4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40" w:type="dxa"/>
            <w:vAlign w:val="bottom"/>
            <w:gridSpan w:val="6"/>
          </w:tcPr>
          <w:p>
            <w:pPr>
              <w:jc w:val="center"/>
              <w:ind w:left="410"/>
              <w:spacing w:after="0"/>
              <w:rPr>
                <w:sz w:val="20"/>
                <w:szCs w:val="20"/>
                <w:color w:val="auto"/>
              </w:rPr>
            </w:pPr>
            <w:r>
              <w:rPr>
                <w:rFonts w:ascii="Arial" w:cs="Arial" w:eastAsia="Arial" w:hAnsi="Arial"/>
                <w:sz w:val="18"/>
                <w:szCs w:val="18"/>
                <w:i w:val="1"/>
                <w:iCs w:val="1"/>
                <w:color w:val="auto"/>
                <w:w w:val="92"/>
              </w:rPr>
              <w:t>(U.S. Dollars 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3,680,491</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3,625,678</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3,771,488</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4,390,547</w:t>
            </w:r>
          </w:p>
        </w:tc>
        <w:tc>
          <w:tcPr>
            <w:tcW w:w="1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6,055,206</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Consumer loans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251,785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283,410</w:t>
            </w:r>
          </w:p>
        </w:tc>
        <w:tc>
          <w:tcPr>
            <w:tcW w:w="4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356,595</w:t>
            </w:r>
          </w:p>
        </w:tc>
        <w:tc>
          <w:tcPr>
            <w:tcW w:w="4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506,184</w:t>
            </w: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874,804</w:t>
            </w:r>
          </w:p>
        </w:tc>
      </w:tr>
      <w:tr>
        <w:trPr>
          <w:trHeight w:val="243"/>
        </w:trPr>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4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549,220</w:t>
            </w:r>
          </w:p>
        </w:tc>
        <w:tc>
          <w:tcPr>
            <w:tcW w:w="1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649,930</w:t>
            </w: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844,892</w:t>
            </w:r>
          </w:p>
        </w:tc>
        <w:tc>
          <w:tcPr>
            <w:tcW w:w="4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980,630</w:t>
            </w:r>
          </w:p>
        </w:tc>
        <w:tc>
          <w:tcPr>
            <w:tcW w:w="4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1,253,835</w:t>
            </w:r>
          </w:p>
        </w:tc>
      </w:tr>
      <w:tr>
        <w:trPr>
          <w:trHeight w:val="243"/>
        </w:trPr>
        <w:tc>
          <w:tcPr>
            <w:tcW w:w="4340" w:type="dxa"/>
            <w:vAlign w:val="bottom"/>
          </w:tcPr>
          <w:p>
            <w:pPr>
              <w:ind w:left="340"/>
              <w:spacing w:after="0"/>
              <w:rPr>
                <w:sz w:val="20"/>
                <w:szCs w:val="20"/>
                <w:color w:val="auto"/>
              </w:rPr>
            </w:pPr>
            <w:r>
              <w:rPr>
                <w:rFonts w:ascii="Arial" w:cs="Arial" w:eastAsia="Arial" w:hAnsi="Arial"/>
                <w:sz w:val="18"/>
                <w:szCs w:val="18"/>
                <w:color w:val="auto"/>
              </w:rPr>
              <w:t>Total performing loans (1)</w:t>
            </w:r>
          </w:p>
        </w:tc>
        <w:tc>
          <w:tcPr>
            <w:tcW w:w="40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4,481,496</w:t>
            </w:r>
          </w:p>
        </w:tc>
        <w:tc>
          <w:tcPr>
            <w:tcW w:w="500" w:type="dxa"/>
            <w:vAlign w:val="bottom"/>
            <w:gridSpan w:val="2"/>
          </w:tcPr>
          <w:p>
            <w:pPr>
              <w:ind w:left="10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4,559,018</w:t>
            </w:r>
          </w:p>
        </w:tc>
        <w:tc>
          <w:tcPr>
            <w:tcW w:w="40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4,972,975</w:t>
            </w:r>
          </w:p>
        </w:tc>
        <w:tc>
          <w:tcPr>
            <w:tcW w:w="40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5,877,361</w:t>
            </w:r>
          </w:p>
        </w:tc>
        <w:tc>
          <w:tcPr>
            <w:tcW w:w="10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8,183,845</w:t>
            </w:r>
          </w:p>
        </w:tc>
      </w:tr>
      <w:tr>
        <w:trPr>
          <w:trHeight w:val="20"/>
        </w:trPr>
        <w:tc>
          <w:tcPr>
            <w:tcW w:w="4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2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SBS regulations require the following minimum reserves to be recorded for statutory purposes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for local porpuses are as follows: a 1% reserve on not specifically identified loans classified in the A (Normal) category, and a 5%, 25%, 60% and 100% specific reserve on loans in risk categories B, C, D and E, respectively.</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five loan risk categories have the following characteristics: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Class “A.” </w:t>
      </w:r>
      <w:r>
        <w:rPr>
          <w:rFonts w:ascii="Arial" w:cs="Arial" w:eastAsia="Arial" w:hAnsi="Arial"/>
          <w:sz w:val="17"/>
          <w:szCs w:val="17"/>
          <w:color w:val="auto"/>
        </w:rPr>
        <w:t>Loans or credits in this category are known as “normal” credits. Debtors of commercial loans or credits that fall into this category have</w:t>
      </w:r>
      <w:r>
        <w:rPr>
          <w:rFonts w:ascii="Arial" w:cs="Arial" w:eastAsia="Arial" w:hAnsi="Arial"/>
          <w:sz w:val="17"/>
          <w:szCs w:val="17"/>
          <w:i w:val="1"/>
          <w:iCs w:val="1"/>
          <w:color w:val="auto"/>
        </w:rPr>
        <w:t xml:space="preserve"> </w:t>
      </w:r>
      <w:r>
        <w:rPr>
          <w:rFonts w:ascii="Arial" w:cs="Arial" w:eastAsia="Arial" w:hAnsi="Arial"/>
          <w:sz w:val="17"/>
          <w:szCs w:val="17"/>
          <w:color w:val="auto"/>
        </w:rPr>
        <w:t>complied 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for local porpuses a reserve for losses not specifically identified of 1% of the total of such loans or credits outstanding. The required reserve may be reduced by up to 0.5% if certain conditions that ensure that the client has a low probability of default are met.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4" w:name="page85"/>
    <w:bookmarkEnd w:id="84"/>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Class “B.” </w:t>
      </w:r>
      <w:r>
        <w:rPr>
          <w:rFonts w:ascii="Arial" w:cs="Arial" w:eastAsia="Arial" w:hAnsi="Arial"/>
          <w:sz w:val="16"/>
          <w:szCs w:val="16"/>
          <w:color w:val="auto"/>
        </w:rPr>
        <w:t>Loans or credits in this category are known as credits with “potential problems.” Debtors of commercial loans or credits included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For local porpuses,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22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Class “C.” </w:t>
      </w:r>
      <w:r>
        <w:rPr>
          <w:rFonts w:ascii="Arial" w:cs="Arial" w:eastAsia="Arial" w:hAnsi="Arial"/>
          <w:sz w:val="16"/>
          <w:szCs w:val="16"/>
          <w:color w:val="auto"/>
        </w:rPr>
        <w:t>Loans or credits in this category are known as “substandard” credits. Debtors of commercial loans or credits whose loans or credits are</w:t>
      </w:r>
      <w:r>
        <w:rPr>
          <w:rFonts w:ascii="Arial" w:cs="Arial" w:eastAsia="Arial" w:hAnsi="Arial"/>
          <w:sz w:val="16"/>
          <w:szCs w:val="16"/>
          <w:i w:val="1"/>
          <w:iCs w:val="1"/>
          <w:color w:val="auto"/>
        </w:rPr>
        <w:t xml:space="preserve"> </w:t>
      </w:r>
      <w:r>
        <w:rPr>
          <w:rFonts w:ascii="Arial" w:cs="Arial" w:eastAsia="Arial" w:hAnsi="Arial"/>
          <w:sz w:val="16"/>
          <w:szCs w:val="16"/>
          <w:color w:val="auto"/>
        </w:rPr>
        <w:t>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for local porpuses a specific provision of 25% of the outstanding amount (12.5% when secured with “preferred” collateral and 6.25 % when secured with “highly liquid preferred” collateral).</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Class “D.” </w:t>
      </w:r>
      <w:r>
        <w:rPr>
          <w:rFonts w:ascii="Arial" w:cs="Arial" w:eastAsia="Arial" w:hAnsi="Arial"/>
          <w:sz w:val="17"/>
          <w:szCs w:val="17"/>
          <w:color w:val="auto"/>
        </w:rPr>
        <w:t>Loans or credits included in this category are known as “doubtful” credits. Debtors of commercial loans or credits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for local porpuses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5" w:name="page86"/>
    <w:bookmarkEnd w:id="85"/>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Class “E.” </w:t>
      </w:r>
      <w:r>
        <w:rPr>
          <w:rFonts w:ascii="Arial" w:cs="Arial" w:eastAsia="Arial" w:hAnsi="Arial"/>
          <w:sz w:val="16"/>
          <w:szCs w:val="16"/>
          <w:color w:val="auto"/>
        </w:rPr>
        <w:t>Loans or credits in this class are known as “loss” credits. Commercial loans or credits which are considered unrecoverable or which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for local porpuses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record the allowance for loan losses, Credicorp uses IAS 39, for which all loans in Classes C, D and E are considered impaired, and they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incurred losses for impaired loans not specifically identified in Classes A and B. In the case of borrowers in countries where there is an increased risk of difficulties in servicing external debt, an assessment of the political and economic situation is made, and, if necessary, an additional country risk provision is provided.</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direct loan portfolio at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7"/>
          </w:tcPr>
          <w:p>
            <w:pPr>
              <w:jc w:val="center"/>
              <w:ind w:right="760"/>
              <w:spacing w:after="0"/>
              <w:rPr>
                <w:sz w:val="20"/>
                <w:szCs w:val="20"/>
                <w:color w:val="auto"/>
              </w:rPr>
            </w:pPr>
            <w:r>
              <w:rPr>
                <w:rFonts w:ascii="Arial" w:cs="Arial" w:eastAsia="Arial" w:hAnsi="Arial"/>
                <w:sz w:val="18"/>
                <w:szCs w:val="18"/>
                <w:b w:val="1"/>
                <w:bCs w:val="1"/>
                <w:color w:val="auto"/>
                <w:w w:val="90"/>
              </w:rPr>
              <w:t>At December 31,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2003</w:t>
            </w: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right="730"/>
              <w:spacing w:after="0"/>
              <w:rPr>
                <w:sz w:val="20"/>
                <w:szCs w:val="20"/>
                <w:color w:val="auto"/>
              </w:rPr>
            </w:pPr>
            <w:r>
              <w:rPr>
                <w:rFonts w:ascii="Arial" w:cs="Arial" w:eastAsia="Arial" w:hAnsi="Arial"/>
                <w:sz w:val="18"/>
                <w:szCs w:val="18"/>
                <w:b w:val="1"/>
                <w:bCs w:val="1"/>
                <w:color w:val="auto"/>
                <w:w w:val="89"/>
              </w:rPr>
              <w:t>2004</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9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20" w:type="dxa"/>
            <w:vAlign w:val="bottom"/>
            <w:vMerge w:val="restart"/>
          </w:tcPr>
          <w:p>
            <w:pPr>
              <w:spacing w:after="0"/>
              <w:rPr>
                <w:sz w:val="20"/>
                <w:szCs w:val="20"/>
                <w:color w:val="auto"/>
              </w:rPr>
            </w:pPr>
            <w:r>
              <w:rPr>
                <w:rFonts w:ascii="Arial" w:cs="Arial" w:eastAsia="Arial" w:hAnsi="Arial"/>
                <w:sz w:val="18"/>
                <w:szCs w:val="18"/>
                <w:color w:val="auto"/>
              </w:rPr>
              <w:t>Level of Risk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20" w:type="dxa"/>
            <w:vAlign w:val="bottom"/>
            <w:gridSpan w:val="10"/>
          </w:tcPr>
          <w:p>
            <w:pPr>
              <w:jc w:val="center"/>
              <w:ind w:left="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Amount</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left="90"/>
              <w:spacing w:after="0"/>
              <w:rPr>
                <w:sz w:val="20"/>
                <w:szCs w:val="20"/>
                <w:color w:val="auto"/>
              </w:rPr>
            </w:pPr>
            <w:r>
              <w:rPr>
                <w:rFonts w:ascii="Arial" w:cs="Arial" w:eastAsia="Arial" w:hAnsi="Arial"/>
                <w:sz w:val="18"/>
                <w:szCs w:val="18"/>
                <w:b w:val="1"/>
                <w:bCs w:val="1"/>
                <w:color w:val="auto"/>
                <w:w w:val="96"/>
              </w:rPr>
              <w:t>% Total</w:t>
            </w:r>
          </w:p>
        </w:tc>
        <w:tc>
          <w:tcPr>
            <w:tcW w:w="220" w:type="dxa"/>
            <w:vAlign w:val="bottom"/>
            <w:vMerge w:val="restart"/>
          </w:tcPr>
          <w:p>
            <w:pPr>
              <w:spacing w:after="0"/>
              <w:rPr>
                <w:sz w:val="16"/>
                <w:szCs w:val="16"/>
                <w:color w:val="auto"/>
              </w:rPr>
            </w:pPr>
          </w:p>
        </w:tc>
        <w:tc>
          <w:tcPr>
            <w:tcW w:w="320" w:type="dxa"/>
            <w:vAlign w:val="bottom"/>
            <w:vMerge w:val="restart"/>
          </w:tcPr>
          <w:p>
            <w:pPr>
              <w:spacing w:after="0"/>
              <w:rPr>
                <w:sz w:val="16"/>
                <w:szCs w:val="16"/>
                <w:color w:val="auto"/>
              </w:rPr>
            </w:pPr>
          </w:p>
        </w:tc>
        <w:tc>
          <w:tcPr>
            <w:tcW w:w="100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vMerge w:val="restart"/>
          </w:tcPr>
          <w:p>
            <w:pPr>
              <w:spacing w:after="0"/>
              <w:rPr>
                <w:sz w:val="16"/>
                <w:szCs w:val="16"/>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Total</w:t>
            </w:r>
          </w:p>
        </w:tc>
        <w:tc>
          <w:tcPr>
            <w:tcW w:w="20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vMerge w:val="restart"/>
          </w:tcPr>
          <w:p>
            <w:pPr>
              <w:spacing w:after="0"/>
              <w:rPr>
                <w:sz w:val="16"/>
                <w:szCs w:val="16"/>
                <w:color w:val="auto"/>
              </w:rPr>
            </w:pPr>
          </w:p>
        </w:tc>
        <w:tc>
          <w:tcPr>
            <w:tcW w:w="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Total</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200" w:type="dxa"/>
            <w:vAlign w:val="bottom"/>
          </w:tcPr>
          <w:p>
            <w:pPr>
              <w:spacing w:after="0"/>
              <w:rPr>
                <w:sz w:val="20"/>
                <w:szCs w:val="20"/>
                <w:color w:val="auto"/>
              </w:rPr>
            </w:pPr>
          </w:p>
        </w:tc>
        <w:tc>
          <w:tcPr>
            <w:tcW w:w="880" w:type="dxa"/>
            <w:vAlign w:val="bottom"/>
            <w:tcBorders>
              <w:bottom w:val="single" w:sz="8" w:color="auto"/>
            </w:tcBorders>
            <w:gridSpan w:val="3"/>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gridSpan w:val="3"/>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gridSpan w:val="3"/>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A: Normal</w:t>
            </w:r>
          </w:p>
        </w:tc>
        <w:tc>
          <w:tcPr>
            <w:tcW w:w="62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9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3,393,833</w:t>
            </w:r>
          </w:p>
        </w:tc>
        <w:tc>
          <w:tcPr>
            <w:tcW w:w="80" w:type="dxa"/>
            <w:vAlign w:val="bottom"/>
            <w:shd w:val="clear" w:color="auto" w:fill="CCFFCC"/>
          </w:tcPr>
          <w:p>
            <w:pPr>
              <w:spacing w:after="0"/>
              <w:rPr>
                <w:sz w:val="20"/>
                <w:szCs w:val="20"/>
                <w:color w:val="auto"/>
              </w:rPr>
            </w:pPr>
          </w:p>
        </w:tc>
        <w:tc>
          <w:tcPr>
            <w:tcW w:w="560" w:type="dxa"/>
            <w:vAlign w:val="bottom"/>
            <w:tcBorders>
              <w:right w:val="single" w:sz="8" w:color="CCFFCC"/>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2"/>
              </w:rPr>
              <w:t>75.7% US$</w:t>
            </w:r>
          </w:p>
        </w:tc>
        <w:tc>
          <w:tcPr>
            <w:tcW w:w="11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3,719,973</w:t>
            </w:r>
          </w:p>
        </w:tc>
        <w:tc>
          <w:tcPr>
            <w:tcW w:w="16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81.6%US$</w:t>
            </w:r>
          </w:p>
        </w:tc>
        <w:tc>
          <w:tcPr>
            <w:tcW w:w="104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4,273,719</w:t>
            </w:r>
          </w:p>
        </w:tc>
        <w:tc>
          <w:tcPr>
            <w:tcW w:w="12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B: Potential Problems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437,682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7"/>
              </w:rPr>
              <w:t>9.8</w:t>
            </w:r>
          </w:p>
        </w:tc>
        <w:tc>
          <w:tcPr>
            <w:tcW w:w="320" w:type="dxa"/>
            <w:vAlign w:val="bottom"/>
          </w:tcPr>
          <w:p>
            <w:pPr>
              <w:spacing w:after="0"/>
              <w:rPr>
                <w:sz w:val="21"/>
                <w:szCs w:val="21"/>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336,619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397,387</w:t>
            </w: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C: Substandard</w:t>
            </w:r>
          </w:p>
        </w:tc>
        <w:tc>
          <w:tcPr>
            <w:tcW w:w="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240,316</w:t>
            </w:r>
          </w:p>
        </w:tc>
        <w:tc>
          <w:tcPr>
            <w:tcW w:w="80" w:type="dxa"/>
            <w:vAlign w:val="bottom"/>
            <w:shd w:val="clear" w:color="auto" w:fill="CCFFCC"/>
          </w:tcPr>
          <w:p>
            <w:pPr>
              <w:spacing w:after="0"/>
              <w:rPr>
                <w:sz w:val="21"/>
                <w:szCs w:val="21"/>
                <w:color w:val="auto"/>
              </w:rPr>
            </w:pPr>
          </w:p>
        </w:tc>
        <w:tc>
          <w:tcPr>
            <w:tcW w:w="560" w:type="dxa"/>
            <w:vAlign w:val="bottom"/>
            <w:tcBorders>
              <w:right w:val="single" w:sz="8" w:color="CCFFCC"/>
            </w:tcBorders>
            <w:shd w:val="clear" w:color="auto" w:fill="CCFFCC"/>
          </w:tcPr>
          <w:p>
            <w:pPr>
              <w:spacing w:after="0"/>
              <w:rPr>
                <w:sz w:val="21"/>
                <w:szCs w:val="21"/>
                <w:color w:val="auto"/>
              </w:rPr>
            </w:pPr>
          </w:p>
        </w:tc>
        <w:tc>
          <w:tcPr>
            <w:tcW w:w="74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87"/>
              </w:rPr>
              <w:t>5.4</w:t>
            </w:r>
          </w:p>
        </w:tc>
        <w:tc>
          <w:tcPr>
            <w:tcW w:w="320" w:type="dxa"/>
            <w:vAlign w:val="bottom"/>
            <w:shd w:val="clear" w:color="auto" w:fill="CCFFCC"/>
          </w:tcPr>
          <w:p>
            <w:pPr>
              <w:spacing w:after="0"/>
              <w:rPr>
                <w:sz w:val="21"/>
                <w:szCs w:val="21"/>
                <w:color w:val="auto"/>
              </w:rPr>
            </w:pPr>
          </w:p>
        </w:tc>
        <w:tc>
          <w:tcPr>
            <w:tcW w:w="11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195,062</w:t>
            </w:r>
          </w:p>
        </w:tc>
        <w:tc>
          <w:tcPr>
            <w:tcW w:w="13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FFCC"/>
          </w:tcPr>
          <w:p>
            <w:pPr>
              <w:spacing w:after="0"/>
              <w:rPr>
                <w:sz w:val="21"/>
                <w:szCs w:val="21"/>
                <w:color w:val="auto"/>
              </w:rPr>
            </w:pPr>
          </w:p>
        </w:tc>
        <w:tc>
          <w:tcPr>
            <w:tcW w:w="104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82,858</w:t>
            </w: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D: Doubtful</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266,723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7"/>
              </w:rPr>
              <w:t>6.0</w:t>
            </w:r>
          </w:p>
        </w:tc>
        <w:tc>
          <w:tcPr>
            <w:tcW w:w="320" w:type="dxa"/>
            <w:vAlign w:val="bottom"/>
          </w:tcPr>
          <w:p>
            <w:pPr>
              <w:spacing w:after="0"/>
              <w:rPr>
                <w:sz w:val="21"/>
                <w:szCs w:val="21"/>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184,206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146,898</w:t>
            </w: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E: Loss</w:t>
            </w:r>
          </w:p>
        </w:tc>
        <w:tc>
          <w:tcPr>
            <w:tcW w:w="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142,942</w:t>
            </w:r>
          </w:p>
        </w:tc>
        <w:tc>
          <w:tcPr>
            <w:tcW w:w="80" w:type="dxa"/>
            <w:vAlign w:val="bottom"/>
            <w:shd w:val="clear" w:color="auto" w:fill="CCFFCC"/>
          </w:tcPr>
          <w:p>
            <w:pPr>
              <w:spacing w:after="0"/>
              <w:rPr>
                <w:sz w:val="21"/>
                <w:szCs w:val="21"/>
                <w:color w:val="auto"/>
              </w:rPr>
            </w:pPr>
          </w:p>
        </w:tc>
        <w:tc>
          <w:tcPr>
            <w:tcW w:w="560" w:type="dxa"/>
            <w:vAlign w:val="bottom"/>
            <w:tcBorders>
              <w:right w:val="single" w:sz="8" w:color="CCFFCC"/>
            </w:tcBorders>
            <w:shd w:val="clear" w:color="auto" w:fill="CCFFCC"/>
          </w:tcPr>
          <w:p>
            <w:pPr>
              <w:spacing w:after="0"/>
              <w:rPr>
                <w:sz w:val="21"/>
                <w:szCs w:val="21"/>
                <w:color w:val="auto"/>
              </w:rPr>
            </w:pPr>
          </w:p>
        </w:tc>
        <w:tc>
          <w:tcPr>
            <w:tcW w:w="74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shd w:val="clear" w:color="auto" w:fill="CCFFCC"/>
          </w:tcPr>
          <w:p>
            <w:pPr>
              <w:spacing w:after="0"/>
              <w:rPr>
                <w:sz w:val="21"/>
                <w:szCs w:val="21"/>
                <w:color w:val="auto"/>
              </w:rPr>
            </w:pPr>
          </w:p>
        </w:tc>
        <w:tc>
          <w:tcPr>
            <w:tcW w:w="11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123,158</w:t>
            </w:r>
          </w:p>
        </w:tc>
        <w:tc>
          <w:tcPr>
            <w:tcW w:w="13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FFCC"/>
          </w:tcPr>
          <w:p>
            <w:pPr>
              <w:spacing w:after="0"/>
              <w:rPr>
                <w:sz w:val="21"/>
                <w:szCs w:val="21"/>
                <w:color w:val="auto"/>
              </w:rPr>
            </w:pPr>
          </w:p>
        </w:tc>
        <w:tc>
          <w:tcPr>
            <w:tcW w:w="104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72,113</w:t>
            </w: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Pr>
          <w:p>
            <w:pPr>
              <w:ind w:left="340"/>
              <w:spacing w:after="0"/>
              <w:rPr>
                <w:sz w:val="20"/>
                <w:szCs w:val="20"/>
                <w:color w:val="auto"/>
              </w:rPr>
            </w:pPr>
            <w:r>
              <w:rPr>
                <w:rFonts w:ascii="Arial" w:cs="Arial" w:eastAsia="Arial" w:hAnsi="Arial"/>
                <w:sz w:val="18"/>
                <w:szCs w:val="18"/>
                <w:color w:val="auto"/>
              </w:rPr>
              <w:t>Total (1)</w:t>
            </w:r>
          </w:p>
        </w:tc>
        <w:tc>
          <w:tcPr>
            <w:tcW w:w="620" w:type="dxa"/>
            <w:vAlign w:val="bottom"/>
            <w:gridSpan w:val="3"/>
          </w:tcPr>
          <w:p>
            <w:pPr>
              <w:ind w:left="20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4,481,496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93"/>
              </w:rPr>
              <w:t xml:space="preserve">100.00% </w:t>
            </w:r>
            <w:r>
              <w:rPr>
                <w:rFonts w:ascii="Arial" w:cs="Arial" w:eastAsia="Arial" w:hAnsi="Arial"/>
                <w:sz w:val="18"/>
                <w:szCs w:val="18"/>
                <w:u w:val="single" w:color="auto"/>
                <w:color w:val="auto"/>
                <w:w w:val="93"/>
              </w:rPr>
              <w:t>US</w:t>
            </w:r>
            <w:r>
              <w:rPr>
                <w:rFonts w:ascii="Arial" w:cs="Arial" w:eastAsia="Arial" w:hAnsi="Arial"/>
                <w:sz w:val="18"/>
                <w:szCs w:val="18"/>
                <w:color w:val="auto"/>
                <w:w w:val="93"/>
              </w:rPr>
              <w:t>$</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4,559,018</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4,972,975</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620" w:type="dxa"/>
            <w:vAlign w:val="bottom"/>
            <w:gridSpan w:val="3"/>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9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649,981</w:t>
            </w:r>
          </w:p>
        </w:tc>
        <w:tc>
          <w:tcPr>
            <w:tcW w:w="80" w:type="dxa"/>
            <w:vAlign w:val="bottom"/>
            <w:shd w:val="clear" w:color="auto" w:fill="CCFFCC"/>
          </w:tcPr>
          <w:p>
            <w:pPr>
              <w:spacing w:after="0"/>
              <w:rPr>
                <w:sz w:val="19"/>
                <w:szCs w:val="19"/>
                <w:color w:val="auto"/>
              </w:rPr>
            </w:pPr>
          </w:p>
        </w:tc>
        <w:tc>
          <w:tcPr>
            <w:tcW w:w="560" w:type="dxa"/>
            <w:vAlign w:val="bottom"/>
            <w:tcBorders>
              <w:right w:val="single" w:sz="8" w:color="CCFFCC"/>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2"/>
              </w:rPr>
              <w:t>14.5% US$</w:t>
            </w:r>
          </w:p>
        </w:tc>
        <w:tc>
          <w:tcPr>
            <w:tcW w:w="11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502,426</w:t>
            </w:r>
          </w:p>
        </w:tc>
        <w:tc>
          <w:tcPr>
            <w:tcW w:w="16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11.0%US$</w:t>
            </w:r>
          </w:p>
        </w:tc>
        <w:tc>
          <w:tcPr>
            <w:tcW w:w="104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301,869</w:t>
            </w:r>
          </w:p>
        </w:tc>
        <w:tc>
          <w:tcPr>
            <w:tcW w:w="1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513"/>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7"/>
          </w:tcPr>
          <w:p>
            <w:pPr>
              <w:jc w:val="right"/>
              <w:ind w:right="1480"/>
              <w:spacing w:after="0"/>
              <w:rPr>
                <w:sz w:val="20"/>
                <w:szCs w:val="20"/>
                <w:color w:val="auto"/>
              </w:rPr>
            </w:pPr>
            <w:r>
              <w:rPr>
                <w:rFonts w:ascii="Arial" w:cs="Arial" w:eastAsia="Arial" w:hAnsi="Arial"/>
                <w:sz w:val="18"/>
                <w:szCs w:val="18"/>
                <w:b w:val="1"/>
                <w:bCs w:val="1"/>
                <w:color w:val="auto"/>
                <w:w w:val="89"/>
              </w:rPr>
              <w:t>At December 31,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20" w:type="dxa"/>
            <w:vAlign w:val="bottom"/>
            <w:vMerge w:val="restart"/>
          </w:tcPr>
          <w:p>
            <w:pPr>
              <w:spacing w:after="0"/>
              <w:rPr>
                <w:sz w:val="20"/>
                <w:szCs w:val="20"/>
                <w:color w:val="auto"/>
              </w:rPr>
            </w:pPr>
            <w:r>
              <w:rPr>
                <w:rFonts w:ascii="Arial" w:cs="Arial" w:eastAsia="Arial" w:hAnsi="Arial"/>
                <w:sz w:val="18"/>
                <w:szCs w:val="18"/>
                <w:color w:val="auto"/>
              </w:rPr>
              <w:t>Level of Risk</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2007</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3"/>
            <w:vMerge w:val="restart"/>
          </w:tcPr>
          <w:p>
            <w:pPr>
              <w:jc w:val="right"/>
              <w:ind w:right="31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 Total</w:t>
            </w:r>
          </w:p>
        </w:tc>
        <w:tc>
          <w:tcPr>
            <w:tcW w:w="2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Total</w:t>
            </w:r>
          </w:p>
        </w:tc>
        <w:tc>
          <w:tcPr>
            <w:tcW w:w="120" w:type="dxa"/>
            <w:vAlign w:val="bottom"/>
            <w:vMerge w:val="restart"/>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A: Normal</w:t>
            </w:r>
          </w:p>
        </w:tc>
        <w:tc>
          <w:tcPr>
            <w:tcW w:w="2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5,296,653</w:t>
            </w:r>
          </w:p>
        </w:tc>
        <w:tc>
          <w:tcPr>
            <w:tcW w:w="20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90.1%</w:t>
            </w:r>
          </w:p>
        </w:tc>
        <w:tc>
          <w:tcPr>
            <w:tcW w:w="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5"/>
              </w:rPr>
              <w:t>US$</w:t>
            </w: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7,602,347</w:t>
            </w:r>
          </w:p>
        </w:tc>
        <w:tc>
          <w:tcPr>
            <w:tcW w:w="200" w:type="dxa"/>
            <w:vAlign w:val="bottom"/>
            <w:tcBorders>
              <w:right w:val="single" w:sz="8" w:color="CCFFCC"/>
            </w:tcBorders>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92.9%</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B: Potential Problems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337,497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371,119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C: Substandard</w:t>
            </w:r>
          </w:p>
        </w:tc>
        <w:tc>
          <w:tcPr>
            <w:tcW w:w="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460" w:type="dxa"/>
            <w:vAlign w:val="bottom"/>
            <w:tcBorders>
              <w:right w:val="single" w:sz="8" w:color="CCFFCC"/>
            </w:tcBorders>
            <w:shd w:val="clear" w:color="auto" w:fill="CCFFCC"/>
          </w:tcPr>
          <w:p>
            <w:pPr>
              <w:spacing w:after="0"/>
              <w:rPr>
                <w:sz w:val="21"/>
                <w:szCs w:val="21"/>
                <w:color w:val="auto"/>
              </w:rPr>
            </w:pPr>
          </w:p>
        </w:tc>
        <w:tc>
          <w:tcPr>
            <w:tcW w:w="6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62,192</w:t>
            </w: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71,340</w:t>
            </w:r>
          </w:p>
        </w:tc>
        <w:tc>
          <w:tcPr>
            <w:tcW w:w="200" w:type="dxa"/>
            <w:vAlign w:val="bottom"/>
            <w:tcBorders>
              <w:right w:val="single" w:sz="8" w:color="CCFFCC"/>
            </w:tcBorders>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0.9%</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D: Doubtful</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122,215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88,540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E: Loss</w:t>
            </w:r>
          </w:p>
        </w:tc>
        <w:tc>
          <w:tcPr>
            <w:tcW w:w="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460" w:type="dxa"/>
            <w:vAlign w:val="bottom"/>
            <w:tcBorders>
              <w:right w:val="single" w:sz="8" w:color="CCFFCC"/>
            </w:tcBorders>
            <w:shd w:val="clear" w:color="auto" w:fill="CCFFCC"/>
          </w:tcPr>
          <w:p>
            <w:pPr>
              <w:spacing w:after="0"/>
              <w:rPr>
                <w:sz w:val="21"/>
                <w:szCs w:val="21"/>
                <w:color w:val="auto"/>
              </w:rPr>
            </w:pPr>
          </w:p>
        </w:tc>
        <w:tc>
          <w:tcPr>
            <w:tcW w:w="6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58,804</w:t>
            </w: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50,499</w:t>
            </w:r>
          </w:p>
        </w:tc>
        <w:tc>
          <w:tcPr>
            <w:tcW w:w="200" w:type="dxa"/>
            <w:vAlign w:val="bottom"/>
            <w:tcBorders>
              <w:right w:val="single" w:sz="8" w:color="CCFFCC"/>
            </w:tcBorders>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0.6%</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Pr>
          <w:p>
            <w:pPr>
              <w:ind w:left="340"/>
              <w:spacing w:after="0"/>
              <w:rPr>
                <w:sz w:val="20"/>
                <w:szCs w:val="20"/>
                <w:color w:val="auto"/>
              </w:rPr>
            </w:pPr>
            <w:r>
              <w:rPr>
                <w:rFonts w:ascii="Arial" w:cs="Arial" w:eastAsia="Arial" w:hAnsi="Arial"/>
                <w:sz w:val="18"/>
                <w:szCs w:val="18"/>
                <w:color w:val="auto"/>
              </w:rPr>
              <w:t>Total (1)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5,877,361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8,183,845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2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60" w:type="dxa"/>
            <w:vAlign w:val="bottom"/>
            <w:tcBorders>
              <w:right w:val="single" w:sz="8" w:color="CCFFCC"/>
            </w:tcBorders>
            <w:shd w:val="clear" w:color="auto" w:fill="CCFFCC"/>
          </w:tcPr>
          <w:p>
            <w:pPr>
              <w:spacing w:after="0"/>
              <w:rPr>
                <w:sz w:val="19"/>
                <w:szCs w:val="19"/>
                <w:color w:val="auto"/>
              </w:rPr>
            </w:pPr>
          </w:p>
        </w:tc>
        <w:tc>
          <w:tcPr>
            <w:tcW w:w="6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2"/>
              </w:rPr>
              <w:t>243,211</w:t>
            </w:r>
          </w:p>
        </w:tc>
        <w:tc>
          <w:tcPr>
            <w:tcW w:w="2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w:t>
            </w:r>
          </w:p>
        </w:tc>
        <w:tc>
          <w:tcPr>
            <w:tcW w:w="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5"/>
              </w:rPr>
              <w:t>US$</w:t>
            </w: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210,379</w:t>
            </w:r>
          </w:p>
        </w:tc>
        <w:tc>
          <w:tcPr>
            <w:tcW w:w="200" w:type="dxa"/>
            <w:vAlign w:val="bottom"/>
            <w:tcBorders>
              <w:right w:val="single" w:sz="8" w:color="CCFFCC"/>
            </w:tcBorders>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(1) Net of unearned interest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6" w:name="page87"/>
    <w:bookmarkEnd w:id="86"/>
    <w:p>
      <w:pPr>
        <w:jc w:val="both"/>
        <w:ind w:firstLine="648"/>
        <w:spacing w:after="0" w:line="255" w:lineRule="auto"/>
        <w:rPr>
          <w:sz w:val="20"/>
          <w:szCs w:val="20"/>
          <w:color w:val="auto"/>
        </w:rPr>
      </w:pPr>
      <w:r>
        <w:rPr>
          <w:rFonts w:ascii="Arial" w:cs="Arial" w:eastAsia="Arial" w:hAnsi="Arial"/>
          <w:sz w:val="18"/>
          <w:szCs w:val="18"/>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considers loans to be past due depending on their type. BCP considers loans past due for consumer mortgage and leasing loans, and loans to micro-businesses after 90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BCB considers loans past due after 30 days. For IFRS 7 disclosure requirements on past due loans, see Note 31.1 to the Credicorp Consolidated Financial Statements.</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income is suspended when collection of loans becomes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 Therefore, Credicorp does not accrue interest on past due loans. Instead, interest on past due loans is recognized only when and to the extent received. Over the past five years, Credicorp has recognized interest income on these loans of US$11.0 million in 2003, US$6.2 million in 2004, US$5.5 million in 2005, US$4.8 million in 2006 and US$3.6 million in 2007.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At December 31,</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8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1"/>
                <w:szCs w:val="21"/>
                <w:color w:val="auto"/>
              </w:rPr>
            </w:pPr>
          </w:p>
        </w:tc>
      </w:tr>
      <w:tr>
        <w:trPr>
          <w:trHeight w:val="237"/>
        </w:trPr>
        <w:tc>
          <w:tcPr>
            <w:tcW w:w="3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gridSpan w:val="8"/>
          </w:tcPr>
          <w:p>
            <w:pPr>
              <w:jc w:val="right"/>
              <w:ind w:right="700"/>
              <w:spacing w:after="0"/>
              <w:rPr>
                <w:sz w:val="20"/>
                <w:szCs w:val="20"/>
                <w:color w:val="auto"/>
              </w:rPr>
            </w:pPr>
            <w:r>
              <w:rPr>
                <w:rFonts w:ascii="Arial" w:cs="Arial" w:eastAsia="Arial" w:hAnsi="Arial"/>
                <w:sz w:val="18"/>
                <w:szCs w:val="18"/>
                <w:i w:val="1"/>
                <w:iCs w:val="1"/>
                <w:color w:val="auto"/>
                <w:w w:val="91"/>
              </w:rPr>
              <w:t>(U.S. Dollars in thousands, except percentages)</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4,225,288</w:t>
            </w:r>
          </w:p>
        </w:tc>
        <w:tc>
          <w:tcPr>
            <w:tcW w:w="240" w:type="dxa"/>
            <w:vAlign w:val="bottom"/>
            <w:tcBorders>
              <w:right w:val="single" w:sz="8" w:color="CCFFCC"/>
            </w:tcBorders>
            <w:shd w:val="clear" w:color="auto" w:fill="CCFFCC"/>
          </w:tcPr>
          <w:p>
            <w:pPr>
              <w:spacing w:after="0"/>
              <w:rPr>
                <w:sz w:val="21"/>
                <w:szCs w:val="21"/>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4,399,961</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16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4,877,206</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5,800,591</w:t>
            </w:r>
          </w:p>
        </w:tc>
        <w:tc>
          <w:tcPr>
            <w:tcW w:w="240" w:type="dxa"/>
            <w:vAlign w:val="bottom"/>
            <w:tcBorders>
              <w:right w:val="single" w:sz="8" w:color="CCFFCC"/>
            </w:tcBorders>
            <w:shd w:val="clear" w:color="auto" w:fill="CCFFCC"/>
          </w:tcPr>
          <w:p>
            <w:pPr>
              <w:spacing w:after="0"/>
              <w:rPr>
                <w:sz w:val="21"/>
                <w:szCs w:val="21"/>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8,122,357</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Past due:</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8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Overdue 16-119 days</w:t>
            </w:r>
          </w:p>
        </w:tc>
        <w:tc>
          <w:tcPr>
            <w:tcW w:w="420" w:type="dxa"/>
            <w:vAlign w:val="bottom"/>
            <w:shd w:val="clear" w:color="auto" w:fill="CCFFCC"/>
          </w:tcPr>
          <w:p>
            <w:pPr>
              <w:spacing w:after="0"/>
              <w:rPr>
                <w:sz w:val="21"/>
                <w:szCs w:val="21"/>
                <w:color w:val="auto"/>
              </w:rPr>
            </w:pP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50,981</w:t>
            </w:r>
          </w:p>
        </w:tc>
        <w:tc>
          <w:tcPr>
            <w:tcW w:w="38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11,572</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16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10,860</w:t>
            </w:r>
          </w:p>
        </w:tc>
        <w:tc>
          <w:tcPr>
            <w:tcW w:w="440" w:type="dxa"/>
            <w:vAlign w:val="bottom"/>
            <w:shd w:val="clear" w:color="auto" w:fill="CCFFCC"/>
          </w:tcPr>
          <w:p>
            <w:pPr>
              <w:spacing w:after="0"/>
              <w:rPr>
                <w:sz w:val="21"/>
                <w:szCs w:val="21"/>
                <w:color w:val="auto"/>
              </w:rPr>
            </w:pPr>
          </w:p>
        </w:tc>
        <w:tc>
          <w:tcPr>
            <w:tcW w:w="11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20,655</w:t>
            </w:r>
          </w:p>
        </w:tc>
        <w:tc>
          <w:tcPr>
            <w:tcW w:w="4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20,825</w:t>
            </w:r>
          </w:p>
        </w:tc>
      </w:tr>
      <w:tr>
        <w:trPr>
          <w:trHeight w:val="243"/>
        </w:trPr>
        <w:tc>
          <w:tcPr>
            <w:tcW w:w="3880" w:type="dxa"/>
            <w:vAlign w:val="bottom"/>
          </w:tcPr>
          <w:p>
            <w:pPr>
              <w:ind w:left="340"/>
              <w:spacing w:after="0"/>
              <w:rPr>
                <w:sz w:val="20"/>
                <w:szCs w:val="20"/>
                <w:color w:val="auto"/>
              </w:rPr>
            </w:pPr>
            <w:r>
              <w:rPr>
                <w:rFonts w:ascii="Arial" w:cs="Arial" w:eastAsia="Arial" w:hAnsi="Arial"/>
                <w:sz w:val="18"/>
                <w:szCs w:val="18"/>
                <w:color w:val="auto"/>
              </w:rPr>
              <w:t>Overdue 120 days or more</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205,227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147,485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84,909</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56,115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40,663</w:t>
            </w:r>
          </w:p>
        </w:tc>
      </w:tr>
      <w:tr>
        <w:trPr>
          <w:trHeight w:val="20"/>
        </w:trPr>
        <w:tc>
          <w:tcPr>
            <w:tcW w:w="3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256,208</w:t>
            </w:r>
          </w:p>
        </w:tc>
        <w:tc>
          <w:tcPr>
            <w:tcW w:w="240" w:type="dxa"/>
            <w:vAlign w:val="bottom"/>
            <w:tcBorders>
              <w:right w:val="single" w:sz="8" w:color="CCFFCC"/>
            </w:tcBorders>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159,057</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16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95,769</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76,770</w:t>
            </w:r>
          </w:p>
        </w:tc>
        <w:tc>
          <w:tcPr>
            <w:tcW w:w="240" w:type="dxa"/>
            <w:vAlign w:val="bottom"/>
            <w:tcBorders>
              <w:right w:val="single" w:sz="8" w:color="CCFFCC"/>
            </w:tcBorders>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61,488</w:t>
            </w:r>
          </w:p>
        </w:tc>
      </w:tr>
      <w:tr>
        <w:trPr>
          <w:trHeight w:val="20"/>
        </w:trPr>
        <w:tc>
          <w:tcPr>
            <w:tcW w:w="38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Total loans</w:t>
            </w:r>
          </w:p>
        </w:tc>
        <w:tc>
          <w:tcPr>
            <w:tcW w:w="42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4,481,496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4,559,018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4,972,975</w:t>
            </w:r>
          </w:p>
        </w:tc>
        <w:tc>
          <w:tcPr>
            <w:tcW w:w="44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5,877,361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8,183,845</w:t>
            </w:r>
          </w:p>
        </w:tc>
      </w:tr>
      <w:tr>
        <w:trPr>
          <w:trHeight w:val="20"/>
        </w:trPr>
        <w:tc>
          <w:tcPr>
            <w:tcW w:w="3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2"/>
        </w:trPr>
        <w:tc>
          <w:tcPr>
            <w:tcW w:w="388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Past due loan amounts as a percentage of total</w:t>
            </w:r>
          </w:p>
        </w:tc>
        <w:tc>
          <w:tcPr>
            <w:tcW w:w="42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240" w:type="dxa"/>
            <w:vAlign w:val="bottom"/>
            <w:tcBorders>
              <w:right w:val="single" w:sz="8" w:color="CCFFCC"/>
            </w:tcBorders>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240" w:type="dxa"/>
            <w:vAlign w:val="bottom"/>
            <w:tcBorders>
              <w:right w:val="single" w:sz="8" w:color="CCFFCC"/>
            </w:tcBorders>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240" w:type="dxa"/>
            <w:vAlign w:val="bottom"/>
            <w:tcBorders>
              <w:right w:val="single" w:sz="8" w:color="CCFFCC"/>
            </w:tcBorders>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r>
      <w:tr>
        <w:trPr>
          <w:trHeight w:val="230"/>
        </w:trPr>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420" w:type="dxa"/>
            <w:vAlign w:val="bottom"/>
            <w:shd w:val="clear" w:color="auto" w:fill="CCFFCC"/>
          </w:tcPr>
          <w:p>
            <w:pPr>
              <w:spacing w:after="0"/>
              <w:rPr>
                <w:sz w:val="20"/>
                <w:szCs w:val="20"/>
                <w:color w:val="auto"/>
              </w:rPr>
            </w:pP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5.72%</w:t>
            </w:r>
          </w:p>
        </w:tc>
        <w:tc>
          <w:tcPr>
            <w:tcW w:w="38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3.49%</w:t>
            </w:r>
          </w:p>
        </w:tc>
        <w:tc>
          <w:tcPr>
            <w:tcW w:w="360" w:type="dxa"/>
            <w:vAlign w:val="bottom"/>
            <w:shd w:val="clear" w:color="auto" w:fill="CCFFCC"/>
          </w:tcPr>
          <w:p>
            <w:pPr>
              <w:spacing w:after="0"/>
              <w:rPr>
                <w:sz w:val="20"/>
                <w:szCs w:val="20"/>
                <w:color w:val="auto"/>
              </w:rPr>
            </w:pPr>
          </w:p>
        </w:tc>
        <w:tc>
          <w:tcPr>
            <w:tcW w:w="11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FFCC"/>
          </w:tcPr>
          <w:p>
            <w:pPr>
              <w:spacing w:after="0"/>
              <w:rPr>
                <w:sz w:val="20"/>
                <w:szCs w:val="20"/>
                <w:color w:val="auto"/>
              </w:rPr>
            </w:pPr>
          </w:p>
        </w:tc>
        <w:tc>
          <w:tcPr>
            <w:tcW w:w="11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w:t>
            </w:r>
          </w:p>
        </w:tc>
        <w:tc>
          <w:tcPr>
            <w:tcW w:w="42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0.75%</w:t>
            </w:r>
          </w:p>
        </w:tc>
      </w:tr>
    </w:tbl>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 For IFRS 7 disclosure requirements on past due loans, see Note 31.1 to the Credicorp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i w:val="1"/>
          <w:iCs w:val="1"/>
          <w:color w:val="auto"/>
        </w:rPr>
        <w:t>Past Due Loan Portfolio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Credicorp’s past due loan portfolio by type of loan at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0"/>
              </w:rPr>
              <w:t>At December 31,</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Past due loan amounts:</w:t>
            </w: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gridSpan w:val="6"/>
          </w:tcPr>
          <w:p>
            <w:pPr>
              <w:jc w:val="center"/>
              <w:ind w:left="530"/>
              <w:spacing w:after="0"/>
              <w:rPr>
                <w:sz w:val="20"/>
                <w:szCs w:val="20"/>
                <w:color w:val="auto"/>
              </w:rPr>
            </w:pPr>
            <w:r>
              <w:rPr>
                <w:rFonts w:ascii="Arial" w:cs="Arial" w:eastAsia="Arial" w:hAnsi="Arial"/>
                <w:sz w:val="18"/>
                <w:szCs w:val="18"/>
                <w:i w:val="1"/>
                <w:iCs w:val="1"/>
                <w:color w:val="auto"/>
                <w:w w:val="92"/>
              </w:rPr>
              <w:t>(U.S. Dollars 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194,761</w:t>
            </w:r>
          </w:p>
        </w:tc>
        <w:tc>
          <w:tcPr>
            <w:tcW w:w="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5"/>
              </w:rPr>
              <w:t>US$</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85,467</w:t>
            </w:r>
          </w:p>
        </w:tc>
        <w:tc>
          <w:tcPr>
            <w:tcW w:w="12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5"/>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63,889</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85"/>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57,345</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5"/>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48,088</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Discounted notes</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4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 in demand deposits</w:t>
            </w: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3,400</w:t>
            </w:r>
          </w:p>
        </w:tc>
        <w:tc>
          <w:tcPr>
            <w:tcW w:w="4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4,157</w:t>
            </w:r>
          </w:p>
        </w:tc>
        <w:tc>
          <w:tcPr>
            <w:tcW w:w="4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1,844</w:t>
            </w: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Leasing transactions</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8,716</w:t>
            </w:r>
          </w:p>
        </w:tc>
        <w:tc>
          <w:tcPr>
            <w:tcW w:w="4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9,387</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5,237</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Refinanced loans</w:t>
            </w: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47,800</w:t>
            </w:r>
          </w:p>
        </w:tc>
        <w:tc>
          <w:tcPr>
            <w:tcW w:w="4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59,270</w:t>
            </w:r>
          </w:p>
        </w:tc>
        <w:tc>
          <w:tcPr>
            <w:tcW w:w="44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20,932</w:t>
            </w:r>
          </w:p>
        </w:tc>
        <w:tc>
          <w:tcPr>
            <w:tcW w:w="46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11,748</w:t>
            </w: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0"/>
        </w:trPr>
        <w:tc>
          <w:tcPr>
            <w:tcW w:w="42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tcPr>
          <w:p>
            <w:pPr>
              <w:ind w:left="340"/>
              <w:spacing w:after="0"/>
              <w:rPr>
                <w:sz w:val="20"/>
                <w:szCs w:val="20"/>
                <w:color w:val="auto"/>
              </w:rPr>
            </w:pPr>
            <w:r>
              <w:rPr>
                <w:rFonts w:ascii="Arial" w:cs="Arial" w:eastAsia="Arial" w:hAnsi="Arial"/>
                <w:sz w:val="18"/>
                <w:szCs w:val="18"/>
                <w:color w:val="auto"/>
              </w:rPr>
              <w:t>Total past due portfolio</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256,208</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US$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159,057</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95,769</w:t>
            </w:r>
          </w:p>
        </w:tc>
        <w:tc>
          <w:tcPr>
            <w:tcW w:w="1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76,770</w:t>
            </w:r>
          </w:p>
        </w:tc>
        <w:tc>
          <w:tcPr>
            <w:tcW w:w="1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61,488</w:t>
            </w:r>
          </w:p>
        </w:tc>
        <w:tc>
          <w:tcPr>
            <w:tcW w:w="0" w:type="dxa"/>
            <w:vAlign w:val="bottom"/>
          </w:tcPr>
          <w:p>
            <w:pPr>
              <w:spacing w:after="0"/>
              <w:rPr>
                <w:sz w:val="1"/>
                <w:szCs w:val="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Less: Reserves for loan losses(1)</w:t>
            </w: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326,677</w:t>
            </w:r>
          </w:p>
        </w:tc>
        <w:tc>
          <w:tcPr>
            <w:tcW w:w="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5"/>
              </w:rPr>
              <w:t>US$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271,873</w:t>
            </w:r>
          </w:p>
        </w:tc>
        <w:tc>
          <w:tcPr>
            <w:tcW w:w="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5"/>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218,636</w:t>
            </w:r>
          </w:p>
        </w:tc>
        <w:tc>
          <w:tcPr>
            <w:tcW w:w="4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85"/>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210,586</w:t>
            </w:r>
          </w:p>
        </w:tc>
        <w:tc>
          <w:tcPr>
            <w:tcW w:w="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5"/>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229,700</w:t>
            </w:r>
          </w:p>
        </w:tc>
        <w:tc>
          <w:tcPr>
            <w:tcW w:w="0" w:type="dxa"/>
            <w:vAlign w:val="bottom"/>
          </w:tcPr>
          <w:p>
            <w:pPr>
              <w:spacing w:after="0"/>
              <w:rPr>
                <w:sz w:val="1"/>
                <w:szCs w:val="1"/>
                <w:color w:val="auto"/>
              </w:rPr>
            </w:pPr>
          </w:p>
        </w:tc>
      </w:tr>
      <w:tr>
        <w:trPr>
          <w:trHeight w:val="20"/>
        </w:trPr>
        <w:tc>
          <w:tcPr>
            <w:tcW w:w="42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tcPr>
          <w:p>
            <w:pPr>
              <w:spacing w:after="0"/>
              <w:rPr>
                <w:sz w:val="20"/>
                <w:szCs w:val="20"/>
                <w:color w:val="auto"/>
              </w:rPr>
            </w:pPr>
            <w:r>
              <w:rPr>
                <w:rFonts w:ascii="Arial" w:cs="Arial" w:eastAsia="Arial" w:hAnsi="Arial"/>
                <w:sz w:val="18"/>
                <w:szCs w:val="18"/>
                <w:color w:val="auto"/>
              </w:rPr>
              <w:t>Total past due portfolio net of reserves</w:t>
            </w:r>
          </w:p>
        </w:tc>
        <w:tc>
          <w:tcPr>
            <w:tcW w:w="20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 xml:space="preserve">(70,469) </w:t>
            </w: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400" w:type="dxa"/>
            <w:vAlign w:val="bottom"/>
            <w:gridSpan w:val="3"/>
          </w:tcPr>
          <w:p>
            <w:pPr>
              <w:jc w:val="right"/>
              <w:ind w:right="30"/>
              <w:spacing w:after="0"/>
              <w:rPr>
                <w:sz w:val="20"/>
                <w:szCs w:val="20"/>
                <w:color w:val="auto"/>
              </w:rPr>
            </w:pPr>
            <w:r>
              <w:rPr>
                <w:rFonts w:ascii="Arial" w:cs="Arial" w:eastAsia="Arial" w:hAnsi="Arial"/>
                <w:sz w:val="18"/>
                <w:szCs w:val="18"/>
                <w:color w:val="auto"/>
              </w:rPr>
              <w:t>(112,816) US$</w:t>
            </w:r>
          </w:p>
        </w:tc>
        <w:tc>
          <w:tcPr>
            <w:tcW w:w="1440" w:type="dxa"/>
            <w:vAlign w:val="bottom"/>
            <w:gridSpan w:val="3"/>
          </w:tcPr>
          <w:p>
            <w:pPr>
              <w:jc w:val="right"/>
              <w:ind w:right="50"/>
              <w:spacing w:after="0"/>
              <w:rPr>
                <w:sz w:val="20"/>
                <w:szCs w:val="20"/>
                <w:color w:val="auto"/>
              </w:rPr>
            </w:pPr>
            <w:r>
              <w:rPr>
                <w:rFonts w:ascii="Arial" w:cs="Arial" w:eastAsia="Arial" w:hAnsi="Arial"/>
                <w:sz w:val="18"/>
                <w:szCs w:val="18"/>
                <w:color w:val="auto"/>
              </w:rPr>
              <w:t>(122,867) US$</w:t>
            </w: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 xml:space="preserve">(133,816) </w:t>
            </w: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(168,212)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reserves for indirect credits (see -Loan Loss Reserves).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on past due loans and loans in legal collection is recognized when collected. The interest income that would have been recorded for these credits in accordance with the terms of the original contract amount is approximately US$15.0 million and US$28.1 million as of December 31, 2007 and 2006, respectively.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Loan Loss Reserves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Credicorp’s reserves for loan losses and movements at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4"/>
          </w:tcPr>
          <w:p>
            <w:pPr>
              <w:spacing w:after="0"/>
              <w:rPr>
                <w:sz w:val="20"/>
                <w:szCs w:val="20"/>
                <w:color w:val="auto"/>
              </w:rPr>
            </w:pPr>
            <w:r>
              <w:rPr>
                <w:rFonts w:ascii="Arial" w:cs="Arial" w:eastAsia="Arial" w:hAnsi="Arial"/>
                <w:sz w:val="18"/>
                <w:szCs w:val="18"/>
                <w:b w:val="1"/>
                <w:bCs w:val="1"/>
                <w:color w:val="auto"/>
                <w:w w:val="88"/>
              </w:rPr>
              <w:t>Year ended December 31,</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2006</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1"/>
                <w:szCs w:val="21"/>
                <w:color w:val="auto"/>
              </w:rPr>
            </w:pPr>
          </w:p>
        </w:tc>
      </w:tr>
      <w:tr>
        <w:trPr>
          <w:trHeight w:val="210"/>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20" w:type="dxa"/>
            <w:vAlign w:val="bottom"/>
            <w:gridSpan w:val="6"/>
          </w:tcPr>
          <w:p>
            <w:pPr>
              <w:jc w:val="right"/>
              <w:ind w:right="150"/>
              <w:spacing w:after="0"/>
              <w:rPr>
                <w:sz w:val="20"/>
                <w:szCs w:val="20"/>
                <w:color w:val="auto"/>
              </w:rPr>
            </w:pPr>
            <w:r>
              <w:rPr>
                <w:rFonts w:ascii="Arial" w:cs="Arial" w:eastAsia="Arial" w:hAnsi="Arial"/>
                <w:sz w:val="18"/>
                <w:szCs w:val="18"/>
                <w:i w:val="1"/>
                <w:iCs w:val="1"/>
                <w:color w:val="auto"/>
              </w:rPr>
              <w:t>(U.S. Dollars 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w w:val="99"/>
              </w:rPr>
              <w:t>Reserves for loan losses at the beginning of the year</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424,031</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326,677</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271,873</w:t>
            </w:r>
          </w:p>
        </w:tc>
        <w:tc>
          <w:tcPr>
            <w:tcW w:w="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85"/>
              </w:rPr>
              <w:t>US$</w:t>
            </w:r>
          </w:p>
        </w:tc>
        <w:tc>
          <w:tcPr>
            <w:tcW w:w="8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218,636</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210,586</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66,421</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16,131</w:t>
            </w: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(6,356)</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(4,243)</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21"/>
                <w:szCs w:val="21"/>
                <w:color w:val="auto"/>
              </w:rPr>
            </w:pPr>
          </w:p>
        </w:tc>
        <w:tc>
          <w:tcPr>
            <w:tcW w:w="96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21"/>
                <w:szCs w:val="21"/>
                <w:color w:val="auto"/>
              </w:rPr>
            </w:pPr>
          </w:p>
        </w:tc>
        <w:tc>
          <w:tcPr>
            <w:tcW w:w="9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(9,024)</w:t>
            </w:r>
          </w:p>
        </w:tc>
        <w:tc>
          <w:tcPr>
            <w:tcW w:w="540" w:type="dxa"/>
            <w:vAlign w:val="bottom"/>
            <w:shd w:val="clear" w:color="auto" w:fill="CCFFCC"/>
          </w:tcPr>
          <w:p>
            <w:pPr>
              <w:spacing w:after="0"/>
              <w:rPr>
                <w:sz w:val="21"/>
                <w:szCs w:val="21"/>
                <w:color w:val="auto"/>
              </w:rPr>
            </w:pPr>
          </w:p>
        </w:tc>
        <w:tc>
          <w:tcPr>
            <w:tcW w:w="8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17,416</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32,287</w:t>
            </w:r>
          </w:p>
        </w:tc>
        <w:tc>
          <w:tcPr>
            <w:tcW w:w="4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35,032</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44,284</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34,084</w:t>
            </w: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(185,688)</w:t>
            </w:r>
          </w:p>
        </w:tc>
        <w:tc>
          <w:tcPr>
            <w:tcW w:w="440" w:type="dxa"/>
            <w:vAlign w:val="bottom"/>
            <w:shd w:val="clear" w:color="auto" w:fill="CCFFCC"/>
          </w:tcPr>
          <w:p>
            <w:pPr>
              <w:spacing w:after="0"/>
              <w:rPr>
                <w:sz w:val="21"/>
                <w:szCs w:val="21"/>
                <w:color w:val="auto"/>
              </w:rPr>
            </w:pPr>
          </w:p>
        </w:tc>
        <w:tc>
          <w:tcPr>
            <w:tcW w:w="96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(105,267)</w:t>
            </w:r>
          </w:p>
        </w:tc>
        <w:tc>
          <w:tcPr>
            <w:tcW w:w="440" w:type="dxa"/>
            <w:vAlign w:val="bottom"/>
            <w:shd w:val="clear" w:color="auto" w:fill="CCFFCC"/>
          </w:tcPr>
          <w:p>
            <w:pPr>
              <w:spacing w:after="0"/>
              <w:rPr>
                <w:sz w:val="21"/>
                <w:szCs w:val="21"/>
                <w:color w:val="auto"/>
              </w:rPr>
            </w:pPr>
          </w:p>
        </w:tc>
        <w:tc>
          <w:tcPr>
            <w:tcW w:w="9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(71,405)</w:t>
            </w:r>
          </w:p>
        </w:tc>
        <w:tc>
          <w:tcPr>
            <w:tcW w:w="540" w:type="dxa"/>
            <w:vAlign w:val="bottom"/>
            <w:shd w:val="clear" w:color="auto" w:fill="CCFFCC"/>
          </w:tcPr>
          <w:p>
            <w:pPr>
              <w:spacing w:after="0"/>
              <w:rPr>
                <w:sz w:val="21"/>
                <w:szCs w:val="21"/>
                <w:color w:val="auto"/>
              </w:rPr>
            </w:pPr>
          </w:p>
        </w:tc>
        <w:tc>
          <w:tcPr>
            <w:tcW w:w="8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(49,859)</w:t>
            </w:r>
          </w:p>
        </w:tc>
        <w:tc>
          <w:tcPr>
            <w:tcW w:w="4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(47,266)</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c>
          <w:tcPr>
            <w:tcW w:w="5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1,768</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3,857</w:t>
            </w:r>
          </w:p>
        </w:tc>
      </w:tr>
      <w:tr>
        <w:trPr>
          <w:trHeight w:val="20"/>
        </w:trPr>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Total reserves for loan losses at the end of the year</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326,677</w:t>
            </w:r>
          </w:p>
        </w:tc>
        <w:tc>
          <w:tcPr>
            <w:tcW w:w="10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271,873</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218,636</w:t>
            </w:r>
          </w:p>
        </w:tc>
        <w:tc>
          <w:tcPr>
            <w:tcW w:w="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85"/>
              </w:rPr>
              <w:t>US$</w:t>
            </w:r>
          </w:p>
        </w:tc>
        <w:tc>
          <w:tcPr>
            <w:tcW w:w="8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210,586</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229,700</w:t>
            </w:r>
          </w:p>
        </w:tc>
      </w:tr>
      <w:tr>
        <w:trPr>
          <w:trHeight w:val="20"/>
        </w:trPr>
        <w:tc>
          <w:tcPr>
            <w:tcW w:w="4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 Classification of the Loan Portfolio”. Also, as required by IFRS 7, the balance of the reserve for loan losses for the years 2005, 2006 and 2007 are included in Note 7(d) to the Credicorp Consolidated Financial Statements.</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Reserves for loan losses as of December 31, 2007 include US$211.3 million of reserves for credit losses and US$18.4 million of reserves for indirect or contingent credit losses (US$190.3 million and US$20.3 million as of December 31, 2006, respectively). The reserves for indirect credit losses are included in the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caption of Credicorp’s consolidated balance sheet (see Notes 7(d) and 13(a) to the Credicorp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8" w:name="page89"/>
    <w:bookmarkEnd w:id="88"/>
    <w:p>
      <w:pPr>
        <w:jc w:val="center"/>
        <w:ind w:right="60"/>
        <w:spacing w:after="0"/>
        <w:rPr>
          <w:sz w:val="20"/>
          <w:szCs w:val="20"/>
          <w:color w:val="auto"/>
        </w:rPr>
      </w:pPr>
      <w:r>
        <w:rPr>
          <w:rFonts w:ascii="Arial" w:cs="Arial" w:eastAsia="Arial" w:hAnsi="Arial"/>
          <w:sz w:val="18"/>
          <w:szCs w:val="18"/>
          <w:color w:val="auto"/>
        </w:rPr>
        <w:t>The charge-off process is performed with prior approval of the Board of Directors and of SBS, which is considered on a case-by-case basis.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 sells certain of its fully provisioned past due loans to wholly-owned subsidiaries (Soluciones en Procesamiento and BCP Sociedad de Propósito Especial)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 In addition, BCP sells employees’ mortgages loans to its subsidiary Financiera de Crédito Solución.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79"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following table sets forth the amounts of reserves for loan losses attributable to commercial, consumer and residential mortgage loans at the dates indicated (see also Note 7(d) to the Credicorp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6"/>
              </w:rPr>
              <w:t>At December 31,</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2003</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1"/>
                <w:szCs w:val="21"/>
                <w:color w:val="auto"/>
              </w:rPr>
            </w:pPr>
          </w:p>
        </w:tc>
      </w:tr>
      <w:tr>
        <w:trPr>
          <w:trHeight w:val="210"/>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gridSpan w:val="5"/>
          </w:tcPr>
          <w:p>
            <w:pPr>
              <w:ind w:left="620"/>
              <w:spacing w:after="0"/>
              <w:rPr>
                <w:sz w:val="20"/>
                <w:szCs w:val="20"/>
                <w:color w:val="auto"/>
              </w:rPr>
            </w:pPr>
            <w:r>
              <w:rPr>
                <w:rFonts w:ascii="Arial" w:cs="Arial" w:eastAsia="Arial" w:hAnsi="Arial"/>
                <w:sz w:val="18"/>
                <w:szCs w:val="18"/>
                <w:i w:val="1"/>
                <w:iCs w:val="1"/>
                <w:color w:val="auto"/>
                <w:w w:val="99"/>
              </w:rPr>
              <w:t>(U.S. Dollars in thousands)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62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96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287,784</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236,419</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196,059</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183,374</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184,584</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Consumer loans</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14,479</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14,079</w:t>
            </w:r>
          </w:p>
        </w:tc>
        <w:tc>
          <w:tcPr>
            <w:tcW w:w="4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14,409</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17,959</w:t>
            </w: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30,662</w:t>
            </w:r>
          </w:p>
        </w:tc>
      </w:tr>
      <w:tr>
        <w:trPr>
          <w:trHeight w:val="250"/>
        </w:trPr>
        <w:tc>
          <w:tcPr>
            <w:tcW w:w="4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2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24,414</w:t>
            </w:r>
          </w:p>
        </w:tc>
        <w:tc>
          <w:tcPr>
            <w:tcW w:w="42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21,375</w:t>
            </w:r>
          </w:p>
        </w:tc>
        <w:tc>
          <w:tcPr>
            <w:tcW w:w="4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8,528</w:t>
            </w:r>
          </w:p>
        </w:tc>
        <w:tc>
          <w:tcPr>
            <w:tcW w:w="42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9,253</w:t>
            </w:r>
          </w:p>
        </w:tc>
        <w:tc>
          <w:tcPr>
            <w:tcW w:w="42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14,454</w:t>
            </w:r>
          </w:p>
        </w:tc>
      </w:tr>
      <w:tr>
        <w:trPr>
          <w:trHeight w:val="20"/>
        </w:trPr>
        <w:tc>
          <w:tcPr>
            <w:tcW w:w="42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Borders>
              <w:right w:val="single" w:sz="8" w:color="CCFFCC"/>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Total reserves</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326,677</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271,873</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218,636</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210,586</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229,700</w:t>
            </w: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9" w:name="page90"/>
    <w:bookmarkEnd w:id="89"/>
    <w:p>
      <w:pPr>
        <w:ind w:left="1300" w:hanging="482"/>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Credicorp’s deposit base at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At December 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1"/>
                <w:szCs w:val="21"/>
                <w:color w:val="auto"/>
              </w:rPr>
            </w:pPr>
          </w:p>
        </w:tc>
      </w:tr>
      <w:tr>
        <w:trPr>
          <w:trHeight w:val="210"/>
        </w:trPr>
        <w:tc>
          <w:tcPr>
            <w:tcW w:w="5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8"/>
                <w:szCs w:val="18"/>
                <w:i w:val="1"/>
                <w:iCs w:val="1"/>
                <w:color w:val="auto"/>
                <w:w w:val="92"/>
              </w:rPr>
              <w:t>(U.S. Dollars in thousands)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Nuevo Sol-denominated</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725,878</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996,246</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1,457,155</w:t>
            </w:r>
          </w:p>
        </w:tc>
      </w:tr>
      <w:tr>
        <w:trPr>
          <w:trHeight w:val="243"/>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Foreign Currency-denominated</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1,075,436</w:t>
            </w: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1,796,187</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2,507,346</w:t>
            </w:r>
          </w:p>
        </w:tc>
      </w:tr>
      <w:tr>
        <w:trPr>
          <w:trHeight w:val="20"/>
        </w:trPr>
        <w:tc>
          <w:tcPr>
            <w:tcW w:w="524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1,801,314</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2,792,433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3,964,501</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Nuevo Sol-denominated</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483,695</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610,292</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877,205</w:t>
            </w:r>
          </w:p>
        </w:tc>
      </w:tr>
      <w:tr>
        <w:trPr>
          <w:trHeight w:val="243"/>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Foreign Currency-denominated</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1,621,669</w:t>
            </w: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1,341,686</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1,503,699</w:t>
            </w:r>
          </w:p>
        </w:tc>
      </w:tr>
      <w:tr>
        <w:trPr>
          <w:trHeight w:val="20"/>
        </w:trPr>
        <w:tc>
          <w:tcPr>
            <w:tcW w:w="524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2,105,364</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1,951,978</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2,380,904</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Nuevo Sol-denominated</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391,374</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862,901</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1,391,008</w:t>
            </w:r>
          </w:p>
        </w:tc>
      </w:tr>
      <w:tr>
        <w:trPr>
          <w:trHeight w:val="243"/>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Foreign Currency-denominated</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2,068,533</w:t>
            </w: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2,355,256</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2,576,856</w:t>
            </w:r>
          </w:p>
        </w:tc>
      </w:tr>
      <w:tr>
        <w:trPr>
          <w:trHeight w:val="20"/>
        </w:trPr>
        <w:tc>
          <w:tcPr>
            <w:tcW w:w="524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2,459,907</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3,218,157</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3,967,864</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w w:val="97"/>
              </w:rPr>
              <w:t>Foreign Currency Bank Certificates Foreign Currency-denominated</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46,378</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61,539</w:t>
            </w:r>
          </w:p>
        </w:tc>
        <w:tc>
          <w:tcPr>
            <w:tcW w:w="6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90,119</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Severance Indemnity Deposits (CTS):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Nuevo Sol-denominated</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70,435</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103,282</w:t>
            </w:r>
          </w:p>
        </w:tc>
        <w:tc>
          <w:tcPr>
            <w:tcW w:w="6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149,308</w:t>
            </w: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Foreign Currency-denominated</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584,356</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746,975</w:t>
            </w:r>
          </w:p>
        </w:tc>
      </w:tr>
      <w:tr>
        <w:trPr>
          <w:trHeight w:val="20"/>
        </w:trPr>
        <w:tc>
          <w:tcPr>
            <w:tcW w:w="5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654,791</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775,027</w:t>
            </w:r>
          </w:p>
        </w:tc>
        <w:tc>
          <w:tcPr>
            <w:tcW w:w="6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896,283</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Total deposits: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Nuevo Sol-denominated</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1,671,382</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2,572,721</w:t>
            </w:r>
          </w:p>
        </w:tc>
        <w:tc>
          <w:tcPr>
            <w:tcW w:w="6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3,874,676</w:t>
            </w: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Foreign Currency-denominated</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5,396,372</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6,226,413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7,424,995</w:t>
            </w:r>
          </w:p>
        </w:tc>
      </w:tr>
      <w:tr>
        <w:trPr>
          <w:trHeight w:val="20"/>
        </w:trPr>
        <w:tc>
          <w:tcPr>
            <w:tcW w:w="5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52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7,067,754</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8,799,134</w:t>
            </w:r>
          </w:p>
        </w:tc>
        <w:tc>
          <w:tcPr>
            <w:tcW w:w="6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11,299,671</w:t>
            </w:r>
          </w:p>
        </w:tc>
      </w:tr>
      <w:tr>
        <w:trPr>
          <w:trHeight w:val="20"/>
        </w:trPr>
        <w:tc>
          <w:tcPr>
            <w:tcW w:w="5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regarding the maturity of Credicorp’s time deposits in denominations of US$100,000 or more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320" w:type="dxa"/>
            <w:vAlign w:val="bottom"/>
          </w:tcPr>
          <w:p>
            <w:pPr>
              <w:jc w:val="right"/>
              <w:ind w:right="510"/>
              <w:spacing w:after="0"/>
              <w:rPr>
                <w:sz w:val="20"/>
                <w:szCs w:val="20"/>
                <w:color w:val="auto"/>
              </w:rPr>
            </w:pPr>
            <w:r>
              <w:rPr>
                <w:rFonts w:ascii="Arial" w:cs="Arial" w:eastAsia="Arial" w:hAnsi="Arial"/>
                <w:sz w:val="18"/>
                <w:szCs w:val="18"/>
                <w:color w:val="auto"/>
                <w:w w:val="94"/>
              </w:rPr>
              <w:t>At December 31, 2007</w:t>
            </w:r>
          </w:p>
        </w:tc>
      </w:tr>
      <w:tr>
        <w:trPr>
          <w:trHeight w:val="243"/>
        </w:trPr>
        <w:tc>
          <w:tcPr>
            <w:tcW w:w="14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7020" w:type="dxa"/>
            <w:vAlign w:val="bottom"/>
            <w:gridSpan w:val="2"/>
          </w:tcPr>
          <w:p>
            <w:pPr>
              <w:ind w:left="4300"/>
              <w:spacing w:after="0"/>
              <w:rPr>
                <w:sz w:val="20"/>
                <w:szCs w:val="20"/>
                <w:color w:val="auto"/>
              </w:rPr>
            </w:pPr>
            <w:r>
              <w:rPr>
                <w:rFonts w:ascii="Arial" w:cs="Arial" w:eastAsia="Arial" w:hAnsi="Arial"/>
                <w:sz w:val="18"/>
                <w:szCs w:val="18"/>
                <w:color w:val="auto"/>
              </w:rPr>
              <w:t>(U.S. Dollars in thousands)</w:t>
            </w:r>
          </w:p>
        </w:tc>
      </w:tr>
      <w:tr>
        <w:trPr>
          <w:trHeight w:val="243"/>
        </w:trPr>
        <w:tc>
          <w:tcPr>
            <w:tcW w:w="4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spacing w:after="0"/>
              <w:rPr>
                <w:sz w:val="21"/>
                <w:szCs w:val="21"/>
                <w:color w:val="auto"/>
              </w:rPr>
            </w:pPr>
          </w:p>
        </w:tc>
      </w:tr>
      <w:tr>
        <w:trPr>
          <w:trHeight w:val="243"/>
        </w:trPr>
        <w:tc>
          <w:tcPr>
            <w:tcW w:w="4400" w:type="dxa"/>
            <w:vAlign w:val="bottom"/>
            <w:gridSpan w:val="2"/>
          </w:tcPr>
          <w:p>
            <w:pPr>
              <w:ind w:left="340"/>
              <w:spacing w:after="0"/>
              <w:rPr>
                <w:sz w:val="20"/>
                <w:szCs w:val="20"/>
                <w:color w:val="auto"/>
              </w:rPr>
            </w:pPr>
            <w:r>
              <w:rPr>
                <w:rFonts w:ascii="Arial" w:cs="Arial" w:eastAsia="Arial" w:hAnsi="Arial"/>
                <w:sz w:val="18"/>
                <w:szCs w:val="18"/>
                <w:color w:val="auto"/>
              </w:rPr>
              <w:t>Maturing within 30 days</w:t>
            </w:r>
          </w:p>
        </w:tc>
        <w:tc>
          <w:tcPr>
            <w:tcW w:w="4700" w:type="dxa"/>
            <w:vAlign w:val="bottom"/>
          </w:tcPr>
          <w:p>
            <w:pPr>
              <w:ind w:left="4300"/>
              <w:spacing w:after="0"/>
              <w:rPr>
                <w:sz w:val="20"/>
                <w:szCs w:val="20"/>
                <w:color w:val="auto"/>
              </w:rPr>
            </w:pPr>
            <w:r>
              <w:rPr>
                <w:rFonts w:ascii="Arial" w:cs="Arial" w:eastAsia="Arial" w:hAnsi="Arial"/>
                <w:sz w:val="18"/>
                <w:szCs w:val="18"/>
                <w:color w:val="auto"/>
              </w:rPr>
              <w:t>US$</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3,949</w:t>
            </w:r>
          </w:p>
        </w:tc>
      </w:tr>
      <w:tr>
        <w:trPr>
          <w:trHeight w:val="243"/>
        </w:trPr>
        <w:tc>
          <w:tcPr>
            <w:tcW w:w="140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30 but within 60 days</w:t>
            </w: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1,853</w:t>
            </w:r>
          </w:p>
        </w:tc>
      </w:tr>
      <w:tr>
        <w:trPr>
          <w:trHeight w:val="243"/>
        </w:trPr>
        <w:tc>
          <w:tcPr>
            <w:tcW w:w="1400" w:type="dxa"/>
            <w:vAlign w:val="bottom"/>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tcPr>
          <w:p>
            <w:pPr>
              <w:ind w:left="20"/>
              <w:spacing w:after="0"/>
              <w:rPr>
                <w:sz w:val="20"/>
                <w:szCs w:val="20"/>
                <w:color w:val="auto"/>
              </w:rPr>
            </w:pPr>
            <w:r>
              <w:rPr>
                <w:rFonts w:ascii="Arial" w:cs="Arial" w:eastAsia="Arial" w:hAnsi="Arial"/>
                <w:sz w:val="18"/>
                <w:szCs w:val="18"/>
                <w:color w:val="auto"/>
              </w:rPr>
              <w:t>60 but within 90 days</w:t>
            </w:r>
          </w:p>
        </w:tc>
        <w:tc>
          <w:tcPr>
            <w:tcW w:w="47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1,421</w:t>
            </w:r>
          </w:p>
        </w:tc>
      </w:tr>
      <w:tr>
        <w:trPr>
          <w:trHeight w:val="243"/>
        </w:trPr>
        <w:tc>
          <w:tcPr>
            <w:tcW w:w="140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90 but within 180 days</w:t>
            </w: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9,449</w:t>
            </w:r>
          </w:p>
        </w:tc>
      </w:tr>
      <w:tr>
        <w:trPr>
          <w:trHeight w:val="243"/>
        </w:trPr>
        <w:tc>
          <w:tcPr>
            <w:tcW w:w="1400" w:type="dxa"/>
            <w:vAlign w:val="bottom"/>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tcPr>
          <w:p>
            <w:pPr>
              <w:ind w:left="20"/>
              <w:spacing w:after="0"/>
              <w:rPr>
                <w:sz w:val="20"/>
                <w:szCs w:val="20"/>
                <w:color w:val="auto"/>
              </w:rPr>
            </w:pPr>
            <w:r>
              <w:rPr>
                <w:rFonts w:ascii="Arial" w:cs="Arial" w:eastAsia="Arial" w:hAnsi="Arial"/>
                <w:sz w:val="18"/>
                <w:szCs w:val="18"/>
                <w:color w:val="auto"/>
              </w:rPr>
              <w:t>180 but within 360 days</w:t>
            </w:r>
          </w:p>
        </w:tc>
        <w:tc>
          <w:tcPr>
            <w:tcW w:w="47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4,045</w:t>
            </w:r>
          </w:p>
        </w:tc>
      </w:tr>
      <w:tr>
        <w:trPr>
          <w:trHeight w:val="243"/>
        </w:trPr>
        <w:tc>
          <w:tcPr>
            <w:tcW w:w="140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360 days</w:t>
            </w: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32,655</w:t>
            </w:r>
          </w:p>
        </w:tc>
      </w:tr>
      <w:tr>
        <w:trPr>
          <w:trHeight w:val="270"/>
        </w:trPr>
        <w:tc>
          <w:tcPr>
            <w:tcW w:w="4400" w:type="dxa"/>
            <w:vAlign w:val="bottom"/>
            <w:gridSpan w:val="2"/>
          </w:tcPr>
          <w:p>
            <w:pPr>
              <w:spacing w:after="0"/>
              <w:rPr>
                <w:sz w:val="20"/>
                <w:szCs w:val="20"/>
                <w:color w:val="auto"/>
              </w:rPr>
            </w:pPr>
            <w:r>
              <w:rPr>
                <w:rFonts w:ascii="Arial" w:cs="Arial" w:eastAsia="Arial" w:hAnsi="Arial"/>
                <w:sz w:val="18"/>
                <w:szCs w:val="18"/>
                <w:color w:val="auto"/>
              </w:rPr>
              <w:t>Total certificates of deposits</w:t>
            </w:r>
          </w:p>
        </w:tc>
        <w:tc>
          <w:tcPr>
            <w:tcW w:w="4700" w:type="dxa"/>
            <w:vAlign w:val="bottom"/>
          </w:tcPr>
          <w:p>
            <w:pPr>
              <w:ind w:left="4300"/>
              <w:spacing w:after="0"/>
              <w:rPr>
                <w:sz w:val="20"/>
                <w:szCs w:val="20"/>
                <w:color w:val="auto"/>
              </w:rPr>
            </w:pPr>
            <w:r>
              <w:rPr>
                <w:rFonts w:ascii="Arial" w:cs="Arial" w:eastAsia="Arial" w:hAnsi="Arial"/>
                <w:sz w:val="18"/>
                <w:szCs w:val="18"/>
                <w:color w:val="auto"/>
              </w:rPr>
              <w:t>US$</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53,372</w:t>
            </w:r>
          </w:p>
        </w:tc>
      </w:tr>
      <w:tr>
        <w:trPr>
          <w:trHeight w:val="243"/>
        </w:trPr>
        <w:tc>
          <w:tcPr>
            <w:tcW w:w="14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3000" w:type="dxa"/>
            <w:vAlign w:val="bottom"/>
            <w:shd w:val="clear" w:color="auto" w:fill="CCFFCC"/>
          </w:tcPr>
          <w:p>
            <w:pPr>
              <w:spacing w:after="0"/>
              <w:rPr>
                <w:sz w:val="21"/>
                <w:szCs w:val="21"/>
                <w:color w:val="auto"/>
              </w:rPr>
            </w:pP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spacing w:after="0"/>
              <w:rPr>
                <w:sz w:val="21"/>
                <w:szCs w:val="21"/>
                <w:color w:val="auto"/>
              </w:rPr>
            </w:pPr>
          </w:p>
        </w:tc>
      </w:tr>
      <w:tr>
        <w:trPr>
          <w:trHeight w:val="243"/>
        </w:trPr>
        <w:tc>
          <w:tcPr>
            <w:tcW w:w="4400" w:type="dxa"/>
            <w:vAlign w:val="bottom"/>
            <w:gridSpan w:val="2"/>
          </w:tcPr>
          <w:p>
            <w:pPr>
              <w:ind w:left="340"/>
              <w:spacing w:after="0"/>
              <w:rPr>
                <w:sz w:val="20"/>
                <w:szCs w:val="20"/>
                <w:color w:val="auto"/>
              </w:rPr>
            </w:pPr>
            <w:r>
              <w:rPr>
                <w:rFonts w:ascii="Arial" w:cs="Arial" w:eastAsia="Arial" w:hAnsi="Arial"/>
                <w:sz w:val="18"/>
                <w:szCs w:val="18"/>
                <w:color w:val="auto"/>
              </w:rPr>
              <w:t>Maturing within 30 days</w:t>
            </w:r>
          </w:p>
        </w:tc>
        <w:tc>
          <w:tcPr>
            <w:tcW w:w="4700" w:type="dxa"/>
            <w:vAlign w:val="bottom"/>
          </w:tcPr>
          <w:p>
            <w:pPr>
              <w:ind w:left="4300"/>
              <w:spacing w:after="0"/>
              <w:rPr>
                <w:sz w:val="20"/>
                <w:szCs w:val="20"/>
                <w:color w:val="auto"/>
              </w:rPr>
            </w:pPr>
            <w:r>
              <w:rPr>
                <w:rFonts w:ascii="Arial" w:cs="Arial" w:eastAsia="Arial" w:hAnsi="Arial"/>
                <w:sz w:val="18"/>
                <w:szCs w:val="18"/>
                <w:color w:val="auto"/>
              </w:rPr>
              <w:t>US$</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1,939,402</w:t>
            </w:r>
          </w:p>
        </w:tc>
      </w:tr>
      <w:tr>
        <w:trPr>
          <w:trHeight w:val="243"/>
        </w:trPr>
        <w:tc>
          <w:tcPr>
            <w:tcW w:w="140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30 but within 60 days</w:t>
            </w: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428,989</w:t>
            </w:r>
          </w:p>
        </w:tc>
      </w:tr>
      <w:tr>
        <w:trPr>
          <w:trHeight w:val="243"/>
        </w:trPr>
        <w:tc>
          <w:tcPr>
            <w:tcW w:w="1400" w:type="dxa"/>
            <w:vAlign w:val="bottom"/>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tcPr>
          <w:p>
            <w:pPr>
              <w:ind w:left="20"/>
              <w:spacing w:after="0"/>
              <w:rPr>
                <w:sz w:val="20"/>
                <w:szCs w:val="20"/>
                <w:color w:val="auto"/>
              </w:rPr>
            </w:pPr>
            <w:r>
              <w:rPr>
                <w:rFonts w:ascii="Arial" w:cs="Arial" w:eastAsia="Arial" w:hAnsi="Arial"/>
                <w:sz w:val="18"/>
                <w:szCs w:val="18"/>
                <w:color w:val="auto"/>
              </w:rPr>
              <w:t>60 but within 90 days</w:t>
            </w:r>
          </w:p>
        </w:tc>
        <w:tc>
          <w:tcPr>
            <w:tcW w:w="47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324,879</w:t>
            </w:r>
          </w:p>
        </w:tc>
      </w:tr>
      <w:tr>
        <w:trPr>
          <w:trHeight w:val="243"/>
        </w:trPr>
        <w:tc>
          <w:tcPr>
            <w:tcW w:w="140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90 but within 180 days</w:t>
            </w: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338,271</w:t>
            </w:r>
          </w:p>
        </w:tc>
      </w:tr>
      <w:tr>
        <w:trPr>
          <w:trHeight w:val="243"/>
        </w:trPr>
        <w:tc>
          <w:tcPr>
            <w:tcW w:w="1400" w:type="dxa"/>
            <w:vAlign w:val="bottom"/>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tcPr>
          <w:p>
            <w:pPr>
              <w:ind w:left="20"/>
              <w:spacing w:after="0"/>
              <w:rPr>
                <w:sz w:val="20"/>
                <w:szCs w:val="20"/>
                <w:color w:val="auto"/>
              </w:rPr>
            </w:pPr>
            <w:r>
              <w:rPr>
                <w:rFonts w:ascii="Arial" w:cs="Arial" w:eastAsia="Arial" w:hAnsi="Arial"/>
                <w:sz w:val="18"/>
                <w:szCs w:val="18"/>
                <w:color w:val="auto"/>
              </w:rPr>
              <w:t>180 but within 360 days</w:t>
            </w:r>
          </w:p>
        </w:tc>
        <w:tc>
          <w:tcPr>
            <w:tcW w:w="47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315,006</w:t>
            </w:r>
          </w:p>
        </w:tc>
      </w:tr>
      <w:tr>
        <w:trPr>
          <w:trHeight w:val="243"/>
        </w:trPr>
        <w:tc>
          <w:tcPr>
            <w:tcW w:w="140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3"/>
              </w:rPr>
              <w:t>Maturing after</w:t>
            </w:r>
          </w:p>
        </w:tc>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360 days</w:t>
            </w:r>
          </w:p>
        </w:tc>
        <w:tc>
          <w:tcPr>
            <w:tcW w:w="4700" w:type="dxa"/>
            <w:vAlign w:val="bottom"/>
            <w:shd w:val="clear" w:color="auto" w:fill="CCFFCC"/>
          </w:tcPr>
          <w:p>
            <w:pPr>
              <w:spacing w:after="0"/>
              <w:rPr>
                <w:sz w:val="21"/>
                <w:szCs w:val="21"/>
                <w:color w:val="auto"/>
              </w:rPr>
            </w:pPr>
          </w:p>
        </w:tc>
        <w:tc>
          <w:tcPr>
            <w:tcW w:w="2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306,398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w w:val="91"/>
              </w:rPr>
              <w:t>Total time deposits</w:t>
            </w:r>
          </w:p>
        </w:tc>
        <w:tc>
          <w:tcPr>
            <w:tcW w:w="3000" w:type="dxa"/>
            <w:vAlign w:val="bottom"/>
          </w:tcPr>
          <w:p>
            <w:pPr>
              <w:spacing w:after="0"/>
              <w:rPr>
                <w:sz w:val="23"/>
                <w:szCs w:val="23"/>
                <w:color w:val="auto"/>
              </w:rPr>
            </w:pPr>
          </w:p>
        </w:tc>
        <w:tc>
          <w:tcPr>
            <w:tcW w:w="4700" w:type="dxa"/>
            <w:vAlign w:val="bottom"/>
          </w:tcPr>
          <w:p>
            <w:pPr>
              <w:ind w:left="4300"/>
              <w:spacing w:after="0"/>
              <w:rPr>
                <w:sz w:val="20"/>
                <w:szCs w:val="20"/>
                <w:color w:val="auto"/>
              </w:rPr>
            </w:pPr>
            <w:r>
              <w:rPr>
                <w:rFonts w:ascii="Arial" w:cs="Arial" w:eastAsia="Arial" w:hAnsi="Arial"/>
                <w:sz w:val="18"/>
                <w:szCs w:val="18"/>
                <w:color w:val="auto"/>
              </w:rPr>
              <w:t>US$</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3,652,945</w:t>
            </w:r>
          </w:p>
        </w:tc>
      </w:tr>
      <w:tr>
        <w:trPr>
          <w:trHeight w:val="243"/>
        </w:trPr>
        <w:tc>
          <w:tcPr>
            <w:tcW w:w="1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CFFCC"/>
          </w:tcPr>
          <w:p>
            <w:pPr>
              <w:spacing w:after="0"/>
              <w:rPr>
                <w:sz w:val="21"/>
                <w:szCs w:val="21"/>
                <w:color w:val="auto"/>
              </w:rPr>
            </w:pPr>
          </w:p>
        </w:tc>
        <w:tc>
          <w:tcPr>
            <w:tcW w:w="4700" w:type="dxa"/>
            <w:vAlign w:val="bottom"/>
            <w:shd w:val="clear" w:color="auto" w:fill="CCFFCC"/>
          </w:tcPr>
          <w:p>
            <w:pPr>
              <w:ind w:left="4300"/>
              <w:spacing w:after="0"/>
              <w:rPr>
                <w:sz w:val="20"/>
                <w:szCs w:val="20"/>
                <w:color w:val="auto"/>
              </w:rPr>
            </w:pPr>
            <w:r>
              <w:rPr>
                <w:rFonts w:ascii="Arial" w:cs="Arial" w:eastAsia="Arial" w:hAnsi="Arial"/>
                <w:sz w:val="18"/>
                <w:szCs w:val="18"/>
                <w:color w:val="auto"/>
              </w:rPr>
              <w:t>US$</w:t>
            </w:r>
          </w:p>
        </w:tc>
        <w:tc>
          <w:tcPr>
            <w:tcW w:w="2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3,706,317</w:t>
            </w:r>
          </w:p>
        </w:tc>
      </w:tr>
      <w:tr>
        <w:trPr>
          <w:trHeight w:val="486"/>
        </w:trPr>
        <w:tc>
          <w:tcPr>
            <w:tcW w:w="1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00" w:type="dxa"/>
            <w:vAlign w:val="bottom"/>
          </w:tcPr>
          <w:p>
            <w:pPr>
              <w:ind w:left="1220"/>
              <w:spacing w:after="0"/>
              <w:rPr>
                <w:sz w:val="20"/>
                <w:szCs w:val="20"/>
                <w:color w:val="auto"/>
              </w:rPr>
            </w:pPr>
            <w:r>
              <w:rPr>
                <w:rFonts w:ascii="Arial" w:cs="Arial" w:eastAsia="Arial" w:hAnsi="Arial"/>
                <w:sz w:val="18"/>
                <w:szCs w:val="18"/>
                <w:color w:val="auto"/>
              </w:rPr>
              <w:t>87</w:t>
            </w:r>
          </w:p>
        </w:tc>
        <w:tc>
          <w:tcPr>
            <w:tcW w:w="2320" w:type="dxa"/>
            <w:vAlign w:val="bottom"/>
          </w:tcPr>
          <w:p>
            <w:pPr>
              <w:spacing w:after="0"/>
              <w:rPr>
                <w:sz w:val="24"/>
                <w:szCs w:val="24"/>
                <w:color w:val="auto"/>
              </w:rPr>
            </w:pPr>
          </w:p>
        </w:tc>
      </w:tr>
      <w:tr>
        <w:trPr>
          <w:trHeight w:val="118"/>
        </w:trPr>
        <w:tc>
          <w:tcPr>
            <w:tcW w:w="140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0" w:name="page91"/>
    <w:bookmarkEnd w:id="90"/>
    <w:p>
      <w:pPr>
        <w:ind w:left="130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Return on Equity and Assets</w:t>
      </w:r>
    </w:p>
    <w:p>
      <w:pPr>
        <w:spacing w:after="0" w:line="387"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17145</wp:posOffset>
            </wp:positionV>
            <wp:extent cx="28644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5000"/>
              <w:spacing w:after="0"/>
              <w:rPr>
                <w:sz w:val="20"/>
                <w:szCs w:val="20"/>
                <w:color w:val="auto"/>
              </w:rPr>
            </w:pPr>
            <w:r>
              <w:rPr>
                <w:rFonts w:ascii="Arial" w:cs="Arial" w:eastAsia="Arial" w:hAnsi="Arial"/>
                <w:sz w:val="18"/>
                <w:szCs w:val="18"/>
                <w:b w:val="1"/>
                <w:bCs w:val="1"/>
                <w:color w:val="auto"/>
                <w:w w:val="84"/>
              </w:rPr>
              <w:t>2005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r>
      <w:tr>
        <w:trPr>
          <w:trHeight w:val="237"/>
        </w:trPr>
        <w:tc>
          <w:tcPr>
            <w:tcW w:w="44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5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1.92%</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2.29%</w:t>
            </w:r>
          </w:p>
        </w:tc>
      </w:tr>
      <w:tr>
        <w:trPr>
          <w:trHeight w:val="243"/>
        </w:trPr>
        <w:tc>
          <w:tcPr>
            <w:tcW w:w="4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5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8"/>
              </w:rPr>
              <w:t>16.39%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18.47%</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22.67%</w:t>
            </w:r>
          </w:p>
        </w:tc>
      </w:tr>
      <w:tr>
        <w:trPr>
          <w:trHeight w:val="243"/>
        </w:trPr>
        <w:tc>
          <w:tcPr>
            <w:tcW w:w="4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5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8"/>
              </w:rPr>
              <w:t>48.24%</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45.08%</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34.11%</w:t>
            </w:r>
          </w:p>
        </w:tc>
      </w:tr>
      <w:tr>
        <w:trPr>
          <w:trHeight w:val="243"/>
        </w:trPr>
        <w:tc>
          <w:tcPr>
            <w:tcW w:w="4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5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to assets ratio (4)</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8"/>
              </w:rPr>
              <w:t>12.37%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11.61%</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10.80%</w:t>
            </w:r>
          </w:p>
        </w:tc>
      </w:tr>
      <w:tr>
        <w:trPr>
          <w:trHeight w:val="243"/>
        </w:trPr>
        <w:tc>
          <w:tcPr>
            <w:tcW w:w="4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5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88"/>
              </w:rPr>
              <w:t>11.41%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10.70%</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right="260" w:hanging="332"/>
        <w:spacing w:after="0" w:line="25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total assets, computed as the average of period beginning and period ending balances.</w:t>
      </w:r>
    </w:p>
    <w:p>
      <w:pPr>
        <w:spacing w:after="0" w:line="1"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net equity attributable to Credicorp’s equity holders, computed as the average of monthly balances.</w:t>
      </w: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Credicorp’s equity holders per share.</w:t>
      </w:r>
    </w:p>
    <w:p>
      <w:pPr>
        <w:spacing w:after="0" w:line="9" w:lineRule="exact"/>
        <w:rPr>
          <w:rFonts w:ascii="Arial" w:cs="Arial" w:eastAsia="Arial" w:hAnsi="Arial"/>
          <w:sz w:val="18"/>
          <w:szCs w:val="18"/>
          <w:color w:val="auto"/>
        </w:rPr>
      </w:pPr>
    </w:p>
    <w:p>
      <w:pPr>
        <w:ind w:left="340" w:right="600" w:hanging="332"/>
        <w:spacing w:after="0" w:line="250"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Average equity attributable to Credicorp’s equity holders divided by average total assets, both averages computed as the average of month-ending balances.</w:t>
      </w:r>
    </w:p>
    <w:p>
      <w:pPr>
        <w:ind w:left="340" w:right="220" w:hanging="332"/>
        <w:spacing w:after="0" w:line="261"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Average equity attributable to Credicorp’s equity shareholders divided by average total assets, both averages computed as the average of month-ending balances.</w:t>
      </w:r>
    </w:p>
    <w:p>
      <w:pPr>
        <w:spacing w:after="0" w:line="274" w:lineRule="exact"/>
        <w:rPr>
          <w:sz w:val="20"/>
          <w:szCs w:val="20"/>
          <w:color w:val="auto"/>
        </w:rPr>
      </w:pPr>
    </w:p>
    <w:p>
      <w:pPr>
        <w:ind w:left="1460" w:hanging="804"/>
        <w:spacing w:after="0"/>
        <w:tabs>
          <w:tab w:leader="none" w:pos="1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short-term borrowings, other than deposits, amounted to US$878.2 million, US$360.8 million and US$775.7 million as of December 31, 2005, 2006 and 2007, respectively. Average balances of borrowed amounts increased in 2007 due to higher loans received to finance trade operations. The outstanding balance on December 31, 2005 includes BCRP-Repo transactions entered into with the Central Bank, representing US$510.6 million, which earned annual interest rates between 3.23% and 3.32%, with 3 day maturities. As of December 31, 2006 and 2007, no BCRP-Repo transactions exist in the outstanding balance.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Credicorp’s short-term borrowings:</w:t>
      </w:r>
    </w:p>
    <w:p>
      <w:pPr>
        <w:spacing w:after="0" w:line="30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At December 31,</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16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r>
      <w:tr>
        <w:trPr>
          <w:trHeight w:val="237"/>
        </w:trPr>
        <w:tc>
          <w:tcPr>
            <w:tcW w:w="1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gridSpan w:val="6"/>
          </w:tcPr>
          <w:p>
            <w:pPr>
              <w:jc w:val="center"/>
              <w:ind w:left="570"/>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1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3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6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878,237</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360,801</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878,183</w:t>
            </w:r>
          </w:p>
        </w:tc>
      </w:tr>
      <w:tr>
        <w:trPr>
          <w:trHeight w:val="243"/>
        </w:trPr>
        <w:tc>
          <w:tcPr>
            <w:tcW w:w="1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3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6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307,930</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479,657</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247,437</w:t>
            </w:r>
          </w:p>
        </w:tc>
      </w:tr>
      <w:tr>
        <w:trPr>
          <w:trHeight w:val="243"/>
        </w:trPr>
        <w:tc>
          <w:tcPr>
            <w:tcW w:w="1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3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6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878,237</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792,609</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878,183</w:t>
            </w:r>
          </w:p>
        </w:tc>
      </w:tr>
      <w:tr>
        <w:trPr>
          <w:trHeight w:val="243"/>
        </w:trPr>
        <w:tc>
          <w:tcPr>
            <w:tcW w:w="1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364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2"/>
              </w:rPr>
              <w:t>Weighted average nominal Year-end interest rate</w:t>
            </w:r>
          </w:p>
        </w:tc>
        <w:tc>
          <w:tcPr>
            <w:tcW w:w="16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4.38%</w:t>
            </w:r>
          </w:p>
        </w:tc>
        <w:tc>
          <w:tcPr>
            <w:tcW w:w="46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5.00%</w:t>
            </w: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4.70%</w:t>
            </w:r>
          </w:p>
        </w:tc>
      </w:tr>
      <w:tr>
        <w:trPr>
          <w:trHeight w:val="243"/>
        </w:trPr>
        <w:tc>
          <w:tcPr>
            <w:tcW w:w="16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3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 average nominal Interest rate</w:t>
            </w:r>
          </w:p>
        </w:tc>
        <w:tc>
          <w:tcPr>
            <w:tcW w:w="16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4.69%</w:t>
            </w:r>
          </w:p>
        </w:tc>
        <w:tc>
          <w:tcPr>
            <w:tcW w:w="46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4.81%</w:t>
            </w: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4.87%</w:t>
            </w:r>
          </w:p>
        </w:tc>
      </w:tr>
      <w:tr>
        <w:trPr>
          <w:trHeight w:val="108"/>
        </w:trPr>
        <w:tc>
          <w:tcPr>
            <w:tcW w:w="164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360"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historically there has been substantial overlap among the shareholders of BCP, ASHC and PPS, for reasons related to the regulatory, political and economic environment in Peru,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126" w:gutter="0" w:footer="0" w:header="0"/>
        </w:sectPr>
      </w:pPr>
    </w:p>
    <w:bookmarkStart w:id="91" w:name="page92"/>
    <w:bookmarkEnd w:id="91"/>
    <w:p>
      <w:pPr>
        <w:jc w:val="both"/>
        <w:ind w:firstLine="648"/>
        <w:spacing w:after="0" w:line="257" w:lineRule="auto"/>
        <w:rPr>
          <w:sz w:val="20"/>
          <w:szCs w:val="20"/>
          <w:color w:val="auto"/>
        </w:rPr>
      </w:pPr>
      <w:r>
        <w:rPr>
          <w:rFonts w:ascii="Arial" w:cs="Arial" w:eastAsia="Arial" w:hAnsi="Arial"/>
          <w:sz w:val="18"/>
          <w:szCs w:val="18"/>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Credicorp’s Stock” and “Item 8. Financial Information—Dividend Policy.”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Credicorp, through its subsidiaries, is the largest Peruvian provider of financial services in Peru.</w:t>
      </w: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Peru,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Peru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15.8% of the Common Shares of Credicorp. As of December 31, 2007, Credicorp holds 97.33% of BCP’s total shares. See “Item 7. Major Shareholders and Related Party Transactions—(A) Major Shareholders.”</w:t>
      </w:r>
    </w:p>
    <w:p>
      <w:pPr>
        <w:spacing w:after="0" w:line="2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ASHC was incorporated in December 1981 as a wholly-owned subsidiary of BCP, under the name Crédito del Perú Holding Corporation (“BCP International”), in the Cayman Islands and became the first Peruvian bank to establish an offshore banking presence to serve its Peruvian customers. In 1983, BCP distributed the shares of BCP International to the shareholders of BCP as dividend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ASCH.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2" w:name="page93"/>
    <w:bookmarkEnd w:id="92"/>
    <w:p>
      <w:pPr>
        <w:jc w:val="both"/>
        <w:ind w:firstLine="648"/>
        <w:spacing w:after="0" w:line="259" w:lineRule="auto"/>
        <w:rPr>
          <w:sz w:val="20"/>
          <w:szCs w:val="20"/>
          <w:color w:val="auto"/>
        </w:rPr>
      </w:pPr>
      <w:r>
        <w:rPr>
          <w:rFonts w:ascii="Arial" w:cs="Arial" w:eastAsia="Arial" w:hAnsi="Arial"/>
          <w:sz w:val="18"/>
          <w:szCs w:val="18"/>
          <w:color w:val="auto"/>
        </w:rPr>
        <w:t>Credicorp owns 75.74% of PPS, which was formed in 1992 as a result of a merger between El Pacífico Compañía de Seguros y Reaseguros S.A. and Compañía de Seguros y Reaseguros Peruano-Suiza S.A., and is the second largest Peruvian insurance company in terms of premiums sold and health fees. PPS’s major subsidiaries are Pacífico Vida, which specializes in life and pension fund insurance, and Pacífico Salud, which provides health insurance as an alternative to public social security.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owns 99.99% of Grupo Crédito S.A., which is the principal shareholder in Prima AFP and holds equity shares in Peruvian electric utilities and other non-financial companies.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Credileasing conducts lease financing operations and began operating in July 1996, taking over the operations previously managed by Financiera de Crédito, which simultaneously became Solución, specializing in consumer and micro-business lending.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spun off into two companies, one of which retained only cash and equity which the other was merged into BCP’s Peruvian banking operations in March 2004 after becoming a wholly-owned subsidiary of BCP in March 2003 as a result of BCP acquiring the remaining 45% of Solución’s equity interests.</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March 2005, Credicorp completed the sale of Banco Tequendama to a Colombian bank. The effective date of the sale was January 1, 2005, and Credicorp did not record any significant gain as a result of the transaction. On December 31, 2004, Banco Tequendama had US$306.7 million in loans and US$290.5 million in deposits. Banco Tequendama was acquired by Credicorp in January 1997 from the </w:t>
      </w:r>
      <w:r>
        <w:rPr>
          <w:rFonts w:ascii="Arial" w:cs="Arial" w:eastAsia="Arial" w:hAnsi="Arial"/>
          <w:sz w:val="18"/>
          <w:szCs w:val="18"/>
          <w:i w:val="1"/>
          <w:iCs w:val="1"/>
          <w:color w:val="auto"/>
        </w:rPr>
        <w:t>Fondo de Garantía de Depósitos y Protección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Bancaria </w:t>
      </w:r>
      <w:r>
        <w:rPr>
          <w:rFonts w:ascii="Arial" w:cs="Arial" w:eastAsia="Arial" w:hAnsi="Arial"/>
          <w:sz w:val="18"/>
          <w:szCs w:val="18"/>
          <w:color w:val="auto"/>
        </w:rPr>
        <w:t>(“FOGADE”), the Venezuelan government entity responsible for the re-privatization of assets seized by that government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widespread problems faced by the Venezuelan banking sector beginning in 1994. Credicorp, along with FOGADE and FOGADE’s financial adviser, were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representing 99.97% of its capital stock and made a tender offer to the minority shareholders in order to acquire the remaining 0.03 percent of the capital stock. The total purchase price amounted to approximately US$141.5 million. At the general shareholder’s meeting of Prima AFP, held on September 6, 2006, the merger with AFP Unión Vida S.A. was approved, with effective date of December 1, 2006.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3" w:name="page94"/>
    <w:bookmarkEnd w:id="93"/>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2007, Credicorp had 414 branches, representative and similar offices, of which 157 were branch offices of BCP in Lima. Credicorp’s principal properties include the headquarters of BCP, at Calle Centenario 156, La Molina, Lima 12, Perú, and the headquarters of PPS at Juan de Arona 830, Lima, Perú. Credicorp owns these properties, with the exception of approximately 319 properties which it holds under leases. There are no material encumbrances on any of Credicorp’s properties.</w:t>
      </w:r>
    </w:p>
    <w:p>
      <w:pPr>
        <w:spacing w:after="0" w:line="27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93"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320" w:lineRule="exact"/>
        <w:rPr>
          <w:sz w:val="20"/>
          <w:szCs w:val="20"/>
          <w:color w:val="auto"/>
        </w:rPr>
      </w:pPr>
    </w:p>
    <w:p>
      <w:pPr>
        <w:ind w:left="1400" w:hanging="744"/>
        <w:spacing w:after="0"/>
        <w:tabs>
          <w:tab w:leader="none" w:pos="14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Credicorp’s accounting policies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and expense recognition from banking activities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throughout the expected life of the financial instrument or a shorter period, where appropriate, to the net carrying amount of the financial asset or financial liability. Interest rates are determined based on negotiations with clients.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suspended when collection of loans becomes doubtful, such as when overdue by more than 90 days or when the borrower or securities’ issuer defaults, even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in straight-line basis as an adjustment to the effective interest rate on the loan.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revenues and expenses are recognized on an accrual basis as earned or incurred.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i w:val="1"/>
          <w:iCs w:val="1"/>
          <w:color w:val="auto"/>
        </w:rPr>
        <w:t>Recognition of income and expenses of insurance activities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premiums related to life insurance policies and others, of both long and short duration, are recognized as income when they accrue. A reserve for unearned premiums is recorded for the unexpired portion of the premiums.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case of life insurance, the claims reserves are calculated by taking into account an estimation of the mortality (for life insurance), survival (life annuities, death and disability pension system insurance and complementary insurance for work risk for higher risk occupations or incidence (personal injury) and the interest established when the product was designed. The reserves are calculated as the present value of the probable cash flows for pension payments, using mortality tables for the policyholders, beneficiaries and disabled who are covered at the consolidated balance sheet date as well as interest rates determined based on the performance of the corresponding portfolio of investments. In the case of individual life insurance, the reserves are determined according to the mortality tables adjusted in variable percentages according to the product characteristics, as well as the established interest and the type of investment involved according to the type of product.</w:t>
      </w:r>
    </w:p>
    <w:p>
      <w:pPr>
        <w:spacing w:after="0" w:line="24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reserves corresponding to the universal life insurance policies form part of the technical life insurance reserves. The additional benefits granted to the policyholders originating from this type of policy are shown in net premiums earned for life and health insurance contract, which include the surplus and interest accrued during the period which is credited to the balance of the policyholder. See Note 24 to the Credicorp Consolidated Financial Statements.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insurance claims are recorded when the event occurs. The incurred but non-reported claims (IBNR) are estimated and included in the provision (liabilities). The reserves for IBNR on December 31, 2007 and 2006 have been estimated considering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believes that the estimated reserve is sufficient to cover liability for IBNR occurred as of December 31, 2007 and 2006.</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Credicorp carries out a continuous review of its overall position as well as its techniques for computing the claim reserves and its reinsurance in order to determine the reserves for life, property and casualty and health insurance. The provisions are reviewed periodically by qualified actuaries contracted by Credicorp. Additionally, for those cases where Credicorp considers an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If, as a consequence of this test, the reserves prove to be insufficient, they are adjusted and the amounts are included in the results of operations for the period.</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(Deferred Acquisition Costs or “DAC”). The recoverability of these deferred acquisition costs are reviewed annually.</w:t>
      </w:r>
    </w:p>
    <w:p>
      <w:pPr>
        <w:spacing w:after="0" w:line="235"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Based on the periodic reviews of the client portfolio, Management determines the provision for bad debt related to premiums and quotas receivable.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5" w:name="page96"/>
    <w:bookmarkEnd w:id="95"/>
    <w:p>
      <w:pPr>
        <w:jc w:val="both"/>
        <w:ind w:firstLine="648"/>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 is less than the carrying value, an impairment loss is recognized in the income statement. DAC is also considered in the liability adequacy test for each reporting period.</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Initial recognition and subsequent measurement</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Purchases or sales of financial assets that require delivery of assets within the time frame generally established by regulation or convention in the marketplace are recorded on the trade date, </w:t>
      </w:r>
      <w:r>
        <w:rPr>
          <w:rFonts w:ascii="Arial" w:cs="Arial" w:eastAsia="Arial" w:hAnsi="Arial"/>
          <w:sz w:val="17"/>
          <w:szCs w:val="17"/>
          <w:i w:val="1"/>
          <w:iCs w:val="1"/>
          <w:color w:val="auto"/>
        </w:rPr>
        <w:t>i.e.</w:t>
      </w:r>
      <w:r>
        <w:rPr>
          <w:rFonts w:ascii="Arial" w:cs="Arial" w:eastAsia="Arial" w:hAnsi="Arial"/>
          <w:sz w:val="17"/>
          <w:szCs w:val="17"/>
          <w:color w:val="auto"/>
        </w:rPr>
        <w:t xml:space="preserve"> the date Credicorp will purchase or sell the asset. Derivatives are recognized on a trade date basis.</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classification of financial instruments at initial recognition depends on the purpose for which the financial instruments were acquired and their characteristics. All financial instruments are measured initially at their fair value plus, in the case of financial assets and financial liabilities not at fair value, any directly attributable incremental costs of acquisition or issue.</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classifies its financial instruments in the following categories as defined by IAS 39: financial assets and liabilities at fair value through profit or loss; loans and receivables; available-for-sale financial investments and other liabilities. Management determinates the classification of its investments at initial recognition.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financial liabilities at fair value through profit or loss: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category has two sub-categories: financial assets held for trading and financial assets and liabilities designated at fair value through profit or loss at inception. A financial asset is classified as held for trading if it is acquired or incurred principally for the purpose of selling or repurchasing in the near term or if it is part of a portfolio of identified financial instruments that are managed together and for which there is evidence of a recent actual pattern of short-term profit-taking. Derivatives are also categorized as held for trading unless they are designated as hedging instruments. Financial assets and financial liabilities are designated at fair value through profit or loss when the following criteria are met:</w:t>
      </w:r>
    </w:p>
    <w:p>
      <w:pPr>
        <w:spacing w:after="0" w:line="227" w:lineRule="exact"/>
        <w:rPr>
          <w:sz w:val="20"/>
          <w:szCs w:val="20"/>
          <w:color w:val="auto"/>
        </w:rPr>
      </w:pPr>
    </w:p>
    <w:p>
      <w:pPr>
        <w:ind w:left="660" w:hanging="4"/>
        <w:spacing w:after="0" w:line="277" w:lineRule="auto"/>
        <w:tabs>
          <w:tab w:leader="none" w:pos="7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the assets or liabilities or recognizing gains or losses on them on a different basis;</w:t>
      </w:r>
    </w:p>
    <w:p>
      <w:pPr>
        <w:spacing w:after="0" w:line="224" w:lineRule="exact"/>
        <w:rPr>
          <w:rFonts w:ascii="Arial" w:cs="Arial" w:eastAsia="Arial" w:hAnsi="Arial"/>
          <w:sz w:val="18"/>
          <w:szCs w:val="18"/>
          <w:color w:val="auto"/>
        </w:rPr>
      </w:pPr>
    </w:p>
    <w:p>
      <w:pPr>
        <w:ind w:left="660" w:hanging="4"/>
        <w:spacing w:after="0" w:line="277" w:lineRule="auto"/>
        <w:tabs>
          <w:tab w:leader="none" w:pos="7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assets and liabilities are part of a group of financial assets, financial liabilities or both which performance is evaluated on a fair value basis, in accordance with a documented risk management or investment strategy; or</w:t>
      </w:r>
    </w:p>
    <w:p>
      <w:pPr>
        <w:spacing w:after="0" w:line="224" w:lineRule="exact"/>
        <w:rPr>
          <w:rFonts w:ascii="Arial" w:cs="Arial" w:eastAsia="Arial" w:hAnsi="Arial"/>
          <w:sz w:val="18"/>
          <w:szCs w:val="18"/>
          <w:color w:val="auto"/>
        </w:rPr>
      </w:pPr>
    </w:p>
    <w:p>
      <w:pPr>
        <w:ind w:left="660" w:hanging="4"/>
        <w:spacing w:after="0" w:line="277" w:lineRule="auto"/>
        <w:tabs>
          <w:tab w:leader="none" w:pos="7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financial instrument contains an embedded derivative, unless the embedded derivative does not significantly modify the cash flows, or it is clear, with little or no analysis, that it would not be separately recorded.</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assets and financial liabilities at fair value through profit or loss are recorded in the consolidated balance sheet at fair value. Changes in fair value are recorded in the consolidated income statement under the caption “Net gain on financial assets and liabilities designated at fair value through profit and loss”. Interest earned or incurred is accrued in the consolidated income statement under the captions “Interest and dividend income” or “Interest expense”, respectively, according to the terms of the contract. Dividend income is recorded when the right to the payment has been established.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Loans and receivables: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After initial measurement, loans and receivables are subsequently measured at amortized cost using the effective interest rate method, less allowance for impairment. Amortized cost is calculated by taking into account any discount or premium on acquisition and fees and costs that are an integral part of the effective interest rate. The losses arising from impairment are recognized in the consolidated income statement in the caption “Provision for loan losses”.</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are made to the clients.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Credicorp will not be able to collect all amounts due according to the original contractual terms of the loan. The allowance for loan losses is established based on the internal risk classification and taking into consideration the guarantees and collaterals obtained by Credicorp.</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Available-for-sale financial investments:</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Available-for-sale financial investments are those which are designated as such (held for an indefinite period, and may be sold in response to liquidity needs or changes in the interest rates, exchange rates or equity price) or do not qualify to be classified as designated at fair value through profit or loss, held-to-maturity or loans and receivables. They include equity instruments, investments in mutual funds and money market and other debt instruments.</w:t>
      </w: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After initial measurement, available-for-sale financial investments are subsequently measured at fair value. Unrealized gains and losses are recognized directly in equity in the “Other reserves”, net of its corresponding tax and minority interest. When the security is disposed of, the cumulative gain or loss previously recognized in equity is recognized in the consolidated income statement in the caption “Net gain on sales of securities”. Where Credicorp holds more than one investment in the same security they are deemed to be disposed using the average cost basis. Interest and dividends earned whilst holding available-for-sale financial investments are recognized in the consolidated income statement in the caption “Interest and dividend income”. Interest earned is reported as interest income using the effective interest rate and dividends earned are recognized when the right of the payment has been established.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losses arising from impairment of such investments are recognized in the consolidated income statement and removed from the “Other reserves”. Credicorp determines that an available-for-sale investment is impaired when there has been a significant or prolonged decline in the fair value below its cost.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Other financial liabilities:</w:t>
      </w:r>
    </w:p>
    <w:p>
      <w:pPr>
        <w:spacing w:after="0" w:line="27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After initial measurement, other financial liabilities are subsequently measured at amortized cost using the effective interest rate method. Amortized cost is calculated by taking into account any discount or premium on the issue and costs that are an integral part of the effective interest rate.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Derecognition of financial assets and financial liabilities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derecognized where:</w:t>
      </w:r>
    </w:p>
    <w:p>
      <w:pPr>
        <w:spacing w:after="0" w:line="279" w:lineRule="exact"/>
        <w:rPr>
          <w:sz w:val="20"/>
          <w:szCs w:val="20"/>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279" w:lineRule="exact"/>
        <w:rPr>
          <w:rFonts w:ascii="Arial" w:cs="Arial" w:eastAsia="Arial" w:hAnsi="Arial"/>
          <w:sz w:val="18"/>
          <w:szCs w:val="18"/>
          <w:color w:val="auto"/>
        </w:rPr>
      </w:pPr>
    </w:p>
    <w:p>
      <w:pPr>
        <w:ind w:right="20" w:firstLine="656"/>
        <w:spacing w:after="0" w:line="277" w:lineRule="auto"/>
        <w:tabs>
          <w:tab w:leader="none" w:pos="9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Credicorp has transferred its rights to receive cash flows from the asset or has assumed an obligation to pay the received cash flows in full without material delay to a third party under a “pass-through” arrangement; and</w:t>
      </w:r>
    </w:p>
    <w:p>
      <w:pPr>
        <w:spacing w:after="0" w:line="224" w:lineRule="exact"/>
        <w:rPr>
          <w:rFonts w:ascii="Arial" w:cs="Arial" w:eastAsia="Arial" w:hAnsi="Arial"/>
          <w:sz w:val="18"/>
          <w:szCs w:val="18"/>
          <w:color w:val="auto"/>
        </w:rPr>
      </w:pPr>
    </w:p>
    <w:p>
      <w:pPr>
        <w:ind w:right="20" w:firstLine="656"/>
        <w:spacing w:after="0" w:line="277" w:lineRule="auto"/>
        <w:tabs>
          <w:tab w:leader="none" w:pos="963" w:val="left"/>
        </w:tabs>
        <w:numPr>
          <w:ilvl w:val="0"/>
          <w:numId w:val="79"/>
        </w:numPr>
        <w:rPr>
          <w:rFonts w:ascii="Arial" w:cs="Arial" w:eastAsia="Arial" w:hAnsi="Arial"/>
          <w:sz w:val="18"/>
          <w:szCs w:val="18"/>
          <w:color w:val="auto"/>
        </w:rPr>
      </w:pPr>
      <w:r>
        <w:rPr>
          <w:rFonts w:ascii="Arial" w:cs="Arial" w:eastAsia="Arial" w:hAnsi="Arial"/>
          <w:sz w:val="18"/>
          <w:szCs w:val="18"/>
          <w:color w:val="auto"/>
        </w:rPr>
        <w:t>either Credicorp has transferred substantially all the risks and rewards of the asset, or Credicorp has neither transferred nor retained substantially all the risks and rewards of the asset, but has transferred control of the asset.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cancelled or expires. Where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profit or loss.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financial assets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Credicorp assesses at each balance sheet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enter bankruptcy or other financial reorganization and where observable data indicate that there is a measurable decrease in the estimated future cash flows, such as changes in arrears or economic conditions that correlate with defaults. The criteria used for each category of financial assets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and receivables: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loans and receivables that are carried at amortized cost, Credicorp first assesses whether objective evidence of impairment exists individually for financial assets that are individually significant, or collectively for financial assets that are not individually significant. If Credicorp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8" w:name="page99"/>
    <w:bookmarkEnd w:id="98"/>
    <w:p>
      <w:pPr>
        <w:jc w:val="both"/>
        <w:ind w:firstLine="648"/>
        <w:spacing w:after="0" w:line="291"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The carrying amount of the asset is reduced through the use of an allowance account and the amount of the loss is recognized in the income statement. Interest income continues to be accrued on the reduced carrying amount based on the original effective interest rate of the asset. Loans, together with the associated allowance, are written off when there is no realistic prospect of future recovery and all collateral has been realized or has been transferred to Credicorp. If, in a subsequent year, the amount of the estimated impairment loss increases or decreases because of an event occurring after the impairment was recognized, the previously recognized impairment loss is increased or reduced by adjusting the allowance account. If a future write-off is later recovered, the recovery is credited to the provision for loan losses.</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purpose of a collective evaluation of impairment, financial assets are grouped on the basis of Credicorp’s internal credit grading system that considers credit risk characteristics such as asset type, industry, geographical location, collateral type, past-due status and other relevant factors.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cash flows on a group of financial assets that are collectively evaluated for impairment are estimated on the basis of historical loss experience for assets with credit risk characteristics similar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exist currently. The methodology and assumptions used for estimating future cash flows are reviewed regularly to reduce any differences between loss estimates and actual loss experience.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Available-for-sale financial investments: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available-for-sale financial investments, Credicorp assesses at each consolidated balance sheet date whether there is objective evidence that an investment or a group of investments is impaired. In the case of equity investments classified as available-for-sale, objective evidence would include a significant or prolonged decline in the fair value of the investment below its cost. Where there is evidence of impairment, the cumulative loss (measured as the difference between the acquisition cost and the current fair value, less any impairment loss on that investment previously recognized in the consolidated income statement) is removed from equity and recognized in the consolidated income statement. Impairment losses on equity investments are not reversed through the consolidated income statement; increases in their fair value after impairment are recognized directly in equity.</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case of debt instruments classified as available-for-sale, impairment is assessed based on the same criteria as financial assets carried at amortized cost. Future interest income is based on the reduced carrying amount and is accrued using the rate of interest used to discount the future cash flows for the purpose of measuring the impairment loss. The interest income is recorded as part of “Interest and dividend income”.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Renegotiated loans: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 possible, Credicorp seeks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The loans continue to be subject to an individual or collective impairment assessment, calculated using the loan’s original effective interest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Leases in which a significant portion of the risks and relative benefits of the property are held by the lessor are classified as operating leases. By this concept, Credicorp principally maintains leases used as offices and agencies for the Bank.</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an operating lease is terminated before the lease period has expired, any payment required to be made to the lessor by way of penalty is recognized as an expense in the period in which termination takes place.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leases: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grants finance leases; therefore, it recognizes the present value of the lease payments as an asset.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Goodwill represents the excess of the cost of acquisition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IFRS 3, since January 1st, 2005, Credicorp has ceased the amortization of goodwill.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non-financial assets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 assesses at each reporting date, or more frequently if events or changes in circumstances indicate that the carrying value may be impaired, whether there is an indication that a non-financial asset may be impaired. If any such indication exists, or when annual impairment testing for an asset is required, the group makes an estimate of the asset’s recoverable amount. Where the carrying amount of an asset (or cash-generating unit) exceeds its recoverable amount, the asset (or cash-generating unit) is considered impaired and is written down to its recoverable amount.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i w:val="1"/>
          <w:iCs w:val="1"/>
          <w:color w:val="auto"/>
        </w:rPr>
        <w:t>Income tax and workers’ profit sharing</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Income tax and workers’ profit sharing are computed based on individual financial statements of Credicorp and each one of its subsidiaries.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appreciation rights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Credicorp has estimated the fair value of the SARs using the binomial option pricing model, with assumptions obtained from available relevant market information. See Note 20 to the Credicorp Consolidated Financial Statements.</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recorded expense in each year for this participation corresponds to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 financial instruments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Trading:</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transactions with derivatives, while providing effective economic hedges under the Group’s risk management positions, do not qualify for hedge accounting under the specific rules of IAS 39 and are therefore treated as trading derivatives.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01" w:name="page102"/>
    <w:bookmarkEnd w:id="101"/>
    <w:p>
      <w:pPr>
        <w:jc w:val="both"/>
        <w:ind w:firstLine="648"/>
        <w:spacing w:after="0" w:line="286" w:lineRule="auto"/>
        <w:rPr>
          <w:sz w:val="20"/>
          <w:szCs w:val="20"/>
          <w:color w:val="auto"/>
        </w:rPr>
      </w:pPr>
      <w:r>
        <w:rPr>
          <w:rFonts w:ascii="Arial" w:cs="Arial" w:eastAsia="Arial" w:hAnsi="Arial"/>
          <w:sz w:val="17"/>
          <w:szCs w:val="17"/>
          <w:color w:val="auto"/>
        </w:rPr>
        <w:t>Derivative financial instruments are initially recognized in the consolidated balance sheet at cost and subsequently are re-measured at their fair value. Fair values are obtained based on the market exchange rates and interest rates. All derivatives are carried as assets when fair value is positive and as liabilities when fair value is negative. Gain and losses for changes in their fair value are recorded in the consolidated income statements.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Hedge:</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makes use of derivative instruments to manage exposure to interest rates and foreign currency. In order to manage particular risks, Credicorp applies hedge accounting for transactions which meet the specified criteria.</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inception of the hedge relationship, Credicorp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each quarter. A hedge is regarded as highly effective if the changes in fair value or cash flows attributable to the hedged risk during the period for which the hedge is designated are expected to offset in a range of 80 percent to 125 percent.</w:t>
      </w: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2007, Credicorp had only interest rate swaps and cross currency interest rate swap derivatives that qualify for hedge purposes classified as cash flow hedge and fair value hedge, respectively (only an interest rate swap derivative classified as a cash flow hedge as of December 31, 2006). The effective portion of changes in the fair value of these derivatives is recognized in equity and profit and loss, respectively. The gain or loss relating to the ineffective portion is recognized immediately in the consolidated income statements. Amounts accumulated in equity for the cash flow hedges are recycled to the income statement in the periods in which the hedged item affects profit or loss.</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designated and qualifying cash flow hedges, the effective portion of the gain or loss on the hedging instrument is initially recognized directly in equity in “Other reserves”. The ineffective portion of the gain or loss on the hedging instrument is recognized immediately in the consolidated income statement in the caption “Interest and dividend income”. When the hedged cash flow affects the consolidated income statement, the gain or loss on the hedging instrument is recycled in the corresponding income or expense line of the consolidated income statement.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designated and qualifying fair value hedge, the change in the fair value of a hedging derivative is recognized in the consolidated income statement in the caption “Interest and dividend income”. Meanwhile, the change in the fair value of the hedged item attributable to the risk hedged is recorded as part of the carrying value of the hedged item and is also recognized in the consolidated income statement in the caption “Interest and dividend income”. If the hedging instrument expires or is sold, terminated or exercised, or where the hedge no longer meets the criteria for hedge accounting, the hedge relationship is terminated.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2" w:name="page103"/>
    <w:bookmarkEnd w:id="102"/>
    <w:p>
      <w:pPr>
        <w:ind w:left="1400" w:hanging="744"/>
        <w:spacing w:after="0"/>
        <w:tabs>
          <w:tab w:leader="none" w:pos="14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discussion is based upon information contained in the Credicorp Consolidated Financial Statements and should be read in conjunction therewith.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and discussion and analysis presented below for 2005, 2006 and 2007 reflect the financial position and results of operations for 2005, 2006 and 2007 of Credicorp’s subsidiaries. See “Item 3. Key Information—(A) Selected Financial Data.”</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2007, approximately 65.7% of Credicorp’s deposits and 69.9% of its loans were denominated in foreign currencies. Despite its high proportions, foreign currency deposits and loans has decreased from the previous year (70.8% and 74.6%, respectively) due to reduction in the rate of inflation. Nevertheless, Credicorp expects the majority of its deposits and loans to continue to be denominated in foreign currencies.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i w:val="1"/>
          <w:iCs w:val="1"/>
          <w:color w:val="auto"/>
        </w:rPr>
        <w:t>Results of Operations for the Three Years Ended December 31, 2007</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2005, 2006 and 2007, the principal components of Credicorp’s net income:</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b w:val="1"/>
                <w:bCs w:val="1"/>
                <w:color w:val="auto"/>
                <w:w w:val="88"/>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5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40" w:type="dxa"/>
            <w:vAlign w:val="bottom"/>
            <w:gridSpan w:val="8"/>
          </w:tcPr>
          <w:p>
            <w:pPr>
              <w:jc w:val="center"/>
              <w:ind w:left="530"/>
              <w:spacing w:after="0"/>
              <w:rPr>
                <w:sz w:val="20"/>
                <w:szCs w:val="20"/>
                <w:color w:val="auto"/>
              </w:rPr>
            </w:pPr>
            <w:r>
              <w:rPr>
                <w:rFonts w:ascii="Arial" w:cs="Arial" w:eastAsia="Arial" w:hAnsi="Arial"/>
                <w:sz w:val="18"/>
                <w:szCs w:val="18"/>
                <w:i w:val="1"/>
                <w:iCs w:val="1"/>
                <w:color w:val="auto"/>
                <w:w w:val="92"/>
              </w:rPr>
              <w:t>(U.S. Dollars in thousands)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6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612,432</w:t>
            </w:r>
          </w:p>
        </w:tc>
        <w:tc>
          <w:tcPr>
            <w:tcW w:w="140" w:type="dxa"/>
            <w:vAlign w:val="bottom"/>
            <w:shd w:val="clear" w:color="auto" w:fill="CCFFCC"/>
          </w:tcPr>
          <w:p>
            <w:pPr>
              <w:spacing w:after="0"/>
              <w:rPr>
                <w:sz w:val="23"/>
                <w:szCs w:val="23"/>
                <w:color w:val="auto"/>
              </w:rPr>
            </w:pPr>
          </w:p>
        </w:tc>
        <w:tc>
          <w:tcPr>
            <w:tcW w:w="5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782,002</w:t>
            </w:r>
          </w:p>
        </w:tc>
        <w:tc>
          <w:tcPr>
            <w:tcW w:w="140" w:type="dxa"/>
            <w:vAlign w:val="bottom"/>
            <w:shd w:val="clear" w:color="auto" w:fill="CCFFCC"/>
          </w:tcPr>
          <w:p>
            <w:pPr>
              <w:spacing w:after="0"/>
              <w:rPr>
                <w:sz w:val="23"/>
                <w:szCs w:val="23"/>
                <w:color w:val="auto"/>
              </w:rPr>
            </w:pPr>
          </w:p>
        </w:tc>
        <w:tc>
          <w:tcPr>
            <w:tcW w:w="5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1,065,974</w:t>
            </w:r>
          </w:p>
        </w:tc>
        <w:tc>
          <w:tcPr>
            <w:tcW w:w="120" w:type="dxa"/>
            <w:vAlign w:val="bottom"/>
            <w:shd w:val="clear" w:color="auto" w:fill="CCFFCC"/>
          </w:tcPr>
          <w:p>
            <w:pPr>
              <w:spacing w:after="0"/>
              <w:rPr>
                <w:sz w:val="23"/>
                <w:szCs w:val="23"/>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(173,159)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(283,478)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(432,000)</w:t>
            </w: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w:t>
            </w:r>
          </w:p>
        </w:tc>
        <w:tc>
          <w:tcPr>
            <w:tcW w:w="6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439,273</w:t>
            </w:r>
          </w:p>
        </w:tc>
        <w:tc>
          <w:tcPr>
            <w:tcW w:w="140" w:type="dxa"/>
            <w:vAlign w:val="bottom"/>
            <w:shd w:val="clear" w:color="auto" w:fill="CCFFCC"/>
          </w:tcPr>
          <w:p>
            <w:pPr>
              <w:spacing w:after="0"/>
              <w:rPr>
                <w:sz w:val="20"/>
                <w:szCs w:val="20"/>
                <w:color w:val="auto"/>
              </w:rPr>
            </w:pPr>
          </w:p>
        </w:tc>
        <w:tc>
          <w:tcPr>
            <w:tcW w:w="5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498,524</w:t>
            </w:r>
          </w:p>
        </w:tc>
        <w:tc>
          <w:tcPr>
            <w:tcW w:w="140" w:type="dxa"/>
            <w:vAlign w:val="bottom"/>
            <w:shd w:val="clear" w:color="auto" w:fill="CCFFCC"/>
          </w:tcPr>
          <w:p>
            <w:pPr>
              <w:spacing w:after="0"/>
              <w:rPr>
                <w:sz w:val="20"/>
                <w:szCs w:val="20"/>
                <w:color w:val="auto"/>
              </w:rPr>
            </w:pPr>
          </w:p>
        </w:tc>
        <w:tc>
          <w:tcPr>
            <w:tcW w:w="5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120" w:type="dxa"/>
            <w:vAlign w:val="bottom"/>
            <w:shd w:val="clear" w:color="auto" w:fill="CCFFCC"/>
          </w:tcPr>
          <w:p>
            <w:pPr>
              <w:spacing w:after="0"/>
              <w:rPr>
                <w:sz w:val="20"/>
                <w:szCs w:val="20"/>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(28,439)</w:t>
            </w: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 after Provision</w:t>
            </w:r>
          </w:p>
        </w:tc>
        <w:tc>
          <w:tcPr>
            <w:tcW w:w="6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445,629</w:t>
            </w:r>
          </w:p>
        </w:tc>
        <w:tc>
          <w:tcPr>
            <w:tcW w:w="140" w:type="dxa"/>
            <w:vAlign w:val="bottom"/>
            <w:shd w:val="clear" w:color="auto" w:fill="CCFFCC"/>
          </w:tcPr>
          <w:p>
            <w:pPr>
              <w:spacing w:after="0"/>
              <w:rPr>
                <w:sz w:val="20"/>
                <w:szCs w:val="20"/>
                <w:color w:val="auto"/>
              </w:rPr>
            </w:pPr>
          </w:p>
        </w:tc>
        <w:tc>
          <w:tcPr>
            <w:tcW w:w="5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502,767</w:t>
            </w:r>
          </w:p>
        </w:tc>
        <w:tc>
          <w:tcPr>
            <w:tcW w:w="140" w:type="dxa"/>
            <w:vAlign w:val="bottom"/>
            <w:shd w:val="clear" w:color="auto" w:fill="CCFFCC"/>
          </w:tcPr>
          <w:p>
            <w:pPr>
              <w:spacing w:after="0"/>
              <w:rPr>
                <w:sz w:val="20"/>
                <w:szCs w:val="20"/>
                <w:color w:val="auto"/>
              </w:rPr>
            </w:pPr>
          </w:p>
        </w:tc>
        <w:tc>
          <w:tcPr>
            <w:tcW w:w="5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605,535</w:t>
            </w:r>
          </w:p>
        </w:tc>
        <w:tc>
          <w:tcPr>
            <w:tcW w:w="120" w:type="dxa"/>
            <w:vAlign w:val="bottom"/>
            <w:shd w:val="clear" w:color="auto" w:fill="CCFFCC"/>
          </w:tcPr>
          <w:p>
            <w:pPr>
              <w:spacing w:after="0"/>
              <w:rPr>
                <w:sz w:val="20"/>
                <w:szCs w:val="20"/>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265,985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338,894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517,920</w:t>
            </w:r>
          </w:p>
        </w:tc>
        <w:tc>
          <w:tcPr>
            <w:tcW w:w="120" w:type="dxa"/>
            <w:vAlign w:val="bottom"/>
          </w:tcPr>
          <w:p>
            <w:pPr>
              <w:spacing w:after="0"/>
              <w:rPr>
                <w:sz w:val="21"/>
                <w:szCs w:val="21"/>
                <w:color w:val="auto"/>
              </w:rPr>
            </w:pPr>
          </w:p>
        </w:tc>
      </w:tr>
      <w:tr>
        <w:trPr>
          <w:trHeight w:val="243"/>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Insurance premiums earned net of claims on insurance activities</w:t>
            </w: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43,455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64,739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58,672</w:t>
            </w:r>
          </w:p>
        </w:tc>
        <w:tc>
          <w:tcPr>
            <w:tcW w:w="120" w:type="dxa"/>
            <w:vAlign w:val="bottom"/>
            <w:shd w:val="clear" w:color="auto" w:fill="CCFFC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(477,073)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(585,058)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(742,072)</w:t>
            </w:r>
          </w:p>
        </w:tc>
      </w:tr>
      <w:tr>
        <w:trPr>
          <w:trHeight w:val="243"/>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Merger costs</w:t>
            </w: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(5,706)</w:t>
            </w:r>
          </w:p>
        </w:tc>
        <w:tc>
          <w:tcPr>
            <w:tcW w:w="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24"/>
        </w:trPr>
        <w:tc>
          <w:tcPr>
            <w:tcW w:w="5560" w:type="dxa"/>
            <w:vAlign w:val="bottom"/>
            <w:tcBorders>
              <w:top w:val="single" w:sz="8" w:color="CCFFCC"/>
            </w:tcBorders>
          </w:tcPr>
          <w:p>
            <w:pPr>
              <w:ind w:left="160"/>
              <w:spacing w:after="0"/>
              <w:rPr>
                <w:sz w:val="20"/>
                <w:szCs w:val="20"/>
                <w:color w:val="auto"/>
              </w:rPr>
            </w:pPr>
            <w:r>
              <w:rPr>
                <w:rFonts w:ascii="Arial" w:cs="Arial" w:eastAsia="Arial" w:hAnsi="Arial"/>
                <w:sz w:val="18"/>
                <w:szCs w:val="18"/>
                <w:color w:val="auto"/>
              </w:rPr>
              <w:t>Income before translation result and income tax</w:t>
            </w:r>
          </w:p>
        </w:tc>
        <w:tc>
          <w:tcPr>
            <w:tcW w:w="22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r>
      <w:tr>
        <w:trPr>
          <w:trHeight w:val="283"/>
        </w:trPr>
        <w:tc>
          <w:tcPr>
            <w:tcW w:w="556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277,996</w:t>
            </w:r>
          </w:p>
        </w:tc>
        <w:tc>
          <w:tcPr>
            <w:tcW w:w="14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315,636</w:t>
            </w:r>
          </w:p>
        </w:tc>
        <w:tc>
          <w:tcPr>
            <w:tcW w:w="14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440,055</w:t>
            </w:r>
          </w:p>
        </w:tc>
        <w:tc>
          <w:tcPr>
            <w:tcW w:w="120" w:type="dxa"/>
            <w:vAlign w:val="bottom"/>
          </w:tcPr>
          <w:p>
            <w:pPr>
              <w:spacing w:after="0"/>
              <w:rPr>
                <w:sz w:val="24"/>
                <w:szCs w:val="24"/>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 (loss) gain</w:t>
            </w:r>
          </w:p>
        </w:tc>
        <w:tc>
          <w:tcPr>
            <w:tcW w:w="6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(9,597)</w:t>
            </w:r>
          </w:p>
        </w:tc>
        <w:tc>
          <w:tcPr>
            <w:tcW w:w="5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15,216</w:t>
            </w:r>
          </w:p>
        </w:tc>
        <w:tc>
          <w:tcPr>
            <w:tcW w:w="140" w:type="dxa"/>
            <w:vAlign w:val="bottom"/>
            <w:shd w:val="clear" w:color="auto" w:fill="CCFFCC"/>
          </w:tcPr>
          <w:p>
            <w:pPr>
              <w:spacing w:after="0"/>
              <w:rPr>
                <w:sz w:val="20"/>
                <w:szCs w:val="20"/>
                <w:color w:val="auto"/>
              </w:rPr>
            </w:pPr>
          </w:p>
        </w:tc>
        <w:tc>
          <w:tcPr>
            <w:tcW w:w="5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34,627</w:t>
            </w:r>
          </w:p>
        </w:tc>
        <w:tc>
          <w:tcPr>
            <w:tcW w:w="120" w:type="dxa"/>
            <w:vAlign w:val="bottom"/>
            <w:shd w:val="clear" w:color="auto" w:fill="CCFFCC"/>
          </w:tcPr>
          <w:p>
            <w:pPr>
              <w:spacing w:after="0"/>
              <w:rPr>
                <w:sz w:val="20"/>
                <w:szCs w:val="20"/>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Income tax</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(73,546)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(83,587)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(102,287)</w:t>
            </w: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556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Net income</w:t>
            </w:r>
          </w:p>
        </w:tc>
        <w:tc>
          <w:tcPr>
            <w:tcW w:w="660" w:type="dxa"/>
            <w:vAlign w:val="bottom"/>
            <w:gridSpan w:val="2"/>
            <w:shd w:val="clear" w:color="auto" w:fill="CCFFCC"/>
          </w:tcPr>
          <w:p>
            <w:pPr>
              <w:ind w:left="220"/>
              <w:spacing w:after="0"/>
              <w:rPr>
                <w:sz w:val="20"/>
                <w:szCs w:val="20"/>
                <w:color w:val="auto"/>
              </w:rPr>
            </w:pPr>
            <w:r>
              <w:rPr>
                <w:rFonts w:ascii="Arial" w:cs="Arial" w:eastAsia="Arial" w:hAnsi="Arial"/>
                <w:sz w:val="18"/>
                <w:szCs w:val="18"/>
                <w:b w:val="1"/>
                <w:bCs w:val="1"/>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194,853</w:t>
            </w:r>
          </w:p>
        </w:tc>
        <w:tc>
          <w:tcPr>
            <w:tcW w:w="140" w:type="dxa"/>
            <w:vAlign w:val="bottom"/>
            <w:shd w:val="clear" w:color="auto" w:fill="CCFFCC"/>
          </w:tcPr>
          <w:p>
            <w:pPr>
              <w:spacing w:after="0"/>
              <w:rPr>
                <w:sz w:val="24"/>
                <w:szCs w:val="24"/>
                <w:color w:val="auto"/>
              </w:rPr>
            </w:pPr>
          </w:p>
        </w:tc>
        <w:tc>
          <w:tcPr>
            <w:tcW w:w="520" w:type="dxa"/>
            <w:vAlign w:val="bottom"/>
            <w:gridSpan w:val="2"/>
            <w:shd w:val="clear" w:color="auto" w:fill="CCFFCC"/>
          </w:tcPr>
          <w:p>
            <w:pPr>
              <w:ind w:left="80"/>
              <w:spacing w:after="0"/>
              <w:rPr>
                <w:sz w:val="20"/>
                <w:szCs w:val="20"/>
                <w:color w:val="auto"/>
              </w:rPr>
            </w:pPr>
            <w:r>
              <w:rPr>
                <w:rFonts w:ascii="Arial" w:cs="Arial" w:eastAsia="Arial" w:hAnsi="Arial"/>
                <w:sz w:val="18"/>
                <w:szCs w:val="18"/>
                <w:b w:val="1"/>
                <w:bCs w:val="1"/>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247,265</w:t>
            </w:r>
          </w:p>
        </w:tc>
        <w:tc>
          <w:tcPr>
            <w:tcW w:w="140" w:type="dxa"/>
            <w:vAlign w:val="bottom"/>
            <w:shd w:val="clear" w:color="auto" w:fill="CCFFCC"/>
          </w:tcPr>
          <w:p>
            <w:pPr>
              <w:spacing w:after="0"/>
              <w:rPr>
                <w:sz w:val="24"/>
                <w:szCs w:val="24"/>
                <w:color w:val="auto"/>
              </w:rPr>
            </w:pPr>
          </w:p>
        </w:tc>
        <w:tc>
          <w:tcPr>
            <w:tcW w:w="520" w:type="dxa"/>
            <w:vAlign w:val="bottom"/>
            <w:gridSpan w:val="2"/>
            <w:shd w:val="clear" w:color="auto" w:fill="CCFFCC"/>
          </w:tcPr>
          <w:p>
            <w:pPr>
              <w:ind w:left="60"/>
              <w:spacing w:after="0"/>
              <w:rPr>
                <w:sz w:val="20"/>
                <w:szCs w:val="20"/>
                <w:color w:val="auto"/>
              </w:rPr>
            </w:pPr>
            <w:r>
              <w:rPr>
                <w:rFonts w:ascii="Arial" w:cs="Arial" w:eastAsia="Arial" w:hAnsi="Arial"/>
                <w:sz w:val="18"/>
                <w:szCs w:val="18"/>
                <w:b w:val="1"/>
                <w:bCs w:val="1"/>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372,395</w:t>
            </w:r>
          </w:p>
        </w:tc>
        <w:tc>
          <w:tcPr>
            <w:tcW w:w="120" w:type="dxa"/>
            <w:vAlign w:val="bottom"/>
            <w:shd w:val="clear" w:color="auto" w:fill="CCFFCC"/>
          </w:tcPr>
          <w:p>
            <w:pPr>
              <w:spacing w:after="0"/>
              <w:rPr>
                <w:sz w:val="24"/>
                <w:szCs w:val="24"/>
                <w:color w:val="auto"/>
              </w:rPr>
            </w:pPr>
          </w:p>
        </w:tc>
      </w:tr>
      <w:tr>
        <w:trPr>
          <w:trHeight w:val="224"/>
        </w:trPr>
        <w:tc>
          <w:tcPr>
            <w:tcW w:w="55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income attributable to:</w:t>
            </w:r>
          </w:p>
        </w:tc>
        <w:tc>
          <w:tcPr>
            <w:tcW w:w="22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r>
      <w:tr>
        <w:trPr>
          <w:trHeight w:val="243"/>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Credicorp’s shareholders</w:t>
            </w: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230,013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350,735</w:t>
            </w:r>
          </w:p>
        </w:tc>
        <w:tc>
          <w:tcPr>
            <w:tcW w:w="120" w:type="dxa"/>
            <w:vAlign w:val="bottom"/>
            <w:shd w:val="clear" w:color="auto" w:fill="CCFFC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Minority interests</w:t>
            </w: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21,660</w:t>
            </w:r>
          </w:p>
        </w:tc>
        <w:tc>
          <w:tcPr>
            <w:tcW w:w="120" w:type="dxa"/>
            <w:vAlign w:val="bottom"/>
          </w:tcPr>
          <w:p>
            <w:pPr>
              <w:spacing w:after="0"/>
              <w:rPr>
                <w:sz w:val="21"/>
                <w:szCs w:val="21"/>
                <w:color w:val="auto"/>
              </w:rPr>
            </w:pPr>
          </w:p>
        </w:tc>
      </w:tr>
      <w:tr>
        <w:trPr>
          <w:trHeight w:val="257"/>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gridSpan w:val="2"/>
            <w:shd w:val="clear" w:color="auto" w:fill="CCFFCC"/>
          </w:tcPr>
          <w:p>
            <w:pPr>
              <w:ind w:left="220"/>
              <w:spacing w:after="0"/>
              <w:rPr>
                <w:sz w:val="20"/>
                <w:szCs w:val="20"/>
                <w:color w:val="auto"/>
              </w:rPr>
            </w:pPr>
            <w:r>
              <w:rPr>
                <w:rFonts w:ascii="Arial" w:cs="Arial" w:eastAsia="Arial" w:hAnsi="Arial"/>
                <w:sz w:val="18"/>
                <w:szCs w:val="18"/>
                <w:b w:val="1"/>
                <w:bCs w:val="1"/>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194,853</w:t>
            </w:r>
          </w:p>
        </w:tc>
        <w:tc>
          <w:tcPr>
            <w:tcW w:w="140" w:type="dxa"/>
            <w:vAlign w:val="bottom"/>
            <w:shd w:val="clear" w:color="auto" w:fill="CCFFCC"/>
          </w:tcPr>
          <w:p>
            <w:pPr>
              <w:spacing w:after="0"/>
              <w:rPr>
                <w:sz w:val="22"/>
                <w:szCs w:val="22"/>
                <w:color w:val="auto"/>
              </w:rPr>
            </w:pPr>
          </w:p>
        </w:tc>
        <w:tc>
          <w:tcPr>
            <w:tcW w:w="520" w:type="dxa"/>
            <w:vAlign w:val="bottom"/>
            <w:gridSpan w:val="2"/>
            <w:shd w:val="clear" w:color="auto" w:fill="CCFFCC"/>
          </w:tcPr>
          <w:p>
            <w:pPr>
              <w:ind w:left="80"/>
              <w:spacing w:after="0"/>
              <w:rPr>
                <w:sz w:val="20"/>
                <w:szCs w:val="20"/>
                <w:color w:val="auto"/>
              </w:rPr>
            </w:pPr>
            <w:r>
              <w:rPr>
                <w:rFonts w:ascii="Arial" w:cs="Arial" w:eastAsia="Arial" w:hAnsi="Arial"/>
                <w:sz w:val="18"/>
                <w:szCs w:val="18"/>
                <w:b w:val="1"/>
                <w:bCs w:val="1"/>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247,265</w:t>
            </w:r>
          </w:p>
        </w:tc>
        <w:tc>
          <w:tcPr>
            <w:tcW w:w="140" w:type="dxa"/>
            <w:vAlign w:val="bottom"/>
            <w:shd w:val="clear" w:color="auto" w:fill="CCFFCC"/>
          </w:tcPr>
          <w:p>
            <w:pPr>
              <w:spacing w:after="0"/>
              <w:rPr>
                <w:sz w:val="22"/>
                <w:szCs w:val="22"/>
                <w:color w:val="auto"/>
              </w:rPr>
            </w:pPr>
          </w:p>
        </w:tc>
        <w:tc>
          <w:tcPr>
            <w:tcW w:w="520" w:type="dxa"/>
            <w:vAlign w:val="bottom"/>
            <w:gridSpan w:val="2"/>
            <w:shd w:val="clear" w:color="auto" w:fill="CCFFCC"/>
          </w:tcPr>
          <w:p>
            <w:pPr>
              <w:ind w:left="60"/>
              <w:spacing w:after="0"/>
              <w:rPr>
                <w:sz w:val="20"/>
                <w:szCs w:val="20"/>
                <w:color w:val="auto"/>
              </w:rPr>
            </w:pPr>
            <w:r>
              <w:rPr>
                <w:rFonts w:ascii="Arial" w:cs="Arial" w:eastAsia="Arial" w:hAnsi="Arial"/>
                <w:sz w:val="18"/>
                <w:szCs w:val="18"/>
                <w:b w:val="1"/>
                <w:bCs w:val="1"/>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372,395</w:t>
            </w:r>
          </w:p>
        </w:tc>
        <w:tc>
          <w:tcPr>
            <w:tcW w:w="120" w:type="dxa"/>
            <w:vAlign w:val="bottom"/>
            <w:shd w:val="clear" w:color="auto" w:fill="CCFFCC"/>
          </w:tcPr>
          <w:p>
            <w:pPr>
              <w:spacing w:after="0"/>
              <w:rPr>
                <w:sz w:val="22"/>
                <w:szCs w:val="22"/>
                <w:color w:val="auto"/>
              </w:rPr>
            </w:pPr>
          </w:p>
        </w:tc>
      </w:tr>
      <w:tr>
        <w:trPr>
          <w:trHeight w:val="20"/>
        </w:trPr>
        <w:tc>
          <w:tcPr>
            <w:tcW w:w="55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net income attributable to Credicorp’s shareholders increased from US$230.0 million in 2006 to US$350.7 million in 2007. Credicorp’s consolidated net income increased from 2006 to 2007 principally due to: (i) higher average volumes in interest-earning assets mainly as a consequence of the strong expansion in the BCP banking business with the robust loan growth; (ii) greater commissions for financial services and higher gains on foreign exchange transactions and sale of securities; and (iii) higher net gain on financial assets and liabilities designated at fair value, mainly related to the economic hedge of the stock appreciation rights mentioned below.</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other hand, operating expenses increased 26.8% in 2006 to US$742.1 million, principally as a result of increased expense on salaries and benefits. The increase in personnel expenses during 2007 was principally due to increases in salaries and stock appreciation rights (see Note 20 to the Credicorp Consolidated Financial Statements), as well as increase in the number of personnel.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 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4" w:name="page105"/>
    <w:bookmarkEnd w:id="104"/>
    <w:tbl>
      <w:tblPr>
        <w:tblLayout w:type="fixed"/>
        <w:tblInd w:w="5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88"/>
              </w:rPr>
              <w:t>Year ended December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52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3"/>
                <w:szCs w:val="23"/>
                <w:color w:val="auto"/>
              </w:rPr>
            </w:pPr>
          </w:p>
        </w:tc>
      </w:tr>
      <w:tr>
        <w:trPr>
          <w:trHeight w:val="237"/>
        </w:trPr>
        <w:tc>
          <w:tcPr>
            <w:tcW w:w="5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0" w:type="dxa"/>
            <w:vAlign w:val="bottom"/>
            <w:gridSpan w:val="6"/>
          </w:tcPr>
          <w:p>
            <w:pPr>
              <w:jc w:val="center"/>
              <w:ind w:left="530"/>
              <w:spacing w:after="0"/>
              <w:rPr>
                <w:sz w:val="20"/>
                <w:szCs w:val="20"/>
                <w:color w:val="auto"/>
              </w:rPr>
            </w:pPr>
            <w:r>
              <w:rPr>
                <w:rFonts w:ascii="Arial" w:cs="Arial" w:eastAsia="Arial" w:hAnsi="Arial"/>
                <w:sz w:val="18"/>
                <w:szCs w:val="18"/>
                <w:i w:val="1"/>
                <w:iCs w:val="1"/>
                <w:color w:val="auto"/>
                <w:w w:val="92"/>
              </w:rPr>
              <w:t>(U.S. Dollars in thousands)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4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Loans</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447,392</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537,670</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701,471</w:t>
            </w:r>
          </w:p>
        </w:tc>
        <w:tc>
          <w:tcPr>
            <w:tcW w:w="120" w:type="dxa"/>
            <w:vAlign w:val="bottom"/>
          </w:tcPr>
          <w:p>
            <w:pPr>
              <w:spacing w:after="0"/>
              <w:rPr>
                <w:sz w:val="21"/>
                <w:szCs w:val="21"/>
                <w:color w:val="auto"/>
              </w:rPr>
            </w:pPr>
          </w:p>
        </w:tc>
      </w:tr>
      <w:tr>
        <w:trPr>
          <w:trHeight w:val="243"/>
        </w:trPr>
        <w:tc>
          <w:tcPr>
            <w:tcW w:w="524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13,073</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36,916</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58,896</w:t>
            </w: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24,054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56,970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46,921</w:t>
            </w:r>
          </w:p>
        </w:tc>
        <w:tc>
          <w:tcPr>
            <w:tcW w:w="120" w:type="dxa"/>
            <w:vAlign w:val="bottom"/>
          </w:tcPr>
          <w:p>
            <w:pPr>
              <w:spacing w:after="0"/>
              <w:rPr>
                <w:sz w:val="21"/>
                <w:szCs w:val="21"/>
                <w:color w:val="auto"/>
              </w:rPr>
            </w:pPr>
          </w:p>
        </w:tc>
      </w:tr>
      <w:tr>
        <w:trPr>
          <w:trHeight w:val="243"/>
        </w:trPr>
        <w:tc>
          <w:tcPr>
            <w:tcW w:w="524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124,360</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141,305</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249,603</w:t>
            </w: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w:t>
            </w:r>
          </w:p>
        </w:tc>
        <w:tc>
          <w:tcPr>
            <w:tcW w:w="120" w:type="dxa"/>
            <w:vAlign w:val="bottom"/>
          </w:tcPr>
          <w:p>
            <w:pPr>
              <w:spacing w:after="0"/>
              <w:rPr>
                <w:sz w:val="21"/>
                <w:szCs w:val="21"/>
                <w:color w:val="auto"/>
              </w:rPr>
            </w:pPr>
          </w:p>
        </w:tc>
      </w:tr>
      <w:tr>
        <w:trPr>
          <w:trHeight w:val="237"/>
        </w:trPr>
        <w:tc>
          <w:tcPr>
            <w:tcW w:w="5240" w:type="dxa"/>
            <w:vAlign w:val="bottom"/>
            <w:tcBorders>
              <w:right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interest income</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612,432</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782,002</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1,065,974</w:t>
            </w:r>
          </w:p>
        </w:tc>
        <w:tc>
          <w:tcPr>
            <w:tcW w:w="120" w:type="dxa"/>
            <w:vAlign w:val="bottom"/>
            <w:shd w:val="clear" w:color="auto" w:fill="CCFFCC"/>
          </w:tcPr>
          <w:p>
            <w:pPr>
              <w:spacing w:after="0"/>
              <w:rPr>
                <w:sz w:val="20"/>
                <w:szCs w:val="20"/>
                <w:color w:val="auto"/>
              </w:rPr>
            </w:pPr>
          </w:p>
        </w:tc>
      </w:tr>
      <w:tr>
        <w:trPr>
          <w:trHeight w:val="243"/>
        </w:trPr>
        <w:tc>
          <w:tcPr>
            <w:tcW w:w="5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40" w:type="dxa"/>
            <w:vAlign w:val="bottom"/>
            <w:tcBorders>
              <w:right w:val="single" w:sz="8" w:color="CCFFCC"/>
            </w:tcBorders>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4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9,234</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12,836</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19,869</w:t>
            </w: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101,254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160,565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263,487</w:t>
            </w:r>
          </w:p>
        </w:tc>
        <w:tc>
          <w:tcPr>
            <w:tcW w:w="120" w:type="dxa"/>
            <w:vAlign w:val="bottom"/>
          </w:tcPr>
          <w:p>
            <w:pPr>
              <w:spacing w:after="0"/>
              <w:rPr>
                <w:sz w:val="21"/>
                <w:szCs w:val="21"/>
                <w:color w:val="auto"/>
              </w:rPr>
            </w:pPr>
          </w:p>
        </w:tc>
      </w:tr>
      <w:tr>
        <w:trPr>
          <w:trHeight w:val="243"/>
        </w:trPr>
        <w:tc>
          <w:tcPr>
            <w:tcW w:w="524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Issued bonds</w:t>
            </w: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24,332</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25,283</w:t>
            </w:r>
          </w:p>
        </w:tc>
        <w:tc>
          <w:tcPr>
            <w:tcW w:w="2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33,592</w:t>
            </w:r>
          </w:p>
        </w:tc>
        <w:tc>
          <w:tcPr>
            <w:tcW w:w="120" w:type="dxa"/>
            <w:vAlign w:val="bottom"/>
            <w:shd w:val="clear" w:color="auto" w:fill="CCFFCC"/>
          </w:tcPr>
          <w:p>
            <w:pPr>
              <w:spacing w:after="0"/>
              <w:rPr>
                <w:sz w:val="21"/>
                <w:szCs w:val="21"/>
                <w:color w:val="auto"/>
              </w:rPr>
            </w:pPr>
          </w:p>
        </w:tc>
      </w:tr>
      <w:tr>
        <w:trPr>
          <w:trHeight w:val="270"/>
        </w:trPr>
        <w:tc>
          <w:tcPr>
            <w:tcW w:w="5240" w:type="dxa"/>
            <w:vAlign w:val="bottom"/>
          </w:tcPr>
          <w:p>
            <w:pPr>
              <w:ind w:left="160"/>
              <w:spacing w:after="0"/>
              <w:rPr>
                <w:sz w:val="20"/>
                <w:szCs w:val="20"/>
                <w:color w:val="auto"/>
              </w:rPr>
            </w:pPr>
            <w:r>
              <w:rPr>
                <w:rFonts w:ascii="Arial" w:cs="Arial" w:eastAsia="Arial" w:hAnsi="Arial"/>
                <w:sz w:val="18"/>
                <w:szCs w:val="18"/>
                <w:color w:val="auto"/>
              </w:rPr>
              <w:t>Borrowing from other financial institutions and others</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21,422</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60,013</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89,929</w:t>
            </w:r>
          </w:p>
        </w:tc>
        <w:tc>
          <w:tcPr>
            <w:tcW w:w="120" w:type="dxa"/>
            <w:vAlign w:val="bottom"/>
          </w:tcPr>
          <w:p>
            <w:pPr>
              <w:spacing w:after="0"/>
              <w:rPr>
                <w:sz w:val="23"/>
                <w:szCs w:val="23"/>
                <w:color w:val="auto"/>
              </w:rPr>
            </w:pPr>
          </w:p>
        </w:tc>
      </w:tr>
      <w:tr>
        <w:trPr>
          <w:trHeight w:val="243"/>
        </w:trPr>
        <w:tc>
          <w:tcPr>
            <w:tcW w:w="5240" w:type="dxa"/>
            <w:vAlign w:val="bottom"/>
            <w:tcBorders>
              <w:bottom w:val="single" w:sz="8" w:color="CCFFCC"/>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44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16,917</w:t>
            </w:r>
          </w:p>
        </w:tc>
        <w:tc>
          <w:tcPr>
            <w:tcW w:w="20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24,781</w:t>
            </w:r>
          </w:p>
        </w:tc>
        <w:tc>
          <w:tcPr>
            <w:tcW w:w="20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25,123</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37"/>
        </w:trPr>
        <w:tc>
          <w:tcPr>
            <w:tcW w:w="524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173,159</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283,478</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432,000</w:t>
            </w:r>
          </w:p>
        </w:tc>
        <w:tc>
          <w:tcPr>
            <w:tcW w:w="120" w:type="dxa"/>
            <w:vAlign w:val="bottom"/>
          </w:tcPr>
          <w:p>
            <w:pPr>
              <w:spacing w:after="0"/>
              <w:rPr>
                <w:sz w:val="20"/>
                <w:szCs w:val="20"/>
                <w:color w:val="auto"/>
              </w:rPr>
            </w:pPr>
          </w:p>
        </w:tc>
      </w:tr>
      <w:tr>
        <w:trPr>
          <w:trHeight w:val="20"/>
        </w:trPr>
        <w:tc>
          <w:tcPr>
            <w:tcW w:w="5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5240" w:type="dxa"/>
            <w:vAlign w:val="bottom"/>
            <w:tcBorders>
              <w:right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Net interest income</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439,273</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498,524</w:t>
            </w:r>
          </w:p>
        </w:tc>
        <w:tc>
          <w:tcPr>
            <w:tcW w:w="6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120" w:type="dxa"/>
            <w:vAlign w:val="bottom"/>
            <w:shd w:val="clear" w:color="auto" w:fill="CCFFCC"/>
          </w:tcPr>
          <w:p>
            <w:pPr>
              <w:spacing w:after="0"/>
              <w:rPr>
                <w:sz w:val="22"/>
                <w:szCs w:val="22"/>
                <w:color w:val="auto"/>
              </w:rPr>
            </w:pPr>
          </w:p>
        </w:tc>
      </w:tr>
      <w:tr>
        <w:trPr>
          <w:trHeight w:val="20"/>
        </w:trPr>
        <w:tc>
          <w:tcPr>
            <w:tcW w:w="52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net interest income increased 27.2% in 2007 compared to 2006, which in turn increased 13.5% compared to 2005.</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36.3% in 2007, after increasing 27.7% in 2006 compared to 2005. The increase in 2007 was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averages volumes in loans and trading securities and investments available for sale. Loan increase was mainly related to retail banking growth, while investments securities increase was due to gains related to BCRP certificates of deposit.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average nominal interest rates earned on its loans increased to 10.0% in 2007 from 9.9% in 2006 and from 9.5% in 2005. The average nominal interest rate for foreign currency-denominated loans increased from 8.1% in 2005 to 8.8% in 2006 and decrease to 8.6% in 2007. Interest rates for Nuevo Sol-denominated loans decreased from 16.0% in 2005 to 13.7% in 2006 and further to 13.5% in 2007.</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average balance of Credicorp’s foreign currency-denominated loan portfolio increased 24.3% to US$5,101.4 million in 2007 from US$4,104.5 million in 2006, which in turn increased 5.6% from US$3,888.6 million in 2005. The average balance of Credicorp’s Nuevo Sol-denominated loan portfolio increased 57.3% from US$831.4 million in 2005 to US$1,307.8 million in 2006, and by 48.5% to US$1,942.3 million in 2007. Credicorp’s excess liquidity has continued through 2007. During 2007, an increasing proportion of loans went to manufacturing, consumer, leasing, commerce and small business sectors presenting higher risk, but these sectors also yielded higher margins. See “Item 4. Information on the Company—(B) Business Overview—(12) Selected Statistical Information.”</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in 2007 by 52.4% compared to 2006, and by 63.7% in 2006 compared to 2005. Higher interest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in 2007 and 2006 were principally due to increases in the volume of deposits and variable market rates on deposits. Average nominal interest rates paid on foreign currency-denominated deposits increased from 1.9% in 2005 to 2.6% in 2006, and further to 2.8% in 2007. Average nominal interest paid on Nuevo Sol-denominated deposits increased from 2.0% in 2005 to 2.5% in 2006, and further to 3.2% in 2007. The higher increase in the average nominal interest rate paid in Nuevo Sol-denominated deposits indicates the effect caused by the appreciation of Nuevo Sol. See “Item 4. Information on the Company—(B) Business Overview—(8) Competition” and “—(12) Selected Statistical Information.”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05" w:name="page106"/>
    <w:bookmarkEnd w:id="105"/>
    <w:p>
      <w:pPr>
        <w:jc w:val="both"/>
        <w:ind w:firstLine="648"/>
        <w:spacing w:after="0" w:line="259" w:lineRule="auto"/>
        <w:rPr>
          <w:sz w:val="20"/>
          <w:szCs w:val="20"/>
          <w:color w:val="auto"/>
        </w:rPr>
      </w:pPr>
      <w:r>
        <w:rPr>
          <w:rFonts w:ascii="Arial" w:cs="Arial" w:eastAsia="Arial" w:hAnsi="Arial"/>
          <w:sz w:val="18"/>
          <w:szCs w:val="18"/>
          <w:color w:val="auto"/>
        </w:rPr>
        <w:t>Credicorp’s average foreign currency-denominated deposits increased 24.0% to US$7,216.6 million in 2007 from US$5,820.1 million in 2006, which in turn increased 16.7% from US$4,989.4 million in 2005. Credicorp’s average Nuevo Sol-denominated deposits increased 63.2% in 2007 to US$3,272.1 million from US$2,005.0 million in 2006, which in turn increased 21.0% from US$1,656.9 million in 2005. See “Item 4. Information on the Company—(B) Business Overview—(12) Selected Statistical Information.”</w:t>
      </w:r>
    </w:p>
    <w:p>
      <w:pPr>
        <w:spacing w:after="0" w:line="2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Net interest margin. </w:t>
      </w:r>
      <w:r>
        <w:rPr>
          <w:rFonts w:ascii="Arial" w:cs="Arial" w:eastAsia="Arial" w:hAnsi="Arial"/>
          <w:sz w:val="16"/>
          <w:szCs w:val="16"/>
          <w:color w:val="auto"/>
        </w:rPr>
        <w:t>Credicorp’s net interest margin (net interest income divided by average interest-earning assets) decreased to 4.5% in 2007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4.64% in 2006 and 4.90% in 2005 as returns declined on interest-earning assets, mainly securities and Nuevo Sol-denominated loans, while funding costs remained relatively unchanged. See ”Item 4. Information on the Company—(B) Business Overview—(12) Selected Statistical Information.”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classifies all of its loans and other credits by risk category.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in Credicorp’s reserve for loan losses: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2"/>
              </w:rPr>
              <w:t>Year ended December 31,</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0" w:type="dxa"/>
            <w:vAlign w:val="bottom"/>
            <w:gridSpan w:val="6"/>
          </w:tcPr>
          <w:p>
            <w:pPr>
              <w:jc w:val="right"/>
              <w:ind w:right="10"/>
              <w:spacing w:after="0"/>
              <w:rPr>
                <w:sz w:val="20"/>
                <w:szCs w:val="20"/>
                <w:color w:val="auto"/>
              </w:rPr>
            </w:pPr>
            <w:r>
              <w:rPr>
                <w:rFonts w:ascii="Arial" w:cs="Arial" w:eastAsia="Arial" w:hAnsi="Arial"/>
                <w:sz w:val="18"/>
                <w:szCs w:val="18"/>
                <w:i w:val="1"/>
                <w:iCs w:val="1"/>
                <w:color w:val="auto"/>
              </w:rPr>
              <w:t>(U.S. Dollars in 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424,031</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326,677</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271,873</w:t>
            </w:r>
          </w:p>
        </w:tc>
        <w:tc>
          <w:tcPr>
            <w:tcW w:w="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5"/>
              </w:rPr>
              <w:t>US$</w:t>
            </w: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218,636</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210,586</w:t>
            </w: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4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66,421</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16,131</w:t>
            </w: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(6,356)</w:t>
            </w:r>
          </w:p>
        </w:tc>
        <w:tc>
          <w:tcPr>
            <w:tcW w:w="4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(4,243)</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Acquisitions and sales</w:t>
            </w:r>
          </w:p>
        </w:tc>
        <w:tc>
          <w:tcPr>
            <w:tcW w:w="4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(9,024)</w:t>
            </w:r>
          </w:p>
        </w:tc>
        <w:tc>
          <w:tcPr>
            <w:tcW w:w="4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Recoveries of write-offs</w:t>
            </w:r>
          </w:p>
        </w:tc>
        <w:tc>
          <w:tcPr>
            <w:tcW w:w="4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17,416</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32,287</w:t>
            </w:r>
          </w:p>
        </w:tc>
        <w:tc>
          <w:tcPr>
            <w:tcW w:w="4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35,032</w:t>
            </w:r>
          </w:p>
        </w:tc>
        <w:tc>
          <w:tcPr>
            <w:tcW w:w="4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44,284</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34,084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4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(185,688)</w:t>
            </w:r>
          </w:p>
        </w:tc>
        <w:tc>
          <w:tcPr>
            <w:tcW w:w="4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(105,267)</w:t>
            </w: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(71,405)</w:t>
            </w:r>
          </w:p>
        </w:tc>
        <w:tc>
          <w:tcPr>
            <w:tcW w:w="4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(49,859)</w:t>
            </w:r>
          </w:p>
        </w:tc>
        <w:tc>
          <w:tcPr>
            <w:tcW w:w="4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(47,266)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c>
          <w:tcPr>
            <w:tcW w:w="4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1,768</w:t>
            </w:r>
          </w:p>
        </w:tc>
        <w:tc>
          <w:tcPr>
            <w:tcW w:w="4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End of the year</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326,677</w:t>
            </w:r>
          </w:p>
        </w:tc>
        <w:tc>
          <w:tcPr>
            <w:tcW w:w="10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271,873</w:t>
            </w:r>
          </w:p>
        </w:tc>
        <w:tc>
          <w:tcPr>
            <w:tcW w:w="10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218,636</w:t>
            </w:r>
          </w:p>
        </w:tc>
        <w:tc>
          <w:tcPr>
            <w:tcW w:w="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5"/>
              </w:rPr>
              <w:t>US$</w:t>
            </w: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210,586</w:t>
            </w:r>
          </w:p>
        </w:tc>
        <w:tc>
          <w:tcPr>
            <w:tcW w:w="44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2007, Credicorp recorded US$28.4 million of loan loss provision, while in 2006 it recorded a US$4.2 million of net loan recoveries. Total write offs amounted to US$47.3 million in 2007 and US$49.9 million in 2006. Total recoveries of write-offs reached US$34.1 in 2007 and US$44.3 million in 2006, decreasing 23.0% and increasing 26.4% in 2006. Provision expense in 2007 included US$3.5 million required by BCB (compared to US$2.5 million in 2006). Provisions made in 2007 were mainly related to consumer loans. Balance of recoveries of previously charged-off accounts in 2007 amounted to US$34.1 million (compared to US$44.3 million in 2006). The middle market and small business sectors continued to require a majority of the provisions made during 2007 and 2006. Provisions net of recoveries for middle market and small businesses were US$13.4 million in 2007 and US$16.8 million in 2006 (see also Note 7 to the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6" w:name="page107"/>
    <w:bookmarkEnd w:id="106"/>
    <w:p>
      <w:pPr>
        <w:jc w:val="both"/>
        <w:ind w:firstLine="648"/>
        <w:spacing w:after="0" w:line="277" w:lineRule="auto"/>
        <w:rPr>
          <w:sz w:val="20"/>
          <w:szCs w:val="20"/>
          <w:color w:val="auto"/>
        </w:rPr>
      </w:pPr>
      <w:r>
        <w:rPr>
          <w:rFonts w:ascii="Arial" w:cs="Arial" w:eastAsia="Arial" w:hAnsi="Arial"/>
          <w:sz w:val="18"/>
          <w:szCs w:val="18"/>
          <w:color w:val="auto"/>
        </w:rPr>
        <w:t>Total reserves, which amounted to US$229.7 million in 2007 include the allowance for direct and indirect credits for approximately US$211.3 million and US$18.4 million, respectively.</w:t>
      </w:r>
    </w:p>
    <w:p>
      <w:pPr>
        <w:spacing w:after="0" w:line="2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effects of the increase in provisions were partly offset by write-offs of loans amounting to US$47.3 million in 2007, a 5.2% decrease from US$49.9 million in 2006, which in turn decreased 30.2% from US$71.4 million in 2005. The loans charged off are primarily attributable to the removal of loans that were fully provided for and considered unrecoverable (see “Item 4. Information on the Company—(B) Business Overview—(12) Selected Statistical Information—(iii) Loan Portfolio—Loan Loss Reserves”).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Noninterest income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components of Credicorp’s noninterest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5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0" w:type="dxa"/>
            <w:vAlign w:val="bottom"/>
            <w:gridSpan w:val="7"/>
          </w:tcPr>
          <w:p>
            <w:pPr>
              <w:jc w:val="center"/>
              <w:ind w:left="550"/>
              <w:spacing w:after="0"/>
              <w:rPr>
                <w:sz w:val="20"/>
                <w:szCs w:val="20"/>
                <w:color w:val="auto"/>
              </w:rPr>
            </w:pPr>
            <w:r>
              <w:rPr>
                <w:rFonts w:ascii="Arial" w:cs="Arial" w:eastAsia="Arial" w:hAnsi="Arial"/>
                <w:sz w:val="18"/>
                <w:szCs w:val="18"/>
                <w:i w:val="1"/>
                <w:iCs w:val="1"/>
                <w:color w:val="auto"/>
                <w:w w:val="92"/>
              </w:rPr>
              <w:t>(U.S. Dollars in thousands)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206,163</w:t>
            </w:r>
          </w:p>
        </w:tc>
        <w:tc>
          <w:tcPr>
            <w:tcW w:w="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243,778</w:t>
            </w:r>
          </w:p>
        </w:tc>
        <w:tc>
          <w:tcPr>
            <w:tcW w:w="5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324,761</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8,965</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41,359</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440" w:type="dxa"/>
            <w:vAlign w:val="bottom"/>
            <w:shd w:val="clear" w:color="auto" w:fill="CCFFCC"/>
          </w:tcPr>
          <w:p>
            <w:pPr>
              <w:spacing w:after="0"/>
              <w:rPr>
                <w:sz w:val="21"/>
                <w:szCs w:val="21"/>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29,286</w:t>
            </w:r>
          </w:p>
        </w:tc>
        <w:tc>
          <w:tcPr>
            <w:tcW w:w="1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41,638</w:t>
            </w:r>
          </w:p>
        </w:tc>
        <w:tc>
          <w:tcPr>
            <w:tcW w:w="1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61,778</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21,571</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90,022</w:t>
            </w:r>
          </w:p>
        </w:tc>
      </w:tr>
      <w:tr>
        <w:trPr>
          <w:trHeight w:val="20"/>
        </w:trPr>
        <w:tc>
          <w:tcPr>
            <w:tcW w:w="5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Total non-interest income</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265,985</w:t>
            </w:r>
          </w:p>
        </w:tc>
        <w:tc>
          <w:tcPr>
            <w:tcW w:w="6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338,894</w:t>
            </w:r>
          </w:p>
        </w:tc>
        <w:tc>
          <w:tcPr>
            <w:tcW w:w="5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517,920</w:t>
            </w:r>
          </w:p>
        </w:tc>
      </w:tr>
      <w:tr>
        <w:trPr>
          <w:trHeight w:val="20"/>
        </w:trPr>
        <w:tc>
          <w:tcPr>
            <w:tcW w:w="52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noninterest income, without including net premiums earned, increased 52.8% to US$517.9 million in 2007 from US$338.9 million in 2006, which in turn increased 27.4% from US$266.0 million in 2005. The revenue increase in 2007 was principally due to an increase in fees and commissions from banking services, net gains from sales of securities and other gains.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Fees and commissions income from banking services increased 33.2% to US$324.8 million in 2007 from US$243.8 million in 2006, following a 18.2% increase in 2006 from US$206.2 million in 2005. The increase in fees and commissions income from banking services in 2007 was principally due to growth in account maintenance, money transfers, funds administration, commissions for collection, in 2006, due to growth in credit card fees, fund transfer fees and collections, and in 2005, due to growth in credit card and debit card fees, commissions for money orders and transfers and current and saving accounts.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gains from sales of securities increased 51.6% to US$41.4 million in 2007 from US$27.3 million in 2006, following an increase from US$9.0 million in 2005. The increase in 2007 was principally due to gains from market value fluctuation on sales of investments due to high returns on the Lima Stock Exchange.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on foreign exchange transactions increased 48.4% to US$61.8 million in 2007 from US$41.6 million in 2006, which in turn increased 42.2% from US$29.3 million in 2005. Net gains from foreign exchange transactions are not attributable to proprietary trading on the part of Credicorp. Higher gains in 2007 and 2006 were principally due to an increase in trading volume. This increase is caused by the constant growth of Peruvian economy and strengthened Nuevo-Sol, as well as an effect of increasing the quantity of branches and Internet transactions.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increased 243.6% to US$90.0 million in 2007 from US$26.2 million in 2006, after increasing 21.4% from US$21.6 million in 2005. Other income principally consists of valuation of assets and liabilities designated at fair value, sales of assets seized, recoveries of other accounts receivable and other assets and other income. The increase in other income in 2006 was mainly due to revenues from the sale of assets seized (a gain of US$10.7 million in 2007 compared to a gain of US$9.2 million in 2006), net of recoveries of other accounts receivable and other assets (US$3.1 million in 2007 compared to US$1.8 million in 2006), principally from valuation of Indexed certificates issued by Citigroup, which amounted to US$65.1 million. See Note 26 to the Credicorp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Credicorp’s insurance activities: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w w:val="94"/>
              </w:rPr>
              <w:t>Year ended 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5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60" w:type="dxa"/>
            <w:vAlign w:val="bottom"/>
            <w:gridSpan w:val="7"/>
          </w:tcPr>
          <w:p>
            <w:pPr>
              <w:ind w:left="40"/>
              <w:spacing w:after="0"/>
              <w:rPr>
                <w:sz w:val="20"/>
                <w:szCs w:val="20"/>
                <w:color w:val="auto"/>
              </w:rPr>
            </w:pPr>
            <w:r>
              <w:rPr>
                <w:rFonts w:ascii="Arial" w:cs="Arial" w:eastAsia="Arial" w:hAnsi="Arial"/>
                <w:sz w:val="18"/>
                <w:szCs w:val="18"/>
                <w:i w:val="1"/>
                <w:iCs w:val="1"/>
                <w:color w:val="auto"/>
              </w:rPr>
              <w:t>(U.S. Dollars 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218,955</w:t>
            </w:r>
          </w:p>
        </w:tc>
        <w:tc>
          <w:tcPr>
            <w:tcW w:w="5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251,261</w:t>
            </w:r>
          </w:p>
        </w:tc>
        <w:tc>
          <w:tcPr>
            <w:tcW w:w="6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297,272</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Net claims incurred</w:t>
            </w:r>
          </w:p>
        </w:tc>
        <w:tc>
          <w:tcPr>
            <w:tcW w:w="4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(42,569)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(46,587)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(67,689)</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4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(132,931)</w:t>
            </w:r>
          </w:p>
        </w:tc>
        <w:tc>
          <w:tcPr>
            <w:tcW w:w="8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(139,935)</w:t>
            </w:r>
          </w:p>
        </w:tc>
        <w:tc>
          <w:tcPr>
            <w:tcW w:w="8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(170,911)</w:t>
            </w:r>
          </w:p>
        </w:tc>
      </w:tr>
      <w:tr>
        <w:trPr>
          <w:trHeight w:val="20"/>
        </w:trPr>
        <w:tc>
          <w:tcPr>
            <w:tcW w:w="524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5240" w:type="dxa"/>
            <w:vAlign w:val="bottom"/>
          </w:tcPr>
          <w:p>
            <w:pPr>
              <w:ind w:left="340"/>
              <w:spacing w:after="0"/>
              <w:rPr>
                <w:sz w:val="20"/>
                <w:szCs w:val="20"/>
                <w:color w:val="auto"/>
              </w:rPr>
            </w:pPr>
            <w:r>
              <w:rPr>
                <w:rFonts w:ascii="Arial" w:cs="Arial" w:eastAsia="Arial" w:hAnsi="Arial"/>
                <w:sz w:val="18"/>
                <w:szCs w:val="18"/>
                <w:color w:val="auto"/>
              </w:rPr>
              <w:t>Total net premiums and claims</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43,455</w:t>
            </w:r>
          </w:p>
        </w:tc>
        <w:tc>
          <w:tcPr>
            <w:tcW w:w="120" w:type="dxa"/>
            <w:vAlign w:val="bottom"/>
          </w:tcPr>
          <w:p>
            <w:pPr>
              <w:spacing w:after="0"/>
              <w:rPr>
                <w:sz w:val="20"/>
                <w:szCs w:val="20"/>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64,739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58,672</w:t>
            </w:r>
          </w:p>
        </w:tc>
      </w:tr>
      <w:tr>
        <w:trPr>
          <w:trHeight w:val="20"/>
        </w:trPr>
        <w:tc>
          <w:tcPr>
            <w:tcW w:w="5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premiums and claims in 2007 were below 2006 and significantly over those reached in 2005. See “Item 4. Information on the Company—(B) Business Overview—(6) Pacífico Peruano Suiza.” Net premiums increased 18.3% to US$297.3 million in 2007 from US$251.3 million in 2006.</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premiums (including premium transfer and reserve adjustments) increased 25.4% to US$467.2 million in 2007 from US$372.6 million in 2006 after increasing 3.8% from 2005.</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Premiums for general insurance lines, which accounted for 51.3% of total premiums, increased 34.7% in 2007 after a 3.2% increase in 2006, mainly by automobiles which represented 15.3% of general insurance premiums in 2007 (13.3% in 2006) and which increased 54.6% from 2006. Technical lines, which represented 9.4% (8.2% in 2006), increased 55.3% from 2006, and medical assistance which represented 17.1% (19.0% in 2006), increased 21.4% from 2006. It is important to mention the increase of mandatory automobile line (SOAT), which represented 3.4% (1.8% in 2006) and increased 154.3% from 2006.</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Life insurance lines, (29.2% of total premiums in 2007) increased 16.6% from 2006, mainly due to a better performance in the Life products which represented 49.7% of life insurance premiums (43.3% in 2006) and which increased 33.8% from 2006. The Pension fund products, which represented 28.1% of life insurance premiums (25.4% in 2006), increased by 29.0% from 2006.</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Health insurance lines (19.5% of total premiums in 2007) increased by 17.5% from 2006, mainly due to the 17.4% increase in Regular insurance premiums which represented 87.7% of health insurance premiums (87.8% in 2006).</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2007, claims on insurance activities increased by 27.9% to US$238.6 million from US$186.5 million in 2006, mainly as a consequence of the business growth and the earthquake that affected the south of Peru in August 2007. Therefore, the net loss ratio, defined as net claims paid as a percentage of net premiums earned, reached 64.5% in 2007, increasing from 60.3% in both 2005 and 2006.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i w:val="1"/>
          <w:iCs w:val="1"/>
          <w:color w:val="auto"/>
        </w:rPr>
        <w:t>Other Expenses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components of Credicorp’s other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w w:val="94"/>
              </w:rPr>
              <w:t>Year ended December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5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60" w:type="dxa"/>
            <w:vAlign w:val="bottom"/>
            <w:gridSpan w:val="6"/>
          </w:tcPr>
          <w:p>
            <w:pPr>
              <w:ind w:left="40"/>
              <w:spacing w:after="0"/>
              <w:rPr>
                <w:sz w:val="20"/>
                <w:szCs w:val="20"/>
                <w:color w:val="auto"/>
              </w:rPr>
            </w:pPr>
            <w:r>
              <w:rPr>
                <w:rFonts w:ascii="Arial" w:cs="Arial" w:eastAsia="Arial" w:hAnsi="Arial"/>
                <w:sz w:val="18"/>
                <w:szCs w:val="18"/>
                <w:i w:val="1"/>
                <w:iCs w:val="1"/>
                <w:color w:val="auto"/>
              </w:rPr>
              <w:t>(U.S. Dollars in thousands)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236,347</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303,332</w:t>
            </w:r>
          </w:p>
        </w:tc>
        <w:tc>
          <w:tcPr>
            <w:tcW w:w="6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409,037</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138,294</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172,304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206,966</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38,728</w:t>
            </w: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50,317</w:t>
            </w: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51,013</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16,959</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3,057</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46,745</w:t>
            </w: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52,718</w:t>
            </w: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71,999</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Merger costs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other expenses and merger costs</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477,073</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590,764</w:t>
            </w:r>
          </w:p>
        </w:tc>
        <w:tc>
          <w:tcPr>
            <w:tcW w:w="6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742,072</w:t>
            </w:r>
          </w:p>
        </w:tc>
      </w:tr>
      <w:tr>
        <w:trPr>
          <w:trHeight w:val="20"/>
        </w:trPr>
        <w:tc>
          <w:tcPr>
            <w:tcW w:w="5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Personnel expenses increased 34.8% in 2007 compared to 2006, after a 28.3% increase in 2006, compared to 2005. The number of Credicorp personnel increased to 16,380 in 2007 from 15,213 in 2006, which in turn increased from 11,863 in 2005. Considering only BCP, the number of personnel increased to 11,132 in 2007 from 9,540 in 2006, after an increase from 8,161 in 2005. The increase in personnel expenses during 2007 was principally due to increases in salaries and stock appreciation rights (see Note 20 to the Credicorp Consolidated Financial Statements). Certain salaries are based on local currency, and therefore a revaluation of Nuevo Soles results in a higher amount when translated into U.S. Dollars.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Credicorp’s general and administrative expenses (which include taxes other than income taxes) increased 20.1% in 2007 compared to 2006, after increasing 24.6% compared to 2005. Higher expenses in 2006 were principally the result of increases in marketing expenses for ad campaigns and customer loyalty-building programs, system expenses, such as maintenance, licenses and projects, and transportation expenses. Additionally, after the merger with Unión Vida, Prima AFP incurred higher expenses in respect of its sales force. Higher expenses were also incurred in 2007 from increases in systems, marketing and transportation, as part of the bank’s efforts to broaden its network.</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assets seized decreased 52.1% to US$3.1 million in 2007 from US$6.4 million in 2006. This decrease was due to higher rotation in seizing and sales of assets. The decrease in provision is directly related to a higher volume of seized assets sales.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expenses increased 36.6% to US$72.0 million in 2007, after an increase of 12.8% in 2006, compared to 2005. Other expenses increased during 2007 principally due to commissions in insurance (US$29.1 million in 2007 compared to US$25.6 million in 2006) and sundry technical insurance expense (US$21.9 million in 2007 compared to US$10.9 million in 2006). In 2006, Credicorp recorded US$5.7 million as merger costs following the acquisition of AFP Unión Vida by Credicorp’s subsidiary Prima AFP.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translation result reflects exposure to revaluation of net monetary positions in Nuevo Soles. Credicorp recognized a US$34.6 million translation gain in 2007, a US$15.2 million translation gain in 2006 and a US$9.6 million translation loss in 2005. In 2007 and 2006 translation gain was mainly due to gains recorded from exposure to the Nuevo Sol which strengthened against U.S. Dollar.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Peruvian subsidiaries, including BCP, are subject to corporate taxation on income under the Peruvian tax law. The statutory income tax rate payable in Peru in 2003 was 27% of taxable income, which includes the result of exposure to inflation. Since 2004, the statutory income tax rate payable in Peru is 30% of taxable profits. An additional 4.1% withholding tax is applied on dividends, which Credicorp registers as income tax based on the liquid amount received from BCP and PPS.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2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Peruvian tax legislation is applicable to legal entities established in Peru, and on an individual (not consolidated) basis. Credicorp’s non-Peruvian subsidiaries are not subject to taxation in Peru and their assets are not included in the calculation of the Peruvian extraordinary tax on net assets.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by Credicorp increased to US$102.3 million in 2007 from US$83.6 million in 2006, which in turn increased from US$73.5 million in 2005. Income tax growth in these periods reflects increases in Credicorp’s taxable income. Since 1994, Credicorp has paid the Peruvian income tax at the statutory rate. The effective tax rates in 2005, 2006 and 2007 were 27.40%, 25.26%, and 21.55%, respectively.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Financial Condition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2007, Credicorp had total assets of US$17.7 billion, increasing 37.5% compared to total assets of US$12.9 billion as of December 31, 2006, with cash and due from banks increasing 12.5%, investments increasing 51.0% and loans, net of provisions, increasing 40.1%. From December 31, 2006 through December 31, 2007, the Peruvian financial system grew 22.2% in terms of deposits and 35.4% in terms of total loans, comparing balances translated to U.S. Dollars, while GDP grew 9.0%. The ratio of financial intermediation, as measured by the sum of currency in circulation, bank deposits and other bank obligations to the public, divided by GDP, was 5.2% in 1990 and, although this ratio reached approximately 25.5% in 2001 and 2002, it declined to 23.1% in 2004, and in turn increased to 23.5% in 2005 and decreased to 22.6% in 2006. In 2007, the ratio of financial intermediation decreased slightly to 21.7%. Although the ratio of financial intermediation is still below the 26.7% peak in the early 1970s, Credicorp expects the rate of growth in total assets to remain at moderate levels.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0" w:name="page111"/>
    <w:bookmarkEnd w:id="110"/>
    <w:p>
      <w:pPr>
        <w:jc w:val="both"/>
        <w:ind w:firstLine="648"/>
        <w:spacing w:after="0" w:line="279" w:lineRule="auto"/>
        <w:rPr>
          <w:sz w:val="20"/>
          <w:szCs w:val="20"/>
          <w:color w:val="auto"/>
        </w:rPr>
      </w:pPr>
      <w:r>
        <w:rPr>
          <w:rFonts w:ascii="Arial" w:cs="Arial" w:eastAsia="Arial" w:hAnsi="Arial"/>
          <w:sz w:val="17"/>
          <w:szCs w:val="17"/>
          <w:color w:val="auto"/>
        </w:rPr>
        <w:t>Improved finances among companies and individuals supported by a favorable economic environment and sustained increases in loan placements resulted in significant improvements in loan portfolio quality in recent years further accelerating the decrease in delinquency rates, which decreased from 1.9% in 2005 to 1.3% in 2006 and further to 1.1% in 2007. BCP’s coverage ratios also improved significantly in recent years from 207.7% in 2005 to 249.5% in 2006 and further to 351.8% in 2007, despite lower increases in provisions due to improving loan portfolio quality</w:t>
      </w:r>
      <w:r>
        <w:rPr>
          <w:rFonts w:ascii="Arial" w:cs="Arial" w:eastAsia="Arial" w:hAnsi="Arial"/>
          <w:sz w:val="17"/>
          <w:szCs w:val="17"/>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2007, Credicorp’s total loans were US$8,250.8 million, which represented 46.6% of total assets, and net of reserves for loan losses, loans were US$8,039.5 million. As of December 31, 2006, Credicorp’s total loans were US$5,927.1 million, which represented 46.0% of total assets, and net of reserves for loan losses, loans were US$5,736.8 million. Credicorp’s total loans increased from December 31, 2006 to December 31, 2007 by 39.2%, and net of loan loss reserves by 40.1% in the same period.</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total deposits with the Central Bank increased from US$1,405.9 million as of December 31, 2006 to US$1,798.6 million as of December 31, 2007. Credicorp’s securities holdings (which include marketable securities and investments) increased 51.0% to US$5,279.6 million on December 31, 2007 from US$3,495.8 million on December 31, 2006. The securities portfolio increase in 2007 was principally due to increased investments in Central Bank certificates, corporate, leasing subordinated bonds and in treasury bonds of various governments.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2007, Credicorp had total liabilities of US$15.9 billion, a 40.0% increase from total liabilities of US$11.3 billion as of December 31, 2006. As of December 31, 2007, Credicorp had total deposits of US$11,350.7 million, a 28.4% increase from total deposits of US$8,839.0 million on December 31, 2006. Credicorp believes that its extensive branch network and reputation in the Peruvian market have allowed it to compete effectively for new deposits and to attract stable, low cost savings deposits.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Credicorp’s funding strategy has been structured around maintaining a diversified deposit base. During 2007, demand deposits grew by 41.9% and time deposits by 23.3%, while saving deposits increased by 22.0%. As of December 31, 2006, Credicorp, through BCP unconsolidated, had 42.4% of total savings deposits in the Peruvian banking system, 42.4% of demand deposits and 36.2% of total deposits, the highest of any Peruvian bank in all three categories. An important characteristic of Credicorp’s deposit base is that, as of December 31, 2007, it included 53.0% of the entire Peruvian banking system’s CTS deposits, decreasing from 55.3% as of December 31, 2006. Credicorp believes that it traditionally has attracted a high percentage of the savings and CTS deposit market because of its reputation as a sound institution, its extensive branch network and the quality of its service. The decrease is due to the fact that new financial institutions have taken a small market share from BCP in this type of deposits. Credicorp’s core deposits (savings, CTS and demand deposits) accounted for 64.1% of its total deposits as of December 31, 2007.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360" w:type="dxa"/>
            <w:vAlign w:val="bottom"/>
            <w:gridSpan w:val="5"/>
          </w:tcPr>
          <w:p>
            <w:pPr>
              <w:ind w:left="400"/>
              <w:spacing w:after="0"/>
              <w:rPr>
                <w:sz w:val="20"/>
                <w:szCs w:val="20"/>
                <w:color w:val="auto"/>
              </w:rPr>
            </w:pPr>
            <w:r>
              <w:rPr>
                <w:rFonts w:ascii="Arial" w:cs="Arial" w:eastAsia="Arial" w:hAnsi="Arial"/>
                <w:sz w:val="18"/>
                <w:szCs w:val="18"/>
                <w:b w:val="1"/>
                <w:bCs w:val="1"/>
                <w:color w:val="auto"/>
              </w:rPr>
              <w:t>Liquidity and Capital Resources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60" w:type="dxa"/>
            <w:vAlign w:val="bottom"/>
            <w:gridSpan w:val="5"/>
          </w:tcPr>
          <w:p>
            <w:pPr>
              <w:ind w:left="28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As of December 31,</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539,498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539,498</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539,498</w:t>
            </w:r>
          </w:p>
        </w:tc>
        <w:tc>
          <w:tcPr>
            <w:tcW w:w="0" w:type="dxa"/>
            <w:vAlign w:val="bottom"/>
          </w:tcPr>
          <w:p>
            <w:pPr>
              <w:spacing w:after="0"/>
              <w:rPr>
                <w:sz w:val="1"/>
                <w:szCs w:val="1"/>
                <w:color w:val="auto"/>
              </w:rPr>
            </w:pPr>
          </w:p>
        </w:tc>
      </w:tr>
      <w:tr>
        <w:trPr>
          <w:trHeight w:val="243"/>
        </w:trPr>
        <w:tc>
          <w:tcPr>
            <w:tcW w:w="6740" w:type="dxa"/>
            <w:vAlign w:val="bottom"/>
            <w:gridSpan w:val="7"/>
          </w:tcPr>
          <w:p>
            <w:pPr>
              <w:spacing w:after="0"/>
              <w:rPr>
                <w:sz w:val="20"/>
                <w:szCs w:val="20"/>
                <w:color w:val="auto"/>
              </w:rPr>
            </w:pPr>
            <w:r>
              <w:rPr>
                <w:rFonts w:ascii="Arial" w:cs="Arial" w:eastAsia="Arial" w:hAnsi="Arial"/>
                <w:sz w:val="18"/>
                <w:szCs w:val="18"/>
                <w:color w:val="auto"/>
              </w:rPr>
              <w:t>Legal and other reserves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269,527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479,902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587,218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61,251</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37,281</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38,929</w:t>
            </w:r>
          </w:p>
        </w:tc>
        <w:tc>
          <w:tcPr>
            <w:tcW w:w="0" w:type="dxa"/>
            <w:vAlign w:val="bottom"/>
          </w:tcPr>
          <w:p>
            <w:pPr>
              <w:spacing w:after="0"/>
              <w:rPr>
                <w:sz w:val="1"/>
                <w:szCs w:val="1"/>
                <w:color w:val="auto"/>
              </w:rPr>
            </w:pPr>
          </w:p>
        </w:tc>
      </w:tr>
      <w:tr>
        <w:trPr>
          <w:trHeight w:val="243"/>
        </w:trPr>
        <w:tc>
          <w:tcPr>
            <w:tcW w:w="6740" w:type="dxa"/>
            <w:vAlign w:val="bottom"/>
            <w:gridSpan w:val="7"/>
          </w:tcPr>
          <w:p>
            <w:pPr>
              <w:spacing w:after="0"/>
              <w:rPr>
                <w:sz w:val="20"/>
                <w:szCs w:val="20"/>
                <w:color w:val="auto"/>
              </w:rPr>
            </w:pPr>
            <w:r>
              <w:rPr>
                <w:rFonts w:ascii="Arial" w:cs="Arial" w:eastAsia="Arial" w:hAnsi="Arial"/>
                <w:sz w:val="18"/>
                <w:szCs w:val="18"/>
                <w:color w:val="auto"/>
              </w:rPr>
              <w:t>Accepted Provisions for loan losses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49,169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58,562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82,261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31,276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140,086</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294,648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1900" w:type="dxa"/>
            <w:vAlign w:val="bottom"/>
            <w:shd w:val="clear" w:color="auto" w:fill="CCFFCC"/>
          </w:tcPr>
          <w:p>
            <w:pPr>
              <w:spacing w:after="0" w:line="20" w:lineRule="exact"/>
              <w:rPr>
                <w:sz w:val="1"/>
                <w:szCs w:val="1"/>
                <w:color w:val="auto"/>
              </w:rPr>
            </w:pPr>
          </w:p>
        </w:tc>
        <w:tc>
          <w:tcPr>
            <w:tcW w:w="12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60" w:type="dxa"/>
            <w:vAlign w:val="bottom"/>
            <w:gridSpan w:val="5"/>
          </w:tcPr>
          <w:p>
            <w:pPr>
              <w:ind w:left="12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950,721</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1,255,329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1,542,554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6"/>
            <w:shd w:val="clear" w:color="auto" w:fill="CCFFCC"/>
          </w:tcPr>
          <w:p>
            <w:pPr>
              <w:spacing w:after="0" w:line="201" w:lineRule="exact"/>
              <w:rPr>
                <w:sz w:val="20"/>
                <w:szCs w:val="20"/>
                <w:color w:val="auto"/>
              </w:rPr>
            </w:pPr>
            <w:r>
              <w:rPr>
                <w:rFonts w:ascii="Arial" w:cs="Arial" w:eastAsia="Arial" w:hAnsi="Arial"/>
                <w:sz w:val="18"/>
                <w:szCs w:val="18"/>
                <w:color w:val="auto"/>
              </w:rPr>
              <w:t>Less: investment in multilateral organizations, banks and insurance companies and</w:t>
            </w:r>
          </w:p>
        </w:tc>
        <w:tc>
          <w:tcPr>
            <w:tcW w:w="138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gridSpan w:val="6"/>
            <w:shd w:val="clear" w:color="auto" w:fill="CCFFCC"/>
          </w:tcPr>
          <w:p>
            <w:pPr>
              <w:ind w:left="160"/>
              <w:spacing w:after="0"/>
              <w:rPr>
                <w:sz w:val="20"/>
                <w:szCs w:val="20"/>
                <w:color w:val="auto"/>
              </w:rPr>
            </w:pPr>
            <w:r>
              <w:rPr>
                <w:rFonts w:ascii="Arial" w:cs="Arial" w:eastAsia="Arial" w:hAnsi="Arial"/>
                <w:sz w:val="18"/>
                <w:szCs w:val="18"/>
                <w:color w:val="auto"/>
              </w:rPr>
              <w:t>goodwill</w:t>
            </w:r>
          </w:p>
        </w:tc>
        <w:tc>
          <w:tcPr>
            <w:tcW w:w="16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(69,254)</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(118,917)</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(122,387)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360" w:type="dxa"/>
            <w:vAlign w:val="bottom"/>
            <w:gridSpan w:val="5"/>
          </w:tcPr>
          <w:p>
            <w:pPr>
              <w:ind w:left="120"/>
              <w:spacing w:after="0" w:line="256" w:lineRule="exact"/>
              <w:rPr>
                <w:sz w:val="20"/>
                <w:szCs w:val="20"/>
                <w:color w:val="auto"/>
              </w:rPr>
            </w:pPr>
            <w:r>
              <w:rPr>
                <w:rFonts w:ascii="Arial" w:cs="Arial" w:eastAsia="Arial" w:hAnsi="Arial"/>
                <w:sz w:val="18"/>
                <w:szCs w:val="18"/>
                <w:color w:val="auto"/>
              </w:rPr>
              <w:t>Total Regulatory Capital</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881,467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1,136,412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1,420,167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2"/>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30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740" w:type="dxa"/>
            <w:vAlign w:val="bottom"/>
            <w:gridSpan w:val="7"/>
          </w:tcPr>
          <w:p>
            <w:pPr>
              <w:spacing w:after="0" w:line="202" w:lineRule="exact"/>
              <w:rPr>
                <w:sz w:val="20"/>
                <w:szCs w:val="20"/>
                <w:color w:val="auto"/>
              </w:rPr>
            </w:pPr>
            <w:r>
              <w:rPr>
                <w:rFonts w:ascii="Arial" w:cs="Arial" w:eastAsia="Arial" w:hAnsi="Arial"/>
                <w:sz w:val="18"/>
                <w:szCs w:val="18"/>
                <w:color w:val="auto"/>
              </w:rPr>
              <w:t>Financial Entities Capital Ratio</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vMerge w:val="continue"/>
          </w:tcPr>
          <w:p>
            <w:pPr>
              <w:spacing w:after="0"/>
              <w:rPr>
                <w:sz w:val="23"/>
                <w:szCs w:val="23"/>
                <w:color w:val="auto"/>
              </w:rPr>
            </w:pPr>
          </w:p>
        </w:tc>
        <w:tc>
          <w:tcPr>
            <w:tcW w:w="672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Regulatory Capital attributable to Financial Entities</w:t>
            </w:r>
            <w:r>
              <w:rPr>
                <w:rFonts w:ascii="Arial" w:cs="Arial" w:eastAsia="Arial" w:hAnsi="Arial"/>
                <w:sz w:val="29"/>
                <w:szCs w:val="29"/>
                <w:color w:val="auto"/>
                <w:vertAlign w:val="superscript"/>
              </w:rPr>
              <w:t>(1)</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761,342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871,377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1,320,068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6"/>
          </w:tcPr>
          <w:p>
            <w:pPr>
              <w:spacing w:after="0" w:line="256" w:lineRule="exact"/>
              <w:rPr>
                <w:sz w:val="20"/>
                <w:szCs w:val="20"/>
                <w:color w:val="auto"/>
              </w:rPr>
            </w:pPr>
            <w:r>
              <w:rPr>
                <w:rFonts w:ascii="Arial" w:cs="Arial" w:eastAsia="Arial" w:hAnsi="Arial"/>
                <w:sz w:val="18"/>
                <w:szCs w:val="18"/>
                <w:color w:val="auto"/>
              </w:rPr>
              <w:t>Risk-weighted Assets From Financial Entities</w:t>
            </w:r>
            <w:r>
              <w:rPr>
                <w:rFonts w:ascii="Arial" w:cs="Arial" w:eastAsia="Arial" w:hAnsi="Arial"/>
                <w:sz w:val="29"/>
                <w:szCs w:val="29"/>
                <w:color w:val="auto"/>
                <w:vertAlign w:val="superscript"/>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5,810,046</w:t>
            </w:r>
          </w:p>
        </w:tc>
        <w:tc>
          <w:tcPr>
            <w:tcW w:w="22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7,273,023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10,313,188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 xml:space="preserve">Capital Ratio for Financial Entities </w:t>
            </w:r>
            <w:r>
              <w:rPr>
                <w:rFonts w:ascii="Arial" w:cs="Arial" w:eastAsia="Arial" w:hAnsi="Arial"/>
                <w:sz w:val="29"/>
                <w:szCs w:val="29"/>
                <w:color w:val="auto"/>
                <w:vertAlign w:val="superscript"/>
              </w:rPr>
              <w:t>(1) / (3)</w:t>
            </w:r>
          </w:p>
        </w:tc>
        <w:tc>
          <w:tcPr>
            <w:tcW w:w="160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11.98%</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26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1"/>
                <w:szCs w:val="21"/>
                <w:color w:val="auto"/>
              </w:rPr>
            </w:pPr>
          </w:p>
        </w:tc>
        <w:tc>
          <w:tcPr>
            <w:tcW w:w="35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w w:val="92"/>
              </w:rPr>
              <w:t>Minimum Regulatory Capital Required (MRCR)</w:t>
            </w:r>
          </w:p>
        </w:tc>
        <w:tc>
          <w:tcPr>
            <w:tcW w:w="180" w:type="dxa"/>
            <w:vAlign w:val="bottom"/>
            <w:tcBorders>
              <w:bottom w:val="single" w:sz="8" w:color="auto"/>
            </w:tcBorders>
            <w:gridSpan w:val="2"/>
            <w:shd w:val="clear" w:color="auto" w:fill="CCFFCC"/>
          </w:tcPr>
          <w:p>
            <w:pPr>
              <w:jc w:val="right"/>
              <w:spacing w:after="0" w:line="129" w:lineRule="exact"/>
              <w:rPr>
                <w:sz w:val="20"/>
                <w:szCs w:val="20"/>
                <w:color w:val="auto"/>
              </w:rPr>
            </w:pPr>
            <w:r>
              <w:rPr>
                <w:rFonts w:ascii="Arial" w:cs="Arial" w:eastAsia="Arial" w:hAnsi="Arial"/>
                <w:sz w:val="14"/>
                <w:szCs w:val="14"/>
                <w:color w:val="auto"/>
                <w:w w:val="93"/>
              </w:rPr>
              <w:t>(2)</w:t>
            </w:r>
          </w:p>
        </w:tc>
        <w:tc>
          <w:tcPr>
            <w:tcW w:w="30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right w:val="single" w:sz="8" w:color="CCFFCC"/>
            </w:tcBorders>
            <w:shd w:val="clear" w:color="auto" w:fill="CCFFCC"/>
          </w:tcPr>
          <w:p>
            <w:pPr>
              <w:spacing w:after="0"/>
              <w:rPr>
                <w:sz w:val="21"/>
                <w:szCs w:val="21"/>
                <w:color w:val="auto"/>
              </w:rPr>
            </w:pPr>
          </w:p>
        </w:tc>
        <w:tc>
          <w:tcPr>
            <w:tcW w:w="13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Borders>
              <w:top w:val="single" w:sz="8" w:color="auto"/>
            </w:tcBorders>
            <w:gridSpan w:val="4"/>
          </w:tcPr>
          <w:p>
            <w:pPr>
              <w:spacing w:after="0" w:line="256" w:lineRule="exact"/>
              <w:rPr>
                <w:sz w:val="20"/>
                <w:szCs w:val="20"/>
                <w:color w:val="auto"/>
              </w:rPr>
            </w:pPr>
            <w:r>
              <w:rPr>
                <w:rFonts w:ascii="Arial" w:cs="Arial" w:eastAsia="Arial" w:hAnsi="Arial"/>
                <w:sz w:val="18"/>
                <w:szCs w:val="18"/>
                <w:color w:val="auto"/>
              </w:rPr>
              <w:t>MRCR for Financial Entities</w:t>
            </w:r>
            <w:r>
              <w:rPr>
                <w:rFonts w:ascii="Arial" w:cs="Arial" w:eastAsia="Arial" w:hAnsi="Arial"/>
                <w:sz w:val="29"/>
                <w:szCs w:val="29"/>
                <w:color w:val="auto"/>
                <w:vertAlign w:val="superscript"/>
              </w:rPr>
              <w:t>(3)</w:t>
            </w:r>
          </w:p>
        </w:tc>
        <w:tc>
          <w:tcPr>
            <w:tcW w:w="3200" w:type="dxa"/>
            <w:vAlign w:val="bottom"/>
            <w:tcBorders>
              <w:top w:val="single" w:sz="8" w:color="CCFFCC"/>
            </w:tcBorders>
            <w:gridSpan w:val="2"/>
          </w:tcPr>
          <w:p>
            <w:pPr>
              <w:spacing w:after="0"/>
              <w:rPr>
                <w:sz w:val="22"/>
                <w:szCs w:val="22"/>
                <w:color w:val="auto"/>
              </w:rPr>
            </w:pPr>
          </w:p>
        </w:tc>
        <w:tc>
          <w:tcPr>
            <w:tcW w:w="160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559,074</w:t>
            </w:r>
          </w:p>
        </w:tc>
        <w:tc>
          <w:tcPr>
            <w:tcW w:w="1560" w:type="dxa"/>
            <w:vAlign w:val="bottom"/>
            <w:tcBorders>
              <w:top w:val="single" w:sz="8" w:color="CCFFCC"/>
            </w:tcBorders>
            <w:gridSpan w:val="2"/>
          </w:tcPr>
          <w:p>
            <w:pPr>
              <w:jc w:val="right"/>
              <w:ind w:right="200"/>
              <w:spacing w:after="0"/>
              <w:rPr>
                <w:sz w:val="20"/>
                <w:szCs w:val="20"/>
                <w:color w:val="auto"/>
              </w:rPr>
            </w:pPr>
            <w:r>
              <w:rPr>
                <w:rFonts w:ascii="Arial" w:cs="Arial" w:eastAsia="Arial" w:hAnsi="Arial"/>
                <w:sz w:val="18"/>
                <w:szCs w:val="18"/>
                <w:color w:val="auto"/>
              </w:rPr>
              <w:t>690,045</w:t>
            </w:r>
          </w:p>
        </w:tc>
        <w:tc>
          <w:tcPr>
            <w:tcW w:w="152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890,643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MRCR for Insurance Entities</w:t>
            </w:r>
            <w:r>
              <w:rPr>
                <w:rFonts w:ascii="Arial" w:cs="Arial" w:eastAsia="Arial" w:hAnsi="Arial"/>
                <w:sz w:val="29"/>
                <w:szCs w:val="29"/>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88,019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100,447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112,261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720" w:type="dxa"/>
            <w:vAlign w:val="bottom"/>
            <w:gridSpan w:val="6"/>
          </w:tcPr>
          <w:p>
            <w:pPr>
              <w:spacing w:after="0" w:line="284" w:lineRule="exact"/>
              <w:rPr>
                <w:sz w:val="20"/>
                <w:szCs w:val="20"/>
                <w:color w:val="auto"/>
              </w:rPr>
            </w:pPr>
            <w:r>
              <w:rPr>
                <w:rFonts w:ascii="Arial" w:cs="Arial" w:eastAsia="Arial" w:hAnsi="Arial"/>
                <w:sz w:val="18"/>
                <w:szCs w:val="18"/>
                <w:color w:val="auto"/>
              </w:rPr>
              <w:t>MRCR for Other Entities</w:t>
            </w:r>
            <w:r>
              <w:rPr>
                <w:rFonts w:ascii="Arial" w:cs="Arial" w:eastAsia="Arial" w:hAnsi="Arial"/>
                <w:sz w:val="30"/>
                <w:szCs w:val="30"/>
                <w:color w:val="auto"/>
                <w:vertAlign w:val="superscript"/>
              </w:rPr>
              <w:t>(3)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101,348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60,437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66,849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Total Minimum Regulatory Capital Required</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748,441</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850,959</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1,069,753</w:t>
            </w:r>
          </w:p>
        </w:tc>
        <w:tc>
          <w:tcPr>
            <w:tcW w:w="0" w:type="dxa"/>
            <w:vAlign w:val="bottom"/>
          </w:tcPr>
          <w:p>
            <w:pPr>
              <w:spacing w:after="0"/>
              <w:rPr>
                <w:sz w:val="1"/>
                <w:szCs w:val="1"/>
                <w:color w:val="auto"/>
              </w:rPr>
            </w:pPr>
          </w:p>
        </w:tc>
      </w:tr>
      <w:tr>
        <w:trPr>
          <w:trHeight w:val="229"/>
        </w:trPr>
        <w:tc>
          <w:tcPr>
            <w:tcW w:w="6740" w:type="dxa"/>
            <w:vAlign w:val="bottom"/>
            <w:gridSpan w:val="7"/>
          </w:tcPr>
          <w:p>
            <w:pPr>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117.77%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133.54%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123.76%</w:t>
            </w:r>
          </w:p>
        </w:tc>
        <w:tc>
          <w:tcPr>
            <w:tcW w:w="0" w:type="dxa"/>
            <w:vAlign w:val="bottom"/>
          </w:tcPr>
          <w:p>
            <w:pPr>
              <w:spacing w:after="0"/>
              <w:rPr>
                <w:sz w:val="1"/>
                <w:szCs w:val="1"/>
                <w:color w:val="auto"/>
              </w:rPr>
            </w:pPr>
          </w:p>
        </w:tc>
      </w:tr>
      <w:tr>
        <w:trPr>
          <w:trHeight w:val="230"/>
        </w:trPr>
        <w:tc>
          <w:tcPr>
            <w:tcW w:w="3520" w:type="dxa"/>
            <w:vAlign w:val="bottom"/>
            <w:gridSpan w:val="4"/>
          </w:tcPr>
          <w:p>
            <w:pPr>
              <w:spacing w:after="0"/>
              <w:rPr>
                <w:sz w:val="20"/>
                <w:szCs w:val="20"/>
                <w:color w:val="auto"/>
              </w:rPr>
            </w:pPr>
            <w:r>
              <w:rPr>
                <w:rFonts w:ascii="Arial" w:cs="Arial" w:eastAsia="Arial" w:hAnsi="Arial"/>
                <w:sz w:val="18"/>
                <w:szCs w:val="18"/>
                <w:color w:val="auto"/>
              </w:rPr>
              <w:t>____________________________</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61"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23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Minimum Regulatory Capital Required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3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has a MRCR of 9.09% of the Risk-Weighted Assets (RWA). For ASB (Panama), the MRCR is 8% of the RWA. For ASHC (Cayman Islands), the MRCR is 15%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3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Credicorp’s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12" w:name="page113"/>
    <w:bookmarkEnd w:id="112"/>
    <w:p>
      <w:pPr>
        <w:jc w:val="both"/>
        <w:ind w:firstLine="648"/>
        <w:spacing w:after="0" w:line="271" w:lineRule="auto"/>
        <w:rPr>
          <w:sz w:val="20"/>
          <w:szCs w:val="20"/>
          <w:color w:val="auto"/>
        </w:rPr>
      </w:pPr>
      <w:r>
        <w:rPr>
          <w:rFonts w:ascii="Arial" w:cs="Arial" w:eastAsia="Arial" w:hAnsi="Arial"/>
          <w:sz w:val="17"/>
          <w:szCs w:val="17"/>
          <w:color w:val="auto"/>
        </w:rPr>
        <w:t>The growth of Credicorp’s deposit base over the past years has enabled Credicorp to significantly increase its lending activity. BCP is subject to SBS Resolution No. 622-98, enacted in July 1998,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2007 were 71.72% and 42.39% for Nuevos Soles and foreign exchange-based transactions, respectively (56.91% and 51.99% respectively, in December 2006), demonstrating Credicorp’s continuing excess liquidity. Credicorp has never defaulted on any of its debt or been forced to reschedule any of its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Group and ASHC’s Private Banking Group, and premiums and amounts earned on invested assets at PPS. Credicorp believes that funds from its deposit-taking operations generally will continue to meet Credicorp’s liquidity needs for the foreseeable future.</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Retail Banking Group has developed a diversified and stable deposit base and the Private Banking Group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time deposits and CTS deposits. Other sources of funds and liquidity, mostly short- and long-term borrowings from correspondent banks and other financial institutions, issued bonds and subordinated debt, are of a considerably lower significance compared to Credicorp’s core deposits. See Notes 14 and 15 to the Credicorp Consolidated Financial Statements.</w:t>
      </w:r>
    </w:p>
    <w:p>
      <w:pPr>
        <w:spacing w:after="0" w:line="247" w:lineRule="exact"/>
        <w:rPr>
          <w:sz w:val="20"/>
          <w:szCs w:val="20"/>
          <w:color w:val="auto"/>
        </w:rPr>
      </w:pPr>
    </w:p>
    <w:p>
      <w:pPr>
        <w:jc w:val="both"/>
        <w:ind w:firstLine="810"/>
        <w:spacing w:after="0" w:line="297" w:lineRule="auto"/>
        <w:rPr>
          <w:sz w:val="20"/>
          <w:szCs w:val="20"/>
          <w:color w:val="auto"/>
        </w:rPr>
      </w:pPr>
      <w:r>
        <w:rPr>
          <w:rFonts w:ascii="Arial" w:cs="Arial" w:eastAsia="Arial" w:hAnsi="Arial"/>
          <w:sz w:val="16"/>
          <w:szCs w:val="16"/>
          <w:color w:val="auto"/>
        </w:rPr>
        <w:t>In 2007, BCP successfully carried out the plan to expand the physical infrastructure of its operations in Peru. BCP opened 36 new offices, 93 ATMs and 670 Agentes BCP, and updated its technological equipment, for a total investment of US$70 million. BCP have budgeted investments worth US$150 million for 2008. It is our intention to open 75 new offices, install 150 ATMs and launch 350 new Agentes BCP nationwide. A significant amount will be spent by the IT department in 2008 to buy new equipment and applications. Also, the expansion of the La Molina administrative headquarters and the construction in phases of two alternate computer centers as processing back-up facilities (one in Chorrillos and the other in Trujillo) are planned by 2010.</w:t>
      </w:r>
    </w:p>
    <w:p>
      <w:pPr>
        <w:spacing w:after="0" w:line="212"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During 2007, Credicorp loans grew significantly, compared with a smaller increase in deposits. Therefore, capital markets and external banks contributed to the funding of the Bank’s operations. Foreign banks’ short-term funding expanded significantly and was allocated to foreign exchange operations, working capital and derivative hedging. Two important funding operations were carried out: an issuance of US$35 million in foreign currencies in the local market and an issuance of S/.180 million in domestic currency. In July 2007, US$500 million worth of securitized notes were issued, the largest issue carried out in the international market by a Peruvian company. Likewise, subordinate bonds were issued for S/.483 million, representing the first subordinated issue in local currency in the international market. Both issues were successful despite incipient signs of volatility and the deterioration in the international market.</w:t>
      </w:r>
    </w:p>
    <w:p>
      <w:pPr>
        <w:spacing w:after="0" w:line="243"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Treasury monetary surpluses are invested in a variety of financial instruments in Peru and in the main international financial markets. Good credit quality, adequate liquidity levels and high returns are always sought through diversification. During 2007, Credicorp’s investments were focused principally on instruments denominated in Nuevos Soles and turned Credicorp’s treasury into the principal investor in these instruments in Peru. The investments exceeded S/.9,500 million, as much in BCR’s Certificates of Deposit as in sovereign bonds, where Credicorp participated actively through a successful market makers program. Likewise, during the year Credicorp carried out sovereign debt operations on our clients’ account for more than S/. 13 billion, demonstrating market leadership.</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3" w:name="page114"/>
    <w:bookmarkEnd w:id="113"/>
    <w:p>
      <w:pPr>
        <w:ind w:left="820"/>
        <w:spacing w:after="0"/>
        <w:rPr>
          <w:sz w:val="20"/>
          <w:szCs w:val="20"/>
          <w:color w:val="auto"/>
        </w:rPr>
      </w:pPr>
      <w:r>
        <w:rPr>
          <w:rFonts w:ascii="Arial" w:cs="Arial" w:eastAsia="Arial" w:hAnsi="Arial"/>
          <w:sz w:val="18"/>
          <w:szCs w:val="18"/>
          <w:color w:val="auto"/>
        </w:rPr>
        <w:t>The following table presents Credicorp’s core deposits, other deposits and other sources of funds: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At December 31,</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5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2"/>
                <w:szCs w:val="22"/>
                <w:color w:val="auto"/>
              </w:rPr>
            </w:pPr>
          </w:p>
        </w:tc>
      </w:tr>
      <w:tr>
        <w:trPr>
          <w:trHeight w:val="237"/>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gridSpan w:val="5"/>
          </w:tcPr>
          <w:p>
            <w:pPr>
              <w:jc w:val="center"/>
              <w:ind w:right="230"/>
              <w:spacing w:after="0"/>
              <w:rPr>
                <w:sz w:val="20"/>
                <w:szCs w:val="20"/>
                <w:color w:val="auto"/>
              </w:rPr>
            </w:pPr>
            <w:r>
              <w:rPr>
                <w:rFonts w:ascii="Arial" w:cs="Arial" w:eastAsia="Arial" w:hAnsi="Arial"/>
                <w:sz w:val="18"/>
                <w:szCs w:val="18"/>
                <w:i w:val="1"/>
                <w:iCs w:val="1"/>
                <w:color w:val="auto"/>
                <w:w w:val="92"/>
              </w:rPr>
              <w:t>(U.S. Dollars in thousands)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Demand deposits</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rPr>
                <w:sz w:val="20"/>
                <w:szCs w:val="20"/>
                <w:color w:val="auto"/>
              </w:rPr>
            </w:pPr>
            <w:r>
              <w:rPr>
                <w:rFonts w:ascii="Arial" w:cs="Arial" w:eastAsia="Arial" w:hAnsi="Arial"/>
                <w:sz w:val="18"/>
                <w:szCs w:val="18"/>
                <w:color w:val="auto"/>
              </w:rPr>
              <w:t>1,801,314</w:t>
            </w:r>
          </w:p>
        </w:tc>
        <w:tc>
          <w:tcPr>
            <w:tcW w:w="2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2,792,433</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rPr>
                <w:sz w:val="20"/>
                <w:szCs w:val="20"/>
                <w:color w:val="auto"/>
              </w:rPr>
            </w:pPr>
            <w:r>
              <w:rPr>
                <w:rFonts w:ascii="Arial" w:cs="Arial" w:eastAsia="Arial" w:hAnsi="Arial"/>
                <w:sz w:val="18"/>
                <w:szCs w:val="18"/>
                <w:color w:val="auto"/>
              </w:rPr>
              <w:t>3,964,501</w:t>
            </w:r>
          </w:p>
        </w:tc>
        <w:tc>
          <w:tcPr>
            <w:tcW w:w="220" w:type="dxa"/>
            <w:vAlign w:val="bottom"/>
          </w:tcPr>
          <w:p>
            <w:pPr>
              <w:spacing w:after="0"/>
              <w:rPr>
                <w:sz w:val="21"/>
                <w:szCs w:val="21"/>
                <w:color w:val="auto"/>
              </w:rPr>
            </w:pPr>
          </w:p>
        </w:tc>
      </w:tr>
      <w:tr>
        <w:trPr>
          <w:trHeight w:val="243"/>
        </w:trPr>
        <w:tc>
          <w:tcPr>
            <w:tcW w:w="50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2,105,364</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1,951,978</w:t>
            </w: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2,380,904</w:t>
            </w: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Severance indemnity deposits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654,791</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775,027</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896,283</w:t>
            </w:r>
          </w:p>
        </w:tc>
        <w:tc>
          <w:tcPr>
            <w:tcW w:w="220" w:type="dxa"/>
            <w:vAlign w:val="bottom"/>
          </w:tcPr>
          <w:p>
            <w:pPr>
              <w:spacing w:after="0"/>
              <w:rPr>
                <w:sz w:val="21"/>
                <w:szCs w:val="21"/>
                <w:color w:val="auto"/>
              </w:rPr>
            </w:pP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680" w:type="dxa"/>
            <w:vAlign w:val="bottom"/>
            <w:gridSpan w:val="2"/>
            <w:shd w:val="clear" w:color="auto" w:fill="CCFFCC"/>
          </w:tcPr>
          <w:p>
            <w:pPr>
              <w:ind w:left="200"/>
              <w:spacing w:after="0"/>
              <w:rPr>
                <w:sz w:val="20"/>
                <w:szCs w:val="20"/>
                <w:color w:val="auto"/>
              </w:rPr>
            </w:pPr>
            <w:r>
              <w:rPr>
                <w:rFonts w:ascii="Arial" w:cs="Arial" w:eastAsia="Arial" w:hAnsi="Arial"/>
                <w:sz w:val="18"/>
                <w:szCs w:val="18"/>
                <w:b w:val="1"/>
                <w:bCs w:val="1"/>
                <w:color w:val="auto"/>
              </w:rPr>
              <w:t>US$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4,561,469</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5,519,438</w:t>
            </w:r>
          </w:p>
        </w:tc>
        <w:tc>
          <w:tcPr>
            <w:tcW w:w="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7,241,688</w:t>
            </w: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Deposits</w:t>
            </w: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ind w:left="34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2,459,907</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3,218,157</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3,967,864</w:t>
            </w:r>
          </w:p>
        </w:tc>
        <w:tc>
          <w:tcPr>
            <w:tcW w:w="220" w:type="dxa"/>
            <w:vAlign w:val="bottom"/>
          </w:tcPr>
          <w:p>
            <w:pPr>
              <w:spacing w:after="0"/>
              <w:rPr>
                <w:sz w:val="21"/>
                <w:szCs w:val="21"/>
                <w:color w:val="auto"/>
              </w:rPr>
            </w:pPr>
          </w:p>
        </w:tc>
      </w:tr>
      <w:tr>
        <w:trPr>
          <w:trHeight w:val="243"/>
        </w:trPr>
        <w:tc>
          <w:tcPr>
            <w:tcW w:w="50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Bank certificates</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46,378</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61,539</w:t>
            </w: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90,119</w:t>
            </w:r>
          </w:p>
        </w:tc>
        <w:tc>
          <w:tcPr>
            <w:tcW w:w="220" w:type="dxa"/>
            <w:vAlign w:val="bottom"/>
            <w:shd w:val="clear" w:color="auto" w:fill="CCFFCC"/>
          </w:tcPr>
          <w:p>
            <w:pPr>
              <w:spacing w:after="0"/>
              <w:rPr>
                <w:sz w:val="21"/>
                <w:szCs w:val="21"/>
                <w:color w:val="auto"/>
              </w:rPr>
            </w:pPr>
          </w:p>
        </w:tc>
      </w:tr>
      <w:tr>
        <w:trPr>
          <w:trHeight w:val="20"/>
        </w:trPr>
        <w:tc>
          <w:tcPr>
            <w:tcW w:w="50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deposits</w:t>
            </w:r>
          </w:p>
        </w:tc>
        <w:tc>
          <w:tcPr>
            <w:tcW w:w="680" w:type="dxa"/>
            <w:vAlign w:val="bottom"/>
            <w:gridSpan w:val="2"/>
          </w:tcPr>
          <w:p>
            <w:pPr>
              <w:ind w:left="200"/>
              <w:spacing w:after="0"/>
              <w:rPr>
                <w:sz w:val="20"/>
                <w:szCs w:val="20"/>
                <w:color w:val="auto"/>
              </w:rPr>
            </w:pPr>
            <w:r>
              <w:rPr>
                <w:rFonts w:ascii="Arial" w:cs="Arial" w:eastAsia="Arial" w:hAnsi="Arial"/>
                <w:sz w:val="18"/>
                <w:szCs w:val="18"/>
                <w:b w:val="1"/>
                <w:bCs w:val="1"/>
                <w:color w:val="auto"/>
              </w:rPr>
              <w:t>US$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7,067,754</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8,799,134</w:t>
            </w:r>
          </w:p>
        </w:tc>
        <w:tc>
          <w:tcPr>
            <w:tcW w:w="4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11,299,671</w:t>
            </w:r>
          </w:p>
        </w:tc>
      </w:tr>
      <w:tr>
        <w:trPr>
          <w:trHeight w:val="243"/>
        </w:trPr>
        <w:tc>
          <w:tcPr>
            <w:tcW w:w="5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rPr>
                <w:sz w:val="20"/>
                <w:szCs w:val="20"/>
                <w:color w:val="auto"/>
              </w:rPr>
            </w:pPr>
            <w:r>
              <w:rPr>
                <w:rFonts w:ascii="Arial" w:cs="Arial" w:eastAsia="Arial" w:hAnsi="Arial"/>
                <w:sz w:val="18"/>
                <w:szCs w:val="18"/>
                <w:color w:val="auto"/>
              </w:rPr>
              <w:t>1,301,295</w:t>
            </w:r>
          </w:p>
        </w:tc>
        <w:tc>
          <w:tcPr>
            <w:tcW w:w="2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936,534</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rPr>
                <w:sz w:val="20"/>
                <w:szCs w:val="20"/>
                <w:color w:val="auto"/>
              </w:rPr>
            </w:pPr>
            <w:r>
              <w:rPr>
                <w:rFonts w:ascii="Arial" w:cs="Arial" w:eastAsia="Arial" w:hAnsi="Arial"/>
                <w:sz w:val="18"/>
                <w:szCs w:val="18"/>
                <w:color w:val="auto"/>
              </w:rPr>
              <w:t>2,314,418</w:t>
            </w:r>
          </w:p>
        </w:tc>
        <w:tc>
          <w:tcPr>
            <w:tcW w:w="220" w:type="dxa"/>
            <w:vAlign w:val="bottom"/>
          </w:tcPr>
          <w:p>
            <w:pPr>
              <w:spacing w:after="0"/>
              <w:rPr>
                <w:sz w:val="21"/>
                <w:szCs w:val="21"/>
                <w:color w:val="auto"/>
              </w:rPr>
            </w:pPr>
          </w:p>
        </w:tc>
      </w:tr>
      <w:tr>
        <w:trPr>
          <w:trHeight w:val="243"/>
        </w:trPr>
        <w:tc>
          <w:tcPr>
            <w:tcW w:w="5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Issued bonds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425,611</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508,493</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694,982</w:t>
            </w:r>
          </w:p>
        </w:tc>
        <w:tc>
          <w:tcPr>
            <w:tcW w:w="220" w:type="dxa"/>
            <w:vAlign w:val="bottom"/>
          </w:tcPr>
          <w:p>
            <w:pPr>
              <w:spacing w:after="0"/>
              <w:rPr>
                <w:sz w:val="21"/>
                <w:szCs w:val="21"/>
                <w:color w:val="auto"/>
              </w:rPr>
            </w:pPr>
          </w:p>
        </w:tc>
      </w:tr>
      <w:tr>
        <w:trPr>
          <w:trHeight w:val="243"/>
        </w:trPr>
        <w:tc>
          <w:tcPr>
            <w:tcW w:w="5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680" w:type="dxa"/>
            <w:vAlign w:val="bottom"/>
            <w:gridSpan w:val="2"/>
          </w:tcPr>
          <w:p>
            <w:pPr>
              <w:ind w:left="200"/>
              <w:spacing w:after="0"/>
              <w:rPr>
                <w:sz w:val="20"/>
                <w:szCs w:val="20"/>
                <w:color w:val="auto"/>
              </w:rPr>
            </w:pPr>
            <w:r>
              <w:rPr>
                <w:rFonts w:ascii="Arial" w:cs="Arial" w:eastAsia="Arial" w:hAnsi="Arial"/>
                <w:sz w:val="18"/>
                <w:szCs w:val="18"/>
                <w:b w:val="1"/>
                <w:bCs w:val="1"/>
                <w:color w:val="auto"/>
              </w:rPr>
              <w:t>US$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8,794,660</w:t>
            </w:r>
          </w:p>
        </w:tc>
        <w:tc>
          <w:tcPr>
            <w:tcW w:w="20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10,244,161</w:t>
            </w:r>
          </w:p>
        </w:tc>
        <w:tc>
          <w:tcPr>
            <w:tcW w:w="4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14,309,071</w:t>
            </w:r>
          </w:p>
        </w:tc>
      </w:tr>
      <w:tr>
        <w:trPr>
          <w:trHeight w:val="243"/>
        </w:trPr>
        <w:tc>
          <w:tcPr>
            <w:tcW w:w="5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64.5%</w:t>
            </w:r>
          </w:p>
        </w:tc>
        <w:tc>
          <w:tcPr>
            <w:tcW w:w="4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62.7%</w:t>
            </w:r>
          </w:p>
        </w:tc>
        <w:tc>
          <w:tcPr>
            <w:tcW w:w="4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64.1%</w:t>
            </w: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9"/>
              </w:rPr>
              <w:t>Core deposits as a percent of total sources of liquid funds</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51.9%</w:t>
            </w:r>
          </w:p>
        </w:tc>
        <w:tc>
          <w:tcPr>
            <w:tcW w:w="4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53.9%</w:t>
            </w:r>
          </w:p>
        </w:tc>
        <w:tc>
          <w:tcPr>
            <w:tcW w:w="4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50.6%</w:t>
            </w:r>
          </w:p>
        </w:tc>
      </w:tr>
    </w:tbl>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is required to keep deposits with the Central Bank, as legal reserves, determined as a percentage of the deposits and other liabilities owed to its clients. The requirement is currently approximately 8.5% of Nuevos Soles-denominated deposits and U.S. Dollar-denominated deposits, increasing from the requirement of 6.0% which was effective until December 2007.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4" w:name="page115"/>
    <w:bookmarkEnd w:id="114"/>
    <w:p>
      <w:pPr>
        <w:ind w:left="500"/>
        <w:spacing w:after="0"/>
        <w:rPr>
          <w:sz w:val="20"/>
          <w:szCs w:val="20"/>
          <w:color w:val="auto"/>
        </w:rPr>
      </w:pPr>
      <w:r>
        <w:rPr>
          <w:rFonts w:ascii="Arial" w:cs="Arial" w:eastAsia="Arial" w:hAnsi="Arial"/>
          <w:sz w:val="18"/>
          <w:szCs w:val="18"/>
          <w:color w:val="auto"/>
        </w:rPr>
        <w:t>The following table presents Credicorp’s deposits at the Central Bank, and its investments in Central Bank certificates: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rPr>
              <w:t>At December 31,</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5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r>
      <w:tr>
        <w:trPr>
          <w:trHeight w:val="237"/>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60" w:type="dxa"/>
            <w:vAlign w:val="bottom"/>
            <w:gridSpan w:val="6"/>
          </w:tcPr>
          <w:p>
            <w:pPr>
              <w:ind w:left="40"/>
              <w:spacing w:after="0"/>
              <w:rPr>
                <w:sz w:val="20"/>
                <w:szCs w:val="20"/>
                <w:color w:val="auto"/>
              </w:rPr>
            </w:pPr>
            <w:r>
              <w:rPr>
                <w:rFonts w:ascii="Arial" w:cs="Arial" w:eastAsia="Arial" w:hAnsi="Arial"/>
                <w:sz w:val="18"/>
                <w:szCs w:val="18"/>
                <w:i w:val="1"/>
                <w:iCs w:val="1"/>
                <w:color w:val="auto"/>
              </w:rPr>
              <w:t>(U.S. Dollars in thousands)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5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Deposits</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1,599,153</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1,405,853</w:t>
            </w:r>
          </w:p>
        </w:tc>
        <w:tc>
          <w:tcPr>
            <w:tcW w:w="18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1040" w:type="dxa"/>
            <w:vAlign w:val="bottom"/>
          </w:tcPr>
          <w:p>
            <w:pPr>
              <w:jc w:val="right"/>
              <w:spacing w:after="0"/>
              <w:rPr>
                <w:sz w:val="20"/>
                <w:szCs w:val="20"/>
                <w:color w:val="auto"/>
              </w:rPr>
            </w:pPr>
            <w:r>
              <w:rPr>
                <w:rFonts w:ascii="Arial" w:cs="Arial" w:eastAsia="Arial" w:hAnsi="Arial"/>
                <w:sz w:val="18"/>
                <w:szCs w:val="18"/>
                <w:color w:val="auto"/>
              </w:rPr>
              <w:t>1,798,581</w:t>
            </w:r>
          </w:p>
        </w:tc>
        <w:tc>
          <w:tcPr>
            <w:tcW w:w="180" w:type="dxa"/>
            <w:vAlign w:val="bottom"/>
          </w:tcPr>
          <w:p>
            <w:pPr>
              <w:spacing w:after="0"/>
              <w:rPr>
                <w:sz w:val="21"/>
                <w:szCs w:val="21"/>
                <w:color w:val="auto"/>
              </w:rPr>
            </w:pPr>
          </w:p>
        </w:tc>
      </w:tr>
      <w:tr>
        <w:trPr>
          <w:trHeight w:val="243"/>
        </w:trPr>
        <w:tc>
          <w:tcPr>
            <w:tcW w:w="5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Certificates of deposits</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554,530</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1,110,002</w:t>
            </w:r>
          </w:p>
        </w:tc>
        <w:tc>
          <w:tcPr>
            <w:tcW w:w="18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1040" w:type="dxa"/>
            <w:vAlign w:val="bottom"/>
          </w:tcPr>
          <w:p>
            <w:pPr>
              <w:jc w:val="right"/>
              <w:spacing w:after="0"/>
              <w:rPr>
                <w:sz w:val="20"/>
                <w:szCs w:val="20"/>
                <w:color w:val="auto"/>
              </w:rPr>
            </w:pPr>
            <w:r>
              <w:rPr>
                <w:rFonts w:ascii="Arial" w:cs="Arial" w:eastAsia="Arial" w:hAnsi="Arial"/>
                <w:sz w:val="18"/>
                <w:szCs w:val="18"/>
                <w:color w:val="auto"/>
              </w:rPr>
              <w:t>2,164,188</w:t>
            </w:r>
          </w:p>
        </w:tc>
        <w:tc>
          <w:tcPr>
            <w:tcW w:w="180" w:type="dxa"/>
            <w:vAlign w:val="bottom"/>
          </w:tcPr>
          <w:p>
            <w:pPr>
              <w:spacing w:after="0"/>
              <w:rPr>
                <w:sz w:val="21"/>
                <w:szCs w:val="21"/>
                <w:color w:val="auto"/>
              </w:rPr>
            </w:pPr>
          </w:p>
        </w:tc>
      </w:tr>
      <w:tr>
        <w:trPr>
          <w:trHeight w:val="243"/>
        </w:trPr>
        <w:tc>
          <w:tcPr>
            <w:tcW w:w="5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BCRP-Repo Transactions</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20" w:type="dxa"/>
            <w:vAlign w:val="bottom"/>
          </w:tcPr>
          <w:p>
            <w:pPr>
              <w:jc w:val="right"/>
              <w:spacing w:after="0"/>
              <w:rPr>
                <w:sz w:val="20"/>
                <w:szCs w:val="20"/>
                <w:color w:val="auto"/>
              </w:rPr>
            </w:pPr>
            <w:r>
              <w:rPr>
                <w:rFonts w:ascii="Arial" w:cs="Arial" w:eastAsia="Arial" w:hAnsi="Arial"/>
                <w:sz w:val="18"/>
                <w:szCs w:val="18"/>
                <w:color w:val="auto"/>
              </w:rPr>
              <w:t>591,285</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167,611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242,817</w:t>
            </w:r>
          </w:p>
        </w:tc>
        <w:tc>
          <w:tcPr>
            <w:tcW w:w="180" w:type="dxa"/>
            <w:vAlign w:val="bottom"/>
          </w:tcPr>
          <w:p>
            <w:pPr>
              <w:spacing w:after="0"/>
              <w:rPr>
                <w:sz w:val="21"/>
                <w:szCs w:val="21"/>
                <w:color w:val="auto"/>
              </w:rPr>
            </w:pPr>
          </w:p>
        </w:tc>
      </w:tr>
      <w:tr>
        <w:trPr>
          <w:trHeight w:val="243"/>
        </w:trPr>
        <w:tc>
          <w:tcPr>
            <w:tcW w:w="5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funds at Central Bank</w:t>
            </w:r>
          </w:p>
        </w:tc>
        <w:tc>
          <w:tcPr>
            <w:tcW w:w="60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2,744,968</w:t>
            </w:r>
          </w:p>
        </w:tc>
        <w:tc>
          <w:tcPr>
            <w:tcW w:w="62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2,683,466</w:t>
            </w:r>
          </w:p>
        </w:tc>
        <w:tc>
          <w:tcPr>
            <w:tcW w:w="18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rPr>
              <w:t>US$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4,502,586</w:t>
            </w:r>
          </w:p>
        </w:tc>
        <w:tc>
          <w:tcPr>
            <w:tcW w:w="180" w:type="dxa"/>
            <w:vAlign w:val="bottom"/>
          </w:tcPr>
          <w:p>
            <w:pPr>
              <w:spacing w:after="0"/>
              <w:rPr>
                <w:sz w:val="21"/>
                <w:szCs w:val="21"/>
                <w:color w:val="auto"/>
              </w:rPr>
            </w:pPr>
          </w:p>
        </w:tc>
      </w:tr>
      <w:tr>
        <w:trPr>
          <w:trHeight w:val="243"/>
        </w:trPr>
        <w:tc>
          <w:tcPr>
            <w:tcW w:w="508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1"/>
              </w:rPr>
              <w:t>Total funds at Central Bank of Perú as a percent of total deposits</w:t>
            </w:r>
          </w:p>
        </w:tc>
        <w:tc>
          <w:tcPr>
            <w:tcW w:w="1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38.8%</w:t>
            </w:r>
          </w:p>
        </w:tc>
        <w:tc>
          <w:tcPr>
            <w:tcW w:w="4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37.2%</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31, 2007, Credicorp had uncommitted credit lines with various banks, including long-term facilities that are mainly used for project financing, of which no significant amount was drawn down. The long-term facilities include funding from COFIDE, Corporación Andina de Fomento (CAF), sindicated loans, and other international lenders. The transactions relating to these credit lines include import and export transactions and average annual rates (including Libor) vary from 5.73% to 7.75%. In 1998 and 2001, a total of approximately US$200 million of funding was received through the securitization of certain credit card receivables and diversified payment rights, with BCP as the originator of such assets. As of December 31, 2005, the funding received in 1998 was paid off and the funding received in 2001 was pre-paid with the proceeds of new securitizations of diversified payment rights, which amounted to US$870.4 million. See Note 15 (a) and (b) to the Credicorp Consolidated Financial Statements. As of December 31, 2007, borrowed funds and due to banks and correspondants amounted to US$2,323.7 million (includes US$870 million and US$1,453 million, respectively) as compared to US$941.6 million in 2006 (includes US$571 million and US$371 million, respectively) and US$1,303.4 million in 2005.</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2007, BCP had US$20.7 million of outstanding mortgage bonds and notes (US$23.6 million in 2006 and US$27.6 million in 2005). A source of funds specific to leasing operations are leasing bonds issued by lease financing companies, the terms of which are specified in the Peruvian leasing regulations. As of December 31, 2007, BCP had US$167.3 million of outstanding leasing bonds (US$178.0 million in 2006 and US$219.6 million in 2005). These bonds have maturities up to three years and bear higher interest than 360-day time deposits (6.10% versus 5.96%). See Note 17 to the Credicorp Consolidated Financial Statements for a detailed breakdown of Credicorp’s issued bonds.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The following table presents Credicorp’s issued bonds:</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13"/>
        </w:trPr>
        <w:tc>
          <w:tcPr>
            <w:tcW w:w="5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Years ended December 31,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240" w:type="dxa"/>
            <w:vAlign w:val="bottom"/>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4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3"/>
                <w:szCs w:val="23"/>
                <w:color w:val="auto"/>
              </w:rPr>
            </w:pPr>
          </w:p>
        </w:tc>
      </w:tr>
      <w:tr>
        <w:trPr>
          <w:trHeight w:val="237"/>
        </w:trPr>
        <w:tc>
          <w:tcPr>
            <w:tcW w:w="5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6"/>
          </w:tcPr>
          <w:p>
            <w:pPr>
              <w:jc w:val="center"/>
              <w:ind w:right="340"/>
              <w:spacing w:after="0"/>
              <w:rPr>
                <w:sz w:val="20"/>
                <w:szCs w:val="20"/>
                <w:color w:val="auto"/>
              </w:rPr>
            </w:pPr>
            <w:r>
              <w:rPr>
                <w:rFonts w:ascii="Arial" w:cs="Arial" w:eastAsia="Arial" w:hAnsi="Arial"/>
                <w:sz w:val="18"/>
                <w:szCs w:val="18"/>
                <w:i w:val="1"/>
                <w:iCs w:val="1"/>
                <w:color w:val="auto"/>
                <w:w w:val="95"/>
              </w:rPr>
              <w:t>(U.S. Dollars in millions)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110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100" w:type="dxa"/>
            <w:vAlign w:val="bottom"/>
          </w:tcPr>
          <w:p>
            <w:pPr>
              <w:spacing w:after="0"/>
              <w:rPr>
                <w:sz w:val="20"/>
                <w:szCs w:val="20"/>
                <w:color w:val="auto"/>
              </w:rPr>
            </w:pPr>
            <w:r>
              <w:rPr>
                <w:rFonts w:ascii="Arial" w:cs="Arial" w:eastAsia="Arial" w:hAnsi="Arial"/>
                <w:sz w:val="18"/>
                <w:szCs w:val="18"/>
                <w:color w:val="auto"/>
              </w:rPr>
              <w:t>US$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r>
      <w:tr>
        <w:trPr>
          <w:trHeight w:val="243"/>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Leasing Bonds</w:t>
            </w:r>
          </w:p>
        </w:tc>
        <w:tc>
          <w:tcPr>
            <w:tcW w:w="1100" w:type="dxa"/>
            <w:vAlign w:val="bottom"/>
            <w:shd w:val="clear" w:color="auto" w:fill="CCFFCC"/>
          </w:tcPr>
          <w:p>
            <w:pPr>
              <w:spacing w:after="0"/>
              <w:rPr>
                <w:sz w:val="21"/>
                <w:szCs w:val="21"/>
                <w:color w:val="auto"/>
              </w:rPr>
            </w:pPr>
          </w:p>
        </w:tc>
        <w:tc>
          <w:tcPr>
            <w:tcW w:w="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39.6</w:t>
            </w:r>
          </w:p>
        </w:tc>
      </w:tr>
      <w:tr>
        <w:trPr>
          <w:trHeight w:val="243"/>
        </w:trPr>
        <w:tc>
          <w:tcPr>
            <w:tcW w:w="5240" w:type="dxa"/>
            <w:vAlign w:val="bottom"/>
          </w:tcPr>
          <w:p>
            <w:pPr>
              <w:ind w:left="340"/>
              <w:spacing w:after="0"/>
              <w:rPr>
                <w:sz w:val="20"/>
                <w:szCs w:val="20"/>
                <w:color w:val="auto"/>
              </w:rPr>
            </w:pPr>
            <w:r>
              <w:rPr>
                <w:rFonts w:ascii="Arial" w:cs="Arial" w:eastAsia="Arial" w:hAnsi="Arial"/>
                <w:sz w:val="18"/>
                <w:szCs w:val="18"/>
                <w:color w:val="auto"/>
              </w:rPr>
              <w:t>Subordinated bonds</w:t>
            </w:r>
          </w:p>
        </w:tc>
        <w:tc>
          <w:tcPr>
            <w:tcW w:w="110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43"/>
        </w:trPr>
        <w:tc>
          <w:tcPr>
            <w:tcW w:w="5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Subordinated debt</w:t>
            </w:r>
          </w:p>
        </w:tc>
        <w:tc>
          <w:tcPr>
            <w:tcW w:w="1100" w:type="dxa"/>
            <w:vAlign w:val="bottom"/>
            <w:shd w:val="clear" w:color="auto" w:fill="CCFFCC"/>
          </w:tcPr>
          <w:p>
            <w:pPr>
              <w:spacing w:after="0"/>
              <w:rPr>
                <w:sz w:val="21"/>
                <w:szCs w:val="21"/>
                <w:color w:val="auto"/>
              </w:rPr>
            </w:pPr>
          </w:p>
        </w:tc>
        <w:tc>
          <w:tcPr>
            <w:tcW w:w="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161.3</w:t>
            </w:r>
          </w:p>
        </w:tc>
      </w:tr>
      <w:tr>
        <w:trPr>
          <w:trHeight w:val="243"/>
        </w:trPr>
        <w:tc>
          <w:tcPr>
            <w:tcW w:w="5240" w:type="dxa"/>
            <w:vAlign w:val="bottom"/>
          </w:tcPr>
          <w:p>
            <w:pPr>
              <w:ind w:left="500"/>
              <w:spacing w:after="0"/>
              <w:rPr>
                <w:sz w:val="20"/>
                <w:szCs w:val="20"/>
                <w:color w:val="auto"/>
              </w:rPr>
            </w:pPr>
            <w:r>
              <w:rPr>
                <w:rFonts w:ascii="Arial" w:cs="Arial" w:eastAsia="Arial" w:hAnsi="Arial"/>
                <w:sz w:val="18"/>
                <w:szCs w:val="18"/>
                <w:b w:val="1"/>
                <w:bCs w:val="1"/>
                <w:color w:val="auto"/>
              </w:rPr>
              <w:t>Total issuance</w:t>
            </w:r>
          </w:p>
        </w:tc>
        <w:tc>
          <w:tcPr>
            <w:tcW w:w="11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66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167.2</w:t>
            </w:r>
          </w:p>
        </w:tc>
        <w:tc>
          <w:tcPr>
            <w:tcW w:w="6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256.0</w:t>
            </w:r>
          </w:p>
        </w:tc>
      </w:tr>
    </w:tbl>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2006 and October 2007, BCP, through its Panama branch, issued on the international market subordinated negotiable certificates notes in an aggregate amount of US$120.0 million due 2021 and US$161.3 million due 2022, respectively. These notes accrue a fixed annual interest rate of 6.95% and 7.17%, respectively for the first 10 years with interest payments every six months. After the first 10 years, the interest rate will change to a variable interest rate of Libor plus 2.79% and as established by the market interest rate of the Peruvian Government-issued sovereign bonds maturing in 2037 plus 150 basis points, respectively, with quarterly and semi-annual payments. At the end of the first 10 years, the Bank may redeem 100% of the debt without penalty. These subordinated debt certificates include certain financial and operating covenants. In Credicorp management’s opinion, BCP is not in violation of any of these covenants as of the date of the consolidated balance sheet date.</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38" w:lineRule="exact"/>
        <w:rPr>
          <w:sz w:val="20"/>
          <w:szCs w:val="20"/>
          <w:color w:val="auto"/>
        </w:rPr>
      </w:pPr>
    </w:p>
    <w:p>
      <w:pPr>
        <w:ind w:left="660" w:right="6580" w:hanging="652"/>
        <w:spacing w:after="0" w:line="563" w:lineRule="auto"/>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Credicorp expects that 2008 will continue the positive economic trend; however, international environment suggests some increase in uncertainty. In particular, Credicorp expects that financial income will increase, mainly as a result of prioritizing retail operations with individuals and small companies, as well as improving strategies followed in 2007. In addition, credit risk is expected to remain low despite planned positive loan evolution and provision. Furthermore, Credicorp plans to invest mainly in systems in order to improve the bank’s network to serve clients and optimize processes. See “Item 4. Information on the Company—(B) Business Overview—(1) Introduction – Review of 2007” and “—(2) Strategy.”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6" w:name="page117"/>
    <w:bookmarkEnd w:id="116"/>
    <w:p>
      <w:pPr>
        <w:jc w:val="both"/>
        <w:ind w:firstLine="648"/>
        <w:spacing w:after="0" w:line="264" w:lineRule="auto"/>
        <w:rPr>
          <w:sz w:val="20"/>
          <w:szCs w:val="20"/>
          <w:color w:val="auto"/>
        </w:rPr>
      </w:pPr>
      <w:r>
        <w:rPr>
          <w:rFonts w:ascii="Arial" w:cs="Arial" w:eastAsia="Arial" w:hAnsi="Arial"/>
          <w:sz w:val="18"/>
          <w:szCs w:val="18"/>
          <w:color w:val="auto"/>
        </w:rPr>
        <w:t>In Bolivia, Credicorp expects that BCB will continue to increase its profitability as a result of increased deposits and loans and the expansion into the personal banking niche. We hope that the positive environment is preserved in 2008, as this would be helpful to manage risk, in addition to the improvement in the quality of loans and deposits.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expects that in 2008, ASHC will maintain its low-risk investment strategy. Credicorp expects continued growth of the assets under management, given the high quality service it offers.</w:t>
      </w:r>
    </w:p>
    <w:p>
      <w:pPr>
        <w:spacing w:after="0" w:line="224"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color w:val="auto"/>
        </w:rPr>
        <w:t>In its insurance business, Credicorp expects to raise the profitability of each product branch, especially in the retail business. The insurance business continues growing; the industry experienced a significant increase in casualties which effected different insurance business, and led to the continuing weak results. It is PPS’s strategy to work towards a re-composition of its risk portfolio favoring the retail business of Property and Casualty which offer more retention, diversification and predictability of risk. In 2007, life and health insurance recorded significant growth rates and returns. Conversely, results in the general insurance business were compromised by the impact of August’s devastating earthquake and some severe claims in the fire, technical and dishonesty line businesses. Nevertheless, the Company has succeeded in increasing sales of personal products, in an effort to diversify its risk portfolio, transfer exposure towards risk that may be covered in the optional reinsurance international market and reduce volatility.</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production, employment, and formalization expectations for the Peruvian economy lead us to foresee a positive scenario for the Peruvian pensions market in 2008. Therefore, we expect to replicate the growth ratios of contributions and remunerations experienced in 2007. In market terms, the competitive dynamics will follow a downward trend, but are expected to keep their moderate levels, anticipating the potential entry of new competitors into the market. In this context, in Prima AFP, we expect to preserve our share of expanding mandatory contributions, and reinforce our image by developing a focus on pension and investment advice, and by assigning significant resources to maintain our leadership in investments.</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(E)Off-Balance Sheet Arrangements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provide support to its clients and hedge some risks in its balance sheet and uses guarantees, letters of credit, derivatives and swaps.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Credicorp’s off-balance sheet arrangements as of December 31, 2005, 2006 and 2007: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At December 31,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4"/>
        </w:trPr>
        <w:tc>
          <w:tcPr>
            <w:tcW w:w="52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5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8"/>
                <w:szCs w:val="18"/>
                <w:i w:val="1"/>
                <w:iCs w:val="1"/>
                <w:color w:val="auto"/>
                <w:w w:val="92"/>
              </w:rPr>
              <w:t>(U.S. Dollars in thousands)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Guarantees and stand by letters</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982,044</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1,204,500</w:t>
            </w:r>
          </w:p>
        </w:tc>
        <w:tc>
          <w:tcPr>
            <w:tcW w:w="5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1,133,476</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Import and export letters of credit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238,902</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250,876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431,049</w:t>
            </w:r>
          </w:p>
        </w:tc>
      </w:tr>
      <w:tr>
        <w:trPr>
          <w:trHeight w:val="20"/>
        </w:trPr>
        <w:tc>
          <w:tcPr>
            <w:tcW w:w="5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 Total</w:t>
            </w:r>
          </w:p>
        </w:tc>
        <w:tc>
          <w:tcPr>
            <w:tcW w:w="48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1,220,946</w:t>
            </w:r>
          </w:p>
        </w:tc>
        <w:tc>
          <w:tcPr>
            <w:tcW w:w="200" w:type="dxa"/>
            <w:vAlign w:val="bottom"/>
            <w:tcBorders>
              <w:left w:val="single" w:sz="8" w:color="CCFFCC"/>
            </w:tcBorders>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1,564,525</w:t>
            </w:r>
          </w:p>
        </w:tc>
      </w:tr>
      <w:tr>
        <w:trPr>
          <w:trHeight w:val="237"/>
        </w:trPr>
        <w:tc>
          <w:tcPr>
            <w:tcW w:w="5240" w:type="dxa"/>
            <w:vAlign w:val="bottom"/>
            <w:tcBorders>
              <w:top w:val="single" w:sz="8" w:color="CCFFC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Responsibilities under credit line agreements</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531,816</w:t>
            </w: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814,746</w:t>
            </w:r>
          </w:p>
        </w:tc>
        <w:tc>
          <w:tcPr>
            <w:tcW w:w="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1,082,115</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Financial derivative contracts, net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310,944</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(30,970)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(331,117)</w:t>
            </w:r>
          </w:p>
        </w:tc>
      </w:tr>
      <w:tr>
        <w:trPr>
          <w:trHeight w:val="243"/>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Swap contracts</w:t>
            </w: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572,160</w:t>
            </w:r>
          </w:p>
        </w:tc>
        <w:tc>
          <w:tcPr>
            <w:tcW w:w="200" w:type="dxa"/>
            <w:vAlign w:val="bottom"/>
            <w:tcBorders>
              <w:left w:val="single" w:sz="8" w:color="CCFFCC"/>
            </w:tcBorders>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543,041</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1,446,813</w:t>
            </w:r>
          </w:p>
        </w:tc>
      </w:tr>
      <w:tr>
        <w:trPr>
          <w:trHeight w:val="237"/>
        </w:trPr>
        <w:tc>
          <w:tcPr>
            <w:tcW w:w="5240" w:type="dxa"/>
            <w:vAlign w:val="bottom"/>
            <w:tcBorders>
              <w:top w:val="single" w:sz="8" w:color="CCFFC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63"/>
        </w:trPr>
        <w:tc>
          <w:tcPr>
            <w:tcW w:w="5240" w:type="dxa"/>
            <w:vAlign w:val="bottom"/>
            <w:shd w:val="clear" w:color="auto" w:fill="CCFFCC"/>
          </w:tcPr>
          <w:p>
            <w:pPr>
              <w:ind w:left="500"/>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2,635,866</w:t>
            </w:r>
          </w:p>
        </w:tc>
        <w:tc>
          <w:tcPr>
            <w:tcW w:w="680" w:type="dxa"/>
            <w:vAlign w:val="bottom"/>
            <w:tcBorders>
              <w:left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b w:val="1"/>
                <w:bCs w:val="1"/>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2,782,193</w:t>
            </w:r>
          </w:p>
        </w:tc>
        <w:tc>
          <w:tcPr>
            <w:tcW w:w="580" w:type="dxa"/>
            <w:vAlign w:val="bottom"/>
            <w:gridSpan w:val="2"/>
            <w:shd w:val="clear" w:color="auto" w:fill="CCFFCC"/>
          </w:tcPr>
          <w:p>
            <w:pPr>
              <w:ind w:left="80"/>
              <w:spacing w:after="0"/>
              <w:rPr>
                <w:sz w:val="20"/>
                <w:szCs w:val="20"/>
                <w:color w:val="auto"/>
              </w:rPr>
            </w:pPr>
            <w:r>
              <w:rPr>
                <w:rFonts w:ascii="Arial" w:cs="Arial" w:eastAsia="Arial" w:hAnsi="Arial"/>
                <w:sz w:val="18"/>
                <w:szCs w:val="18"/>
                <w:b w:val="1"/>
                <w:bCs w:val="1"/>
                <w:color w:val="auto"/>
              </w:rPr>
              <w:t>US$</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3,762,336</w:t>
            </w:r>
          </w:p>
        </w:tc>
      </w:tr>
      <w:tr>
        <w:trPr>
          <w:trHeight w:val="20"/>
        </w:trPr>
        <w:tc>
          <w:tcPr>
            <w:tcW w:w="5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In the normal course of its business, Credicorp’s banking subsidiaries are party to transactions with off-balance sheet risk. These transactions expose Credicorp’s banking subsidiaries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The exposure to losses under commitments to guarantees, stand by letters, extend credit, provide export and import letters of credit and guarantees are represented by the contractual amount specified in these instruments. Credicorp applies the same credit policies in making commitments and conditional obligations as it does for on-balance sheet instruments, including the requirement to obtain collateral to support off-balance sheet financial instruments (see Note 7(a) to the Credicorp Consolidated Financial Statement) when it is deemed necessary. Collateral held varies, but may include deposits held in financial institutions, securities or other assets.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the fact that many of the contingent transactions are expected to expire without any payment being required from Credicorp, the total committed amounts do not necessarily represent future cash requirements.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Foreign currency forwards are commitments to buy or sell currency on a future date at a contracted price. Risk arises from the possibility that the counter-party to the transaction does not perform as agreed and the change in the prices of the underlying currencies. As of December 31, 2007 and 2006, Credicorp had foreign currency forwards derivatives and a minor position on options for exchange rates. As of December 31, 2007 and 2006, forward foreign currency purchase and sale agreements referred to above included nominal amounts of approximately US$2,210.2 million and US$1,153.2 million, respectively, which have maturities of less than a year. These agreements are executed to satisfy client requirements and are recorded by Credicorp in the financial statements at fair market value. The forward contracts net position as of December 31, 2007 and 2006 was an overbuy of approximately US$331.1 million and an overbuy of approximately US$31.0 million, respectively.</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2007, the notional amount of outstanding interest rate swap contracts was approximately US$1,446.8 million (approximately US$543.0 million as of December 31, 2006). These contracts are recorded by Credicorp at fair market value, recording both realized and unrealized gains and losses in the consolidated income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18" w:name="page119"/>
    <w:bookmarkEnd w:id="118"/>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held one interest rate swap contract for a notional amount of US$196.0 million designated as a cash flow hedge, because it reduced the exposure to the variable interest rate risk of a portion of the loan transaction entered into by Credicorp in November 2005 (See Note 15(b) to the Credicorp Consolidated Financial Statements). In accordance with the hedge operation, which matures in November 2012, Credicorp pays a fixed rate of 4.57% and receives a variable rate equal to the monthly Libor interest rate over the notional amount and the settlements are made on a monthly basis. The loan and the interest rate swap have the same critical terms.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2007, Credicorp had three interest rate swaps, which, in the aggregate amounted to a total of US$500 million (US$250, US$100 and US$150 million), designated as a cash flow hedge to reduce Credicorp’s interest rate risk exposure arising from the transaction entered into by Credicorp in July 2007 (see Note 15(b) to the Credicorp Consolidated Financial Statements). Based on the hedge terms and conditions, Credicorp pays a fixed rate of 5.4775%, 5.59% and 5.495%, respectively, and exchanges it by a floating interest rate equivalent to a monthly Libor on the nominal amount. Payments are made monthly. The maturity date of the interest rate swap of US$150 million is July 2014 and the maturity of the US$250 and US$100 million swaps is July 2017. The loan and the interest rate swaps agreements have the same critical terms.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Credicorp has signed one cross currency swap contract for a notional amount of US$50.4 million designated as a fair value hedge, because it reduces the exposure to the change in the fair value of the corporate bonds issued in Peruvian currency (Note 17(a)(i) to the Credicorp Consolidated Financial Statements). In accordance with the hedge transaction, the bonds were converted from Peruvian currency to US Dollars. Likewise, the fixed annual nominal interest rate of 6.84% has been changed to a variable rate of Libor plus 84 basis points. The bonds and the cross currency swap have the same critical terms.</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the forward contracts and swaps as of December 31, 2007 amounted to approximately US$45.8 million and US$69.7 million of assets and liabilities, respectively (approximately US$19.1 million and US$7.8 million as of December 31, 2006), and are included under the caption “Other assets and other liabilities” of the consolidated balance sheet, respectively, see Note 13 (b) to the Credicorp Consolidated Financial Statements. As of December 31, 2007 and 2006, the fair value of the cash flow hedge amounted to US$-37.4 million and US$2.9 million, respectively, and it is included in the net equity.</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responsibilities under credit line agreements do not correspond to commitment to grant credit and include credit lines and other consumer loans that are cancelable upon notification to the consumer.</w:t>
      </w:r>
    </w:p>
    <w:p>
      <w:pPr>
        <w:spacing w:after="0" w:line="220"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enters into various contractual obligations that may require future cash payments. The following table summarizes Credicorp’s contractual obligations by remaining maturity as of December 31, 2007. See ”Item 4. Information on the Company—(B) Business Overview—(1) Introduction – Review of 2007.”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9" w:name="page120"/>
    <w:bookmarkEnd w:id="119"/>
    <w:tbl>
      <w:tblPr>
        <w:tblLayout w:type="fixed"/>
        <w:tblInd w:w="4640" w:type="dxa"/>
        <w:tblCellMar>
          <w:top w:w="0" w:type="dxa"/>
          <w:left w:w="0" w:type="dxa"/>
          <w:bottom w:w="0" w:type="dxa"/>
          <w:right w:w="0" w:type="dxa"/>
        </w:tblCellMar>
      </w:tblPr>
      <w:tr>
        <w:trPr>
          <w:trHeight w:val="185"/>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60"/>
        </w:trPr>
        <w:tc>
          <w:tcPr>
            <w:tcW w:w="13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6"/>
              </w:rPr>
              <w:t>Total at</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6"/>
        </w:trPr>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Less than</w:t>
            </w:r>
          </w:p>
        </w:tc>
        <w:tc>
          <w:tcPr>
            <w:tcW w:w="100" w:type="dxa"/>
            <w:vAlign w:val="bottom"/>
          </w:tcPr>
          <w:p>
            <w:pPr>
              <w:spacing w:after="0"/>
              <w:rPr>
                <w:sz w:val="15"/>
                <w:szCs w:val="15"/>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1–3</w:t>
            </w:r>
          </w:p>
        </w:tc>
        <w:tc>
          <w:tcPr>
            <w:tcW w:w="100" w:type="dxa"/>
            <w:vAlign w:val="bottom"/>
          </w:tcPr>
          <w:p>
            <w:pPr>
              <w:spacing w:after="0"/>
              <w:rPr>
                <w:sz w:val="15"/>
                <w:szCs w:val="15"/>
                <w:color w:val="auto"/>
              </w:rPr>
            </w:pPr>
          </w:p>
        </w:tc>
        <w:tc>
          <w:tcPr>
            <w:tcW w:w="124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3–5</w:t>
            </w:r>
          </w:p>
        </w:tc>
        <w:tc>
          <w:tcPr>
            <w:tcW w:w="120" w:type="dxa"/>
            <w:vAlign w:val="bottom"/>
          </w:tcPr>
          <w:p>
            <w:pPr>
              <w:spacing w:after="0"/>
              <w:rPr>
                <w:sz w:val="15"/>
                <w:szCs w:val="15"/>
                <w:color w:val="auto"/>
              </w:rPr>
            </w:pPr>
          </w:p>
        </w:tc>
        <w:tc>
          <w:tcPr>
            <w:tcW w:w="126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More than</w:t>
            </w:r>
          </w:p>
        </w:tc>
      </w:tr>
      <w:tr>
        <w:trPr>
          <w:trHeight w:val="185"/>
        </w:trPr>
        <w:tc>
          <w:tcPr>
            <w:tcW w:w="12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1"/>
              </w:rPr>
              <w:t>5 years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80" w:type="dxa"/>
            <w:vAlign w:val="bottom"/>
            <w:gridSpan w:val="5"/>
          </w:tcPr>
          <w:p>
            <w:pPr>
              <w:ind w:left="580"/>
              <w:spacing w:after="0"/>
              <w:rPr>
                <w:sz w:val="20"/>
                <w:szCs w:val="20"/>
                <w:color w:val="auto"/>
              </w:rPr>
            </w:pPr>
            <w:r>
              <w:rPr>
                <w:rFonts w:ascii="Arial" w:cs="Arial" w:eastAsia="Arial" w:hAnsi="Arial"/>
                <w:sz w:val="18"/>
                <w:szCs w:val="18"/>
                <w:i w:val="1"/>
                <w:iCs w:val="1"/>
                <w:color w:val="auto"/>
              </w:rPr>
              <w:t>(U.S. Dollars in thousands)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4640" w:type="dxa"/>
            <w:vAlign w:val="bottom"/>
            <w:shd w:val="clear" w:color="auto" w:fill="CCFFCC"/>
          </w:tcPr>
          <w:p>
            <w:pPr>
              <w:spacing w:after="0"/>
              <w:rPr>
                <w:sz w:val="20"/>
                <w:szCs w:val="20"/>
                <w:color w:val="auto"/>
              </w:rPr>
            </w:pPr>
            <w:r>
              <w:rPr>
                <w:rFonts w:ascii="Arial" w:cs="Arial" w:eastAsia="Arial" w:hAnsi="Arial"/>
                <w:sz w:val="14"/>
                <w:szCs w:val="14"/>
                <w:color w:val="auto"/>
              </w:rPr>
              <w:t>Borrowed funds</w:t>
            </w:r>
          </w:p>
        </w:tc>
        <w:tc>
          <w:tcPr>
            <w:tcW w:w="48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2,015,744</w:t>
            </w:r>
          </w:p>
        </w:tc>
        <w:tc>
          <w:tcPr>
            <w:tcW w:w="56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784,643</w:t>
            </w:r>
          </w:p>
        </w:tc>
        <w:tc>
          <w:tcPr>
            <w:tcW w:w="52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416,623</w:t>
            </w:r>
          </w:p>
        </w:tc>
        <w:tc>
          <w:tcPr>
            <w:tcW w:w="56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404,636</w:t>
            </w:r>
          </w:p>
        </w:tc>
        <w:tc>
          <w:tcPr>
            <w:tcW w:w="520" w:type="dxa"/>
            <w:vAlign w:val="bottom"/>
            <w:shd w:val="clear" w:color="auto" w:fill="CCFFCC"/>
          </w:tcPr>
          <w:p>
            <w:pPr>
              <w:spacing w:after="0"/>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409,842</w:t>
            </w:r>
          </w:p>
        </w:tc>
      </w:tr>
      <w:tr>
        <w:trPr>
          <w:trHeight w:val="176"/>
        </w:trPr>
        <w:tc>
          <w:tcPr>
            <w:tcW w:w="4640" w:type="dxa"/>
            <w:vAlign w:val="bottom"/>
          </w:tcPr>
          <w:p>
            <w:pPr>
              <w:spacing w:after="0"/>
              <w:rPr>
                <w:sz w:val="20"/>
                <w:szCs w:val="20"/>
                <w:color w:val="auto"/>
              </w:rPr>
            </w:pPr>
            <w:r>
              <w:rPr>
                <w:rFonts w:ascii="Arial" w:cs="Arial" w:eastAsia="Arial" w:hAnsi="Arial"/>
                <w:sz w:val="14"/>
                <w:szCs w:val="14"/>
                <w:color w:val="auto"/>
              </w:rPr>
              <w:t>Promotional credit lines</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196,204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98,375</w:t>
            </w:r>
          </w:p>
        </w:tc>
        <w:tc>
          <w:tcPr>
            <w:tcW w:w="5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71,100</w:t>
            </w:r>
          </w:p>
        </w:tc>
        <w:tc>
          <w:tcPr>
            <w:tcW w:w="5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4,534</w:t>
            </w:r>
          </w:p>
        </w:tc>
        <w:tc>
          <w:tcPr>
            <w:tcW w:w="5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22,195</w:t>
            </w:r>
          </w:p>
        </w:tc>
      </w:tr>
      <w:tr>
        <w:trPr>
          <w:trHeight w:val="176"/>
        </w:trPr>
        <w:tc>
          <w:tcPr>
            <w:tcW w:w="4640" w:type="dxa"/>
            <w:vAlign w:val="bottom"/>
            <w:shd w:val="clear" w:color="auto" w:fill="CCFFCC"/>
          </w:tcPr>
          <w:p>
            <w:pPr>
              <w:spacing w:after="0"/>
              <w:rPr>
                <w:sz w:val="20"/>
                <w:szCs w:val="20"/>
                <w:color w:val="auto"/>
              </w:rPr>
            </w:pPr>
            <w:r>
              <w:rPr>
                <w:rFonts w:ascii="Arial" w:cs="Arial" w:eastAsia="Arial" w:hAnsi="Arial"/>
                <w:sz w:val="14"/>
                <w:szCs w:val="14"/>
                <w:color w:val="auto"/>
              </w:rPr>
              <w:t>Interbank funds</w:t>
            </w:r>
          </w:p>
        </w:tc>
        <w:tc>
          <w:tcPr>
            <w:tcW w:w="480" w:type="dxa"/>
            <w:vAlign w:val="bottom"/>
            <w:shd w:val="clear" w:color="auto" w:fill="CCFFCC"/>
          </w:tcPr>
          <w:p>
            <w:pPr>
              <w:spacing w:after="0"/>
              <w:rPr>
                <w:sz w:val="15"/>
                <w:szCs w:val="15"/>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102,470</w:t>
            </w:r>
          </w:p>
        </w:tc>
        <w:tc>
          <w:tcPr>
            <w:tcW w:w="100" w:type="dxa"/>
            <w:vAlign w:val="bottom"/>
            <w:shd w:val="clear" w:color="auto" w:fill="CCFFCC"/>
          </w:tcPr>
          <w:p>
            <w:pPr>
              <w:spacing w:after="0"/>
              <w:rPr>
                <w:sz w:val="15"/>
                <w:szCs w:val="15"/>
                <w:color w:val="auto"/>
              </w:rPr>
            </w:pPr>
          </w:p>
        </w:tc>
        <w:tc>
          <w:tcPr>
            <w:tcW w:w="46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102,470</w:t>
            </w:r>
          </w:p>
        </w:tc>
        <w:tc>
          <w:tcPr>
            <w:tcW w:w="52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4640" w:type="dxa"/>
            <w:vAlign w:val="bottom"/>
          </w:tcPr>
          <w:p>
            <w:pPr>
              <w:spacing w:after="0"/>
              <w:rPr>
                <w:sz w:val="20"/>
                <w:szCs w:val="20"/>
                <w:color w:val="auto"/>
              </w:rPr>
            </w:pPr>
            <w:r>
              <w:rPr>
                <w:rFonts w:ascii="Arial" w:cs="Arial" w:eastAsia="Arial" w:hAnsi="Arial"/>
                <w:sz w:val="14"/>
                <w:szCs w:val="14"/>
                <w:color w:val="auto"/>
              </w:rPr>
              <w:t>Time deposits</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3,967,863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3,643,668</w:t>
            </w:r>
          </w:p>
        </w:tc>
        <w:tc>
          <w:tcPr>
            <w:tcW w:w="5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254,750</w:t>
            </w:r>
          </w:p>
        </w:tc>
        <w:tc>
          <w:tcPr>
            <w:tcW w:w="5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30,743</w:t>
            </w:r>
          </w:p>
        </w:tc>
        <w:tc>
          <w:tcPr>
            <w:tcW w:w="5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38,702</w:t>
            </w:r>
          </w:p>
        </w:tc>
      </w:tr>
      <w:tr>
        <w:trPr>
          <w:trHeight w:val="203"/>
        </w:trPr>
        <w:tc>
          <w:tcPr>
            <w:tcW w:w="4640" w:type="dxa"/>
            <w:vAlign w:val="bottom"/>
            <w:shd w:val="clear" w:color="auto" w:fill="CCFFCC"/>
          </w:tcPr>
          <w:p>
            <w:pPr>
              <w:spacing w:after="0"/>
              <w:rPr>
                <w:sz w:val="20"/>
                <w:szCs w:val="20"/>
                <w:color w:val="auto"/>
              </w:rPr>
            </w:pPr>
            <w:r>
              <w:rPr>
                <w:rFonts w:ascii="Arial" w:cs="Arial" w:eastAsia="Arial" w:hAnsi="Arial"/>
                <w:sz w:val="14"/>
                <w:szCs w:val="14"/>
                <w:color w:val="auto"/>
              </w:rPr>
              <w:t>Operating lease obligations</w:t>
            </w:r>
          </w:p>
        </w:tc>
        <w:tc>
          <w:tcPr>
            <w:tcW w:w="48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54,806</w:t>
            </w: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9,270</w:t>
            </w:r>
          </w:p>
        </w:tc>
        <w:tc>
          <w:tcPr>
            <w:tcW w:w="520" w:type="dxa"/>
            <w:vAlign w:val="bottom"/>
            <w:shd w:val="clear" w:color="auto" w:fill="CCFFCC"/>
          </w:tcPr>
          <w:p>
            <w:pPr>
              <w:spacing w:after="0"/>
              <w:rPr>
                <w:sz w:val="17"/>
                <w:szCs w:val="17"/>
                <w:color w:val="auto"/>
              </w:rPr>
            </w:pP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14,471</w:t>
            </w:r>
          </w:p>
        </w:tc>
        <w:tc>
          <w:tcPr>
            <w:tcW w:w="5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11,491</w:t>
            </w:r>
          </w:p>
        </w:tc>
        <w:tc>
          <w:tcPr>
            <w:tcW w:w="52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19,574</w:t>
            </w:r>
          </w:p>
        </w:tc>
      </w:tr>
      <w:tr>
        <w:trPr>
          <w:trHeight w:val="20"/>
        </w:trPr>
        <w:tc>
          <w:tcPr>
            <w:tcW w:w="464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tcBorders>
              <w:right w:val="single" w:sz="8" w:color="CCFFCC"/>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69"/>
        </w:trPr>
        <w:tc>
          <w:tcPr>
            <w:tcW w:w="4640" w:type="dxa"/>
            <w:vAlign w:val="bottom"/>
          </w:tcPr>
          <w:p>
            <w:pPr>
              <w:ind w:left="340"/>
              <w:spacing w:after="0"/>
              <w:rPr>
                <w:sz w:val="20"/>
                <w:szCs w:val="20"/>
                <w:color w:val="auto"/>
              </w:rPr>
            </w:pPr>
            <w:r>
              <w:rPr>
                <w:rFonts w:ascii="Arial" w:cs="Arial" w:eastAsia="Arial" w:hAnsi="Arial"/>
                <w:sz w:val="14"/>
                <w:szCs w:val="14"/>
                <w:color w:val="auto"/>
              </w:rPr>
              <w:t>Total.</w:t>
            </w:r>
          </w:p>
        </w:tc>
        <w:tc>
          <w:tcPr>
            <w:tcW w:w="480" w:type="dxa"/>
            <w:vAlign w:val="bottom"/>
          </w:tcPr>
          <w:p>
            <w:pPr>
              <w:spacing w:after="0"/>
              <w:rPr>
                <w:sz w:val="20"/>
                <w:szCs w:val="20"/>
                <w:color w:val="auto"/>
              </w:rPr>
            </w:pPr>
            <w:r>
              <w:rPr>
                <w:rFonts w:ascii="Arial" w:cs="Arial" w:eastAsia="Arial" w:hAnsi="Arial"/>
                <w:sz w:val="14"/>
                <w:szCs w:val="14"/>
                <w:color w:val="auto"/>
              </w:rPr>
              <w:t>US$</w:t>
            </w:r>
          </w:p>
        </w:tc>
        <w:tc>
          <w:tcPr>
            <w:tcW w:w="800" w:type="dxa"/>
            <w:vAlign w:val="bottom"/>
          </w:tcPr>
          <w:p>
            <w:pPr>
              <w:jc w:val="right"/>
              <w:spacing w:after="0"/>
              <w:rPr>
                <w:sz w:val="20"/>
                <w:szCs w:val="20"/>
                <w:color w:val="auto"/>
              </w:rPr>
            </w:pPr>
            <w:r>
              <w:rPr>
                <w:rFonts w:ascii="Arial" w:cs="Arial" w:eastAsia="Arial" w:hAnsi="Arial"/>
                <w:sz w:val="14"/>
                <w:szCs w:val="14"/>
                <w:color w:val="auto"/>
              </w:rPr>
              <w:t>6,337,087</w:t>
            </w: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US$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4,638,426</w:t>
            </w:r>
          </w:p>
        </w:tc>
        <w:tc>
          <w:tcPr>
            <w:tcW w:w="520" w:type="dxa"/>
            <w:vAlign w:val="bottom"/>
          </w:tcPr>
          <w:p>
            <w:pPr>
              <w:spacing w:after="0"/>
              <w:rPr>
                <w:sz w:val="20"/>
                <w:szCs w:val="20"/>
                <w:color w:val="auto"/>
              </w:rPr>
            </w:pPr>
            <w:r>
              <w:rPr>
                <w:rFonts w:ascii="Arial" w:cs="Arial" w:eastAsia="Arial" w:hAnsi="Arial"/>
                <w:sz w:val="14"/>
                <w:szCs w:val="14"/>
                <w:color w:val="auto"/>
              </w:rPr>
              <w:t>US$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756,944</w:t>
            </w:r>
          </w:p>
        </w:tc>
        <w:tc>
          <w:tcPr>
            <w:tcW w:w="560" w:type="dxa"/>
            <w:vAlign w:val="bottom"/>
          </w:tcPr>
          <w:p>
            <w:pPr>
              <w:spacing w:after="0"/>
              <w:rPr>
                <w:sz w:val="20"/>
                <w:szCs w:val="20"/>
                <w:color w:val="auto"/>
              </w:rPr>
            </w:pPr>
            <w:r>
              <w:rPr>
                <w:rFonts w:ascii="Arial" w:cs="Arial" w:eastAsia="Arial" w:hAnsi="Arial"/>
                <w:sz w:val="14"/>
                <w:szCs w:val="14"/>
                <w:color w:val="auto"/>
              </w:rPr>
              <w:t>US$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451,404</w:t>
            </w:r>
          </w:p>
        </w:tc>
        <w:tc>
          <w:tcPr>
            <w:tcW w:w="520" w:type="dxa"/>
            <w:vAlign w:val="bottom"/>
          </w:tcPr>
          <w:p>
            <w:pPr>
              <w:spacing w:after="0"/>
              <w:rPr>
                <w:sz w:val="20"/>
                <w:szCs w:val="20"/>
                <w:color w:val="auto"/>
              </w:rPr>
            </w:pPr>
            <w:r>
              <w:rPr>
                <w:rFonts w:ascii="Arial" w:cs="Arial" w:eastAsia="Arial" w:hAnsi="Arial"/>
                <w:sz w:val="14"/>
                <w:szCs w:val="14"/>
                <w:color w:val="auto"/>
              </w:rPr>
              <w:t>US$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490,313</w:t>
            </w:r>
          </w:p>
        </w:tc>
      </w:tr>
      <w:tr>
        <w:trPr>
          <w:trHeight w:val="20"/>
        </w:trPr>
        <w:tc>
          <w:tcPr>
            <w:tcW w:w="4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the “Borrowed funds” caption in the table above corresponds to “borrowed funds” and “International funds and others”:</w:t>
      </w:r>
    </w:p>
    <w:p>
      <w:pPr>
        <w:spacing w:after="0" w:line="279" w:lineRule="exact"/>
        <w:rPr>
          <w:sz w:val="20"/>
          <w:szCs w:val="20"/>
          <w:color w:val="auto"/>
        </w:rPr>
      </w:pPr>
    </w:p>
    <w:p>
      <w:pPr>
        <w:jc w:val="both"/>
        <w:ind w:left="660" w:hanging="328"/>
        <w:spacing w:after="0" w:line="270"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November 2005 BCP entered into a loan transaction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the corresponding bank to make payments to beneficiaries that are not financial institutions. In this transaction, Wilmington Trust Company acted as trustee under the trust agreement and The Bank of New York acted as indenture trustee and administrator of the contract. The certificates bear a variable interest rate of one month Libor plus 0.21% for the 2005-A Series and one month Libor plus 0.60% for the Series 2005-B. As of December 31, 2007 and 2006, the balance of this obligation amounted to US$280.0 million. A portion (70%), of the loan, subject to variable interest rate risk, has been hedged through an interest rate swap hedge operation for a notional amount of US$196.0 million (see Note 21(d) to the Credicorp Consolidated Financial Statements).</w:t>
      </w:r>
    </w:p>
    <w:p>
      <w:pPr>
        <w:spacing w:after="0" w:line="235"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In March 2006, BCP entered into a loan transaction for US$100.0 million, related to Series 2006-A Floating Rate Certificates due 2016. Like the November 2005 loan, the loan is secured by the future inflows from electronic messages sent through the Society for Worldwide Interbank Financial Telecommunications network instruct the corresponding bank to make payments to beneficiaries that are not financial institutions. Wilmington Trust Company acted as Trustee under the trust agreement and The Bank of New York acted as indenture trustee and administrator of the contract. The certificates bear a variable interest rate of one month Libor plus 0.24%, as of December 31, 2007, and the balance of this obligation amounts to US$90.4 million.</w:t>
      </w:r>
    </w:p>
    <w:p>
      <w:pPr>
        <w:spacing w:after="0" w:line="247"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For the US$100 million of the Series 2006-A and the US$230 and US$50 million of the Series 2005-A and 2005-B, BCP has signed an insurance policy with AMBAC Assurance Corporation which guarantees the timely payment of scheduled principal and certain accrued interest monthly payments with maturities in 2016, 2012 and 2009, respectively.</w:t>
      </w:r>
    </w:p>
    <w:p>
      <w:pPr>
        <w:spacing w:after="0" w:line="235" w:lineRule="exact"/>
        <w:rPr>
          <w:rFonts w:ascii="Arial" w:cs="Arial" w:eastAsia="Arial" w:hAnsi="Arial"/>
          <w:sz w:val="17"/>
          <w:szCs w:val="17"/>
          <w:color w:val="auto"/>
        </w:rPr>
      </w:pPr>
    </w:p>
    <w:p>
      <w:pPr>
        <w:jc w:val="both"/>
        <w:ind w:left="660"/>
        <w:spacing w:after="0" w:line="302" w:lineRule="auto"/>
        <w:rPr>
          <w:rFonts w:ascii="Arial" w:cs="Arial" w:eastAsia="Arial" w:hAnsi="Arial"/>
          <w:sz w:val="17"/>
          <w:szCs w:val="17"/>
          <w:color w:val="auto"/>
        </w:rPr>
      </w:pPr>
      <w:r>
        <w:rPr>
          <w:rFonts w:ascii="Arial" w:cs="Arial" w:eastAsia="Arial" w:hAnsi="Arial"/>
          <w:sz w:val="16"/>
          <w:szCs w:val="16"/>
          <w:color w:val="auto"/>
        </w:rPr>
        <w:t>In July 2007, BCP entered into loan transactions for US$350 million and US$150 million, related to Series 2007-A Floating Rate Certificates due 2017 and Series 2007-B Floating Rate Certificates due 2014. The series 2007-A and 2007-B certificates bear a variable interest rate of one month Libor plus 0.28% and 0.25%, respectively. These loans, subject to variable interest rate risk, have been hedged through three interest rate swap hedge operations for a notional amount of US$500 million. (See Note 21 (d) to the Credicorp Consolidated Financial Statements).</w:t>
      </w:r>
    </w:p>
    <w:p>
      <w:pPr>
        <w:spacing w:after="0" w:line="208"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For the US$350 million of the Series 2007-A floating Rates Certificates and the US$150 million of the Series 2007-B Floating Rates Certificates, BCP has signed an insurance policy with AMBAC Assurance Corporation which guarantees the timely payment of scheduled principal and certain accrued interest monthly payments.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20" w:name="page121"/>
    <w:bookmarkEnd w:id="120"/>
    <w:p>
      <w:pPr>
        <w:jc w:val="both"/>
        <w:ind w:left="328"/>
        <w:spacing w:after="0" w:line="312" w:lineRule="auto"/>
        <w:rPr>
          <w:sz w:val="20"/>
          <w:szCs w:val="20"/>
          <w:color w:val="auto"/>
        </w:rPr>
      </w:pPr>
      <w:r>
        <w:rPr>
          <w:rFonts w:ascii="Arial" w:cs="Arial" w:eastAsia="Arial" w:hAnsi="Arial"/>
          <w:sz w:val="16"/>
          <w:szCs w:val="16"/>
          <w:color w:val="auto"/>
        </w:rPr>
        <w:t>The “international funds and others” received by Credicorp are loans used mainly for financing foreign trade operations and working capital. As of December 31, 2007, these loans have maturities between January 2008 and February 2011. The interest rates range between 4.88% and 5.73%. As of December 31, 2007, the balance of these obligations is US$1,145.3 million (See Note 15 (a) to the Credicorp Consolidated Financial Statements).</w:t>
      </w:r>
    </w:p>
    <w:p>
      <w:pPr>
        <w:spacing w:after="0" w:line="201" w:lineRule="exact"/>
        <w:rPr>
          <w:sz w:val="20"/>
          <w:szCs w:val="20"/>
          <w:color w:val="auto"/>
        </w:rPr>
      </w:pPr>
    </w:p>
    <w:p>
      <w:pPr>
        <w:jc w:val="both"/>
        <w:ind w:left="328" w:hanging="328"/>
        <w:spacing w:after="0" w:line="273" w:lineRule="auto"/>
        <w:tabs>
          <w:tab w:leader="none" w:pos="32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promotional credit lines represent loans granted to BCP by Corporación Financiera de Desarrollo (COFIDE) and Banco Interamericano de Desarrollo (Inter-American Development Bank or IDB), to promote the development of Peru, have maturities between March 2008 and December 2027 and their interest rates range between 5.73 and 7.75%. These credit lines are secured by a loan portfolio totaling US$196.2 million and US$177.9 million as of December 31, 2007 and December 31, 2006, respectively. These lines include covenants specifying the use of the funds, financial conditions that the borrower must maintain and other administrative matters. In Management’s opinion, these covenants do not limit Credicorp’s operations and at the balance sheet date, Credicorp is not in violation of these covenants.</w:t>
      </w:r>
    </w:p>
    <w:p>
      <w:pPr>
        <w:spacing w:after="0" w:line="2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95" w:right="239" w:bottom="1440" w:gutter="0" w:footer="0" w:header="0"/>
        </w:sectPr>
      </w:pPr>
    </w:p>
    <w:bookmarkStart w:id="121" w:name="page122"/>
    <w:bookmarkEnd w:id="121"/>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79" w:lineRule="exact"/>
        <w:rPr>
          <w:sz w:val="20"/>
          <w:szCs w:val="20"/>
          <w:color w:val="auto"/>
        </w:rPr>
      </w:pPr>
    </w:p>
    <w:p>
      <w:pPr>
        <w:ind w:left="660" w:right="8120" w:hanging="652"/>
        <w:spacing w:after="0" w:line="632" w:lineRule="auto"/>
        <w:tabs>
          <w:tab w:leader="none" w:pos="66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Senior Management </w:t>
      </w:r>
      <w:r>
        <w:rPr>
          <w:rFonts w:ascii="Arial" w:cs="Arial" w:eastAsia="Arial" w:hAnsi="Arial"/>
          <w:sz w:val="17"/>
          <w:szCs w:val="17"/>
          <w:b w:val="1"/>
          <w:bCs w:val="1"/>
          <w:i w:val="1"/>
          <w:iCs w:val="1"/>
          <w:color w:val="auto"/>
        </w:rPr>
        <w:t>Board of Directors</w:t>
      </w: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sets forth the current Directors of Credicorp.</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24"/>
        </w:trPr>
        <w:tc>
          <w:tcPr>
            <w:tcW w:w="6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Years served as a</w:t>
            </w:r>
          </w:p>
        </w:tc>
      </w:tr>
      <w:tr>
        <w:trPr>
          <w:trHeight w:val="267"/>
        </w:trPr>
        <w:tc>
          <w:tcPr>
            <w:tcW w:w="68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3"/>
                <w:szCs w:val="23"/>
                <w:color w:val="auto"/>
              </w:rPr>
            </w:pPr>
          </w:p>
        </w:tc>
        <w:tc>
          <w:tcPr>
            <w:tcW w:w="1660" w:type="dxa"/>
            <w:vAlign w:val="bottom"/>
            <w:gridSpan w:val="2"/>
          </w:tcPr>
          <w:p>
            <w:pPr>
              <w:jc w:val="right"/>
              <w:ind w:right="520"/>
              <w:spacing w:after="0" w:line="266" w:lineRule="exact"/>
              <w:rPr>
                <w:sz w:val="20"/>
                <w:szCs w:val="20"/>
                <w:color w:val="auto"/>
              </w:rPr>
            </w:pPr>
            <w:r>
              <w:rPr>
                <w:rFonts w:ascii="Arial" w:cs="Arial" w:eastAsia="Arial" w:hAnsi="Arial"/>
                <w:sz w:val="18"/>
                <w:szCs w:val="18"/>
                <w:b w:val="1"/>
                <w:bCs w:val="1"/>
                <w:color w:val="auto"/>
              </w:rPr>
              <w:t>Director</w:t>
            </w:r>
            <w:r>
              <w:rPr>
                <w:rFonts w:ascii="Arial" w:cs="Arial" w:eastAsia="Arial" w:hAnsi="Arial"/>
                <w:sz w:val="30"/>
                <w:szCs w:val="30"/>
                <w:color w:val="auto"/>
                <w:vertAlign w:val="superscript"/>
              </w:rPr>
              <w:t>(1)</w:t>
            </w:r>
          </w:p>
        </w:tc>
      </w:tr>
      <w:tr>
        <w:trPr>
          <w:trHeight w:val="237"/>
        </w:trPr>
        <w:tc>
          <w:tcPr>
            <w:tcW w:w="68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Dionisio Romero</w:t>
            </w:r>
          </w:p>
        </w:tc>
        <w:tc>
          <w:tcPr>
            <w:tcW w:w="22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Chairman</w:t>
            </w:r>
          </w:p>
        </w:tc>
        <w:tc>
          <w:tcPr>
            <w:tcW w:w="220" w:type="dxa"/>
            <w:vAlign w:val="bottom"/>
            <w:shd w:val="clear" w:color="auto" w:fill="CCFFCC"/>
          </w:tcPr>
          <w:p>
            <w:pPr>
              <w:spacing w:after="0"/>
              <w:rPr>
                <w:sz w:val="20"/>
                <w:szCs w:val="20"/>
                <w:color w:val="auto"/>
              </w:rPr>
            </w:pP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FFCC"/>
          </w:tcPr>
          <w:p>
            <w:pPr>
              <w:spacing w:after="0"/>
              <w:rPr>
                <w:sz w:val="20"/>
                <w:szCs w:val="20"/>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Luis Nicolini</w:t>
            </w:r>
          </w:p>
        </w:tc>
        <w:tc>
          <w:tcPr>
            <w:tcW w:w="22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Arial" w:cs="Arial" w:eastAsia="Arial" w:hAnsi="Arial"/>
                <w:sz w:val="18"/>
                <w:szCs w:val="18"/>
                <w:color w:val="auto"/>
              </w:rPr>
              <w:t>Vice Chairman</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(2)</w:t>
            </w:r>
          </w:p>
        </w:tc>
      </w:tr>
      <w:tr>
        <w:trPr>
          <w:trHeight w:val="243"/>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Fernando Fort</w:t>
            </w: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FFCC"/>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Reynaldo Llosa</w:t>
            </w:r>
          </w:p>
        </w:tc>
        <w:tc>
          <w:tcPr>
            <w:tcW w:w="22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r>
      <w:tr>
        <w:trPr>
          <w:trHeight w:val="243"/>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Juan Carlos Verme</w:t>
            </w: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FFCC"/>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Luis Enrique Yarur</w:t>
            </w:r>
          </w:p>
        </w:tc>
        <w:tc>
          <w:tcPr>
            <w:tcW w:w="22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r>
      <w:tr>
        <w:trPr>
          <w:trHeight w:val="243"/>
        </w:trPr>
        <w:tc>
          <w:tcPr>
            <w:tcW w:w="6860" w:type="dxa"/>
            <w:vAlign w:val="bottom"/>
            <w:shd w:val="clear" w:color="auto" w:fill="CCFFCC"/>
          </w:tcPr>
          <w:p>
            <w:pPr>
              <w:spacing w:after="0"/>
              <w:rPr>
                <w:sz w:val="20"/>
                <w:szCs w:val="20"/>
                <w:color w:val="auto"/>
              </w:rPr>
            </w:pPr>
            <w:r>
              <w:rPr>
                <w:rFonts w:ascii="Arial" w:cs="Arial" w:eastAsia="Arial" w:hAnsi="Arial"/>
                <w:sz w:val="18"/>
                <w:szCs w:val="18"/>
                <w:color w:val="auto"/>
              </w:rPr>
              <w:t>Felipe Ortiz de Zevallos</w:t>
            </w: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(3)</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Germán Suárez</w:t>
            </w:r>
          </w:p>
        </w:tc>
        <w:tc>
          <w:tcPr>
            <w:tcW w:w="220" w:type="dxa"/>
            <w:vAlign w:val="bottom"/>
          </w:tcPr>
          <w:p>
            <w:pPr>
              <w:spacing w:after="0"/>
              <w:rPr>
                <w:sz w:val="19"/>
                <w:szCs w:val="19"/>
                <w:color w:val="auto"/>
              </w:rPr>
            </w:pPr>
          </w:p>
        </w:tc>
        <w:tc>
          <w:tcPr>
            <w:tcW w:w="13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(3)</w:t>
            </w:r>
          </w:p>
        </w:tc>
      </w:tr>
      <w:tr>
        <w:trPr>
          <w:trHeight w:val="230"/>
        </w:trPr>
        <w:tc>
          <w:tcPr>
            <w:tcW w:w="6860" w:type="dxa"/>
            <w:vAlign w:val="bottom"/>
          </w:tcPr>
          <w:p>
            <w:pPr>
              <w:ind w:left="400"/>
              <w:spacing w:after="0"/>
              <w:rPr>
                <w:sz w:val="20"/>
                <w:szCs w:val="20"/>
                <w:color w:val="auto"/>
              </w:rPr>
            </w:pPr>
            <w:r>
              <w:rPr>
                <w:rFonts w:ascii="Arial" w:cs="Arial" w:eastAsia="Arial" w:hAnsi="Arial"/>
                <w:sz w:val="18"/>
                <w:szCs w:val="18"/>
                <w:color w:val="auto"/>
              </w:rPr>
              <w:t>______________________________________________</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ind w:left="1300" w:hanging="320"/>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2007.</w:t>
      </w:r>
    </w:p>
    <w:p>
      <w:pPr>
        <w:spacing w:after="0" w:line="48" w:lineRule="exact"/>
        <w:rPr>
          <w:rFonts w:ascii="Arial" w:cs="Arial" w:eastAsia="Arial" w:hAnsi="Arial"/>
          <w:sz w:val="18"/>
          <w:szCs w:val="18"/>
          <w:color w:val="auto"/>
        </w:rPr>
      </w:pPr>
    </w:p>
    <w:p>
      <w:pPr>
        <w:ind w:left="1300" w:hanging="320"/>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Nicolini resigned as a Director in April 2008 and was replaced by Mr. Raimundo Morales.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Elected at the Annual General Shareholders’ Meeting on March 31, 2005.</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Dionisio Romero </w:t>
      </w:r>
      <w:r>
        <w:rPr>
          <w:rFonts w:ascii="Arial" w:cs="Arial" w:eastAsia="Arial" w:hAnsi="Arial"/>
          <w:sz w:val="18"/>
          <w:szCs w:val="18"/>
          <w:color w:val="auto"/>
        </w:rPr>
        <w:t>is an economist with a Master’s degree in Business Administration from Stanford University. Mr. Romero was the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Banco de Crédito del Perú from 1966 to 1987 and has served as a Board Member from December 1990 to the present. He is the Chairman of Credicorp and has held this position since August 1995. He is also Chairman of ASCH, BCB, Grupo Crédito, BCP’s subsidiaries and Deputy Chairman of PPS. Additionally, he serves as a Director on the Board of Banco de Crédito e Inversiones Chile.</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Luis Nicolini</w:t>
      </w:r>
      <w:r>
        <w:rPr>
          <w:rFonts w:ascii="Arial" w:cs="Arial" w:eastAsia="Arial" w:hAnsi="Arial"/>
          <w:sz w:val="18"/>
          <w:szCs w:val="18"/>
          <w:color w:val="auto"/>
        </w:rPr>
        <w:t>, an industrial banker by profession, served as Vice Chairman of Banco de Crédito del Perú from August 1995 to April 2008. He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a Director on the Boards of Inversiones Centenario, Alicorp, PPS, and is Chairman of the textile company Fábrica de Tejidos La Bellota. He has also served as Vice Chairman of ASB. He is also Deputy Chairman and Director of BCB and BCP’s subsidiaries. In April 2008, the Board of Directors was informed of Mr. Nicolini’s decision to resign as a member of the Board. Mr. Raimundo Morales was appointed as Director and Vice Chairman of Credicorp in April 2008, to replace Luis Nicolini.</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Raimundo Morales</w:t>
      </w:r>
      <w:r>
        <w:rPr>
          <w:rFonts w:ascii="Arial" w:cs="Arial" w:eastAsia="Arial" w:hAnsi="Arial"/>
          <w:sz w:val="17"/>
          <w:szCs w:val="17"/>
          <w:color w:val="auto"/>
        </w:rPr>
        <w:t>, is the Vice Chairman of Credicorp since April 2008. Prior to accepting his election to the Board of Directors of Credicorp,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Operating Officer of Credicorp and the General Manager of Banco de Crédito del Perú,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Fernando Fort </w:t>
      </w:r>
      <w:r>
        <w:rPr>
          <w:rFonts w:ascii="Arial" w:cs="Arial" w:eastAsia="Arial" w:hAnsi="Arial"/>
          <w:sz w:val="16"/>
          <w:szCs w:val="16"/>
          <w:color w:val="auto"/>
        </w:rPr>
        <w:t>is a lawyer and Partner at the law firm of Fort Bertorini Godoy Pollari &amp; Carcelen Abogados S.A. Mr. Fort has served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Banco de Crédito del Perú from 1979 to 1987 and from March 1990 to the present. He is a Director of Credicorp (since March 1999), ASB, BCB and BCP’s subsidiaries. Additionally, Mr. Fort serves as a Director on the Board of Inversiones Centenario and the Boards of various other companies.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2" w:name="page123"/>
    <w:bookmarkEnd w:id="122"/>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Reynaldo Llosa </w:t>
      </w:r>
      <w:r>
        <w:rPr>
          <w:rFonts w:ascii="Arial" w:cs="Arial" w:eastAsia="Arial" w:hAnsi="Arial"/>
          <w:sz w:val="16"/>
          <w:szCs w:val="16"/>
          <w:color w:val="auto"/>
        </w:rPr>
        <w:t>is a business manager and served as a Director of Banco de Crédito del Perú’s from 1980 to October 1987 and from March 1990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 He has been a Director of Credicorp since August 1995, Atlantic Security Bank, Banco de Crédito de Bolivia and BCP’s subsidiaries. Mr. Llosa is also the main partner and general manager of the company F.N. Jones S.R. Ltda., and serves as a Director on the Boards of various other companies.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Juan Carlos Verme </w:t>
      </w:r>
      <w:r>
        <w:rPr>
          <w:rFonts w:ascii="Arial" w:cs="Arial" w:eastAsia="Arial" w:hAnsi="Arial"/>
          <w:sz w:val="18"/>
          <w:szCs w:val="18"/>
          <w:color w:val="auto"/>
        </w:rPr>
        <w:t>is a businessman and has served as Director of Banco de Crédito del Perú since March 1990 and as a Director of Credicorp since</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1995. He is also Director, Banco de Crédito de Bolivia, Atlantic Security Bank and BCP’s subsidiaries. Mr. Verme is Chairman of Inversiones Centenario and also serves as a Director on the Boards of various other companies. He is a member of the Asamblea General de Asociados del Patronato del Museo de Arte de Lima and Vice President of Asociación Cultural Filarmonía.</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Banco de Crédito del Perú since February 1995 and as a Director of Credicorp on October 31, 2002.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Felipe Ortiz de Zevallos </w:t>
      </w:r>
      <w:r>
        <w:rPr>
          <w:rFonts w:ascii="Arial" w:cs="Arial" w:eastAsia="Arial" w:hAnsi="Arial"/>
          <w:sz w:val="17"/>
          <w:szCs w:val="17"/>
          <w:color w:val="auto"/>
        </w:rPr>
        <w:t>is an industrial engineer with a Master’s degree in Management Science from Rochester University and 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degree from Harvard Business School. Mr. Ortiz de Zevallos became a Director of Credicorp on March 31, 2005. Mr. Ortiz de Zevallos serves as Director on the Boards of various other companies, among which are Grupo Apoyo (Chairman), Compañía de Minas Buenaventura S.A. and Universia. Felipe Ortiz de Zevallos is currently Peru’s Ambassador to the United States. Until he was appointed as Peru’s Ambassador to the United States, Mr. Zevallos served as the President of Universidad del Pacífico in Lima (elected for the period 2004-2009).</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and received his Master’s degree in economics from Columbia University. Mr. Suárez became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Credicorp on March 31, 2005. Mr. Suárez was President and Chairman of the Board of Banco Central de Reserva del Perú from 1992 to 2001, and serves as Director on the Boards of various other companies, among which are Compañía de Minas Buenaventura S.A.</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General Shareholders’ Meeting held on March 31, 2005, an amendment to the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Secretary of Credicorp is Dawna L. Ferguson. The Assistant Secretary of Credicorp is Fernando Palao. The Resident Representative of Credicorp in Bermuda is Nicholas G. Trollope.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 Served as</w:t>
            </w:r>
          </w:p>
        </w:tc>
        <w:tc>
          <w:tcPr>
            <w:tcW w:w="0" w:type="dxa"/>
            <w:vAlign w:val="bottom"/>
          </w:tcPr>
          <w:p>
            <w:pPr>
              <w:spacing w:after="0"/>
              <w:rPr>
                <w:sz w:val="1"/>
                <w:szCs w:val="1"/>
                <w:color w:val="auto"/>
              </w:rPr>
            </w:pPr>
          </w:p>
        </w:tc>
      </w:tr>
      <w:tr>
        <w:trPr>
          <w:trHeight w:val="267"/>
        </w:trPr>
        <w:tc>
          <w:tcPr>
            <w:tcW w:w="2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22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3"/>
                <w:szCs w:val="23"/>
                <w:color w:val="auto"/>
              </w:rPr>
            </w:pPr>
          </w:p>
        </w:tc>
        <w:tc>
          <w:tcPr>
            <w:tcW w:w="1560" w:type="dxa"/>
            <w:vAlign w:val="bottom"/>
            <w:gridSpan w:val="2"/>
          </w:tcPr>
          <w:p>
            <w:pPr>
              <w:ind w:left="200"/>
              <w:spacing w:after="0" w:line="266" w:lineRule="exact"/>
              <w:rPr>
                <w:sz w:val="20"/>
                <w:szCs w:val="20"/>
                <w:color w:val="auto"/>
              </w:rPr>
            </w:pPr>
            <w:r>
              <w:rPr>
                <w:rFonts w:ascii="Arial" w:cs="Arial" w:eastAsia="Arial" w:hAnsi="Arial"/>
                <w:sz w:val="18"/>
                <w:szCs w:val="18"/>
                <w:b w:val="1"/>
                <w:bCs w:val="1"/>
                <w:color w:val="auto"/>
              </w:rPr>
              <w:t>an Officer</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Dionisio Romero</w:t>
            </w:r>
          </w:p>
        </w:tc>
        <w:tc>
          <w:tcPr>
            <w:tcW w:w="22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20"/>
                <w:szCs w:val="20"/>
                <w:color w:val="auto"/>
              </w:rPr>
            </w:pPr>
          </w:p>
        </w:tc>
        <w:tc>
          <w:tcPr>
            <w:tcW w:w="1560" w:type="dxa"/>
            <w:vAlign w:val="bottom"/>
            <w:gridSpan w:val="2"/>
          </w:tcPr>
          <w:p>
            <w:pPr>
              <w:ind w:left="1200"/>
              <w:spacing w:after="0"/>
              <w:rPr>
                <w:sz w:val="20"/>
                <w:szCs w:val="20"/>
                <w:color w:val="auto"/>
              </w:rPr>
            </w:pPr>
            <w:r>
              <w:rPr>
                <w:rFonts w:ascii="Arial" w:cs="Arial" w:eastAsia="Arial" w:hAnsi="Arial"/>
                <w:sz w:val="18"/>
                <w:szCs w:val="18"/>
                <w:color w:val="auto"/>
                <w:w w:val="88"/>
              </w:rPr>
              <w:t>38</w:t>
            </w:r>
            <w:r>
              <w:rPr>
                <w:rFonts w:ascii="Arial" w:cs="Arial" w:eastAsia="Arial" w:hAnsi="Arial"/>
                <w:sz w:val="15"/>
                <w:szCs w:val="15"/>
                <w:color w:val="auto"/>
                <w:w w:val="88"/>
              </w:rPr>
              <w:t>(2)</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Arial" w:cs="Arial" w:eastAsia="Arial" w:hAnsi="Arial"/>
                <w:sz w:val="18"/>
                <w:szCs w:val="18"/>
                <w:color w:val="auto"/>
              </w:rPr>
              <w:t>Raimundo Morales</w:t>
            </w:r>
          </w:p>
        </w:tc>
        <w:tc>
          <w:tcPr>
            <w:tcW w:w="220" w:type="dxa"/>
            <w:vAlign w:val="bottom"/>
          </w:tcPr>
          <w:p>
            <w:pPr>
              <w:spacing w:after="0"/>
              <w:rPr>
                <w:sz w:val="22"/>
                <w:szCs w:val="22"/>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Chief Operating Officer (until April 2008)</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8"/>
              </w:rPr>
              <w:t>28</w:t>
            </w:r>
            <w:r>
              <w:rPr>
                <w:rFonts w:ascii="Arial" w:cs="Arial" w:eastAsia="Arial" w:hAnsi="Arial"/>
                <w:sz w:val="15"/>
                <w:szCs w:val="15"/>
                <w:color w:val="auto"/>
                <w:w w:val="88"/>
              </w:rPr>
              <w:t>(3)</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Walter Bayly</w:t>
            </w:r>
          </w:p>
        </w:tc>
        <w:tc>
          <w:tcPr>
            <w:tcW w:w="220" w:type="dxa"/>
            <w:vAlign w:val="bottom"/>
          </w:tcPr>
          <w:p>
            <w:pPr>
              <w:spacing w:after="0"/>
              <w:rPr>
                <w:sz w:val="20"/>
                <w:szCs w:val="20"/>
                <w:color w:val="auto"/>
              </w:rPr>
            </w:pPr>
          </w:p>
        </w:tc>
        <w:tc>
          <w:tcPr>
            <w:tcW w:w="6000" w:type="dxa"/>
            <w:vAlign w:val="bottom"/>
            <w:vMerge w:val="restart"/>
          </w:tcPr>
          <w:p>
            <w:pPr>
              <w:ind w:left="100"/>
              <w:spacing w:after="0"/>
              <w:rPr>
                <w:sz w:val="20"/>
                <w:szCs w:val="20"/>
                <w:color w:val="auto"/>
              </w:rPr>
            </w:pPr>
            <w:r>
              <w:rPr>
                <w:rFonts w:ascii="Arial" w:cs="Arial" w:eastAsia="Arial" w:hAnsi="Arial"/>
                <w:sz w:val="18"/>
                <w:szCs w:val="18"/>
                <w:color w:val="auto"/>
              </w:rPr>
              <w:t>Chief Operating Officer (from April 2008)</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Chief Financial and Accounting Officer (until April 2008)</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Carlos Muñoz</w:t>
            </w:r>
          </w:p>
        </w:tc>
        <w:tc>
          <w:tcPr>
            <w:tcW w:w="220" w:type="dxa"/>
            <w:vAlign w:val="bottom"/>
          </w:tcPr>
          <w:p>
            <w:pPr>
              <w:spacing w:after="0"/>
              <w:rPr>
                <w:sz w:val="23"/>
                <w:szCs w:val="23"/>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Executive Vice President (until April 2008)</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Alvaro Correa</w:t>
            </w:r>
          </w:p>
        </w:tc>
        <w:tc>
          <w:tcPr>
            <w:tcW w:w="220" w:type="dxa"/>
            <w:vAlign w:val="bottom"/>
          </w:tcPr>
          <w:p>
            <w:pPr>
              <w:spacing w:after="0"/>
              <w:rPr>
                <w:sz w:val="23"/>
                <w:szCs w:val="23"/>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Chief Financial and Accounting Officer (from April 2008)</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8"/>
              </w:rPr>
              <w:t>15</w:t>
            </w:r>
            <w:r>
              <w:rPr>
                <w:rFonts w:ascii="Arial" w:cs="Arial" w:eastAsia="Arial" w:hAnsi="Arial"/>
                <w:sz w:val="15"/>
                <w:szCs w:val="15"/>
                <w:color w:val="auto"/>
                <w:w w:val="88"/>
              </w:rPr>
              <w:t>(4)</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José Luis Gagliardi</w:t>
            </w:r>
          </w:p>
        </w:tc>
        <w:tc>
          <w:tcPr>
            <w:tcW w:w="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Senior Vice President, Administration and Human Resources</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8"/>
              </w:rPr>
              <w:t>27</w:t>
            </w:r>
            <w:r>
              <w:rPr>
                <w:rFonts w:ascii="Arial" w:cs="Arial" w:eastAsia="Arial" w:hAnsi="Arial"/>
                <w:sz w:val="15"/>
                <w:szCs w:val="15"/>
                <w:color w:val="auto"/>
                <w:w w:val="88"/>
              </w:rPr>
              <w:t>(5)</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David Saettone</w:t>
            </w:r>
          </w:p>
        </w:tc>
        <w:tc>
          <w:tcPr>
            <w:tcW w:w="22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Senior Vice President, Insurance</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820" w:hanging="326"/>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2007.</w:t>
      </w:r>
    </w:p>
    <w:p>
      <w:pPr>
        <w:spacing w:after="0" w:line="9" w:lineRule="exact"/>
        <w:rPr>
          <w:rFonts w:ascii="Arial" w:cs="Arial" w:eastAsia="Arial" w:hAnsi="Arial"/>
          <w:sz w:val="18"/>
          <w:szCs w:val="18"/>
          <w:color w:val="auto"/>
        </w:rPr>
      </w:pPr>
    </w:p>
    <w:p>
      <w:pPr>
        <w:ind w:left="820" w:right="440" w:hanging="326"/>
        <w:spacing w:after="0" w:line="250"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Romero served as an officer of BCP from 1966 through 1987 and from 1990 to the present. Mr. Romero has been an officer of PPS since 1972.</w:t>
      </w:r>
    </w:p>
    <w:p>
      <w:pPr>
        <w:ind w:left="820" w:hanging="326"/>
        <w:spacing w:after="0"/>
        <w:tabs>
          <w:tab w:leader="none" w:pos="8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Morales resigned as COO of Credicorp in October 2007 and was appointed Director and Vice Chairman of Credicorp in April 2008.</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April 2008, Mr. Alvaro Correa is the Chief Financial and Accounting Officer.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Dionisio Romero</w:t>
      </w:r>
      <w:r>
        <w:rPr>
          <w:rFonts w:ascii="Arial" w:cs="Arial" w:eastAsia="Arial" w:hAnsi="Arial"/>
          <w:sz w:val="18"/>
          <w:szCs w:val="18"/>
          <w:color w:val="auto"/>
        </w:rPr>
        <w:t>, the Chief Executive Officer of Credicorp, also serves on Credicorp’s Board of Directors. See “—Directors.”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Raimundo Morales</w:t>
      </w:r>
      <w:r>
        <w:rPr>
          <w:rFonts w:ascii="Arial" w:cs="Arial" w:eastAsia="Arial" w:hAnsi="Arial"/>
          <w:sz w:val="18"/>
          <w:szCs w:val="18"/>
          <w:color w:val="auto"/>
        </w:rPr>
        <w:t>, the former Chief Operating Officer of Credicorp and the General Manager of Banco de Crédito del Perú resigned as COO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Credicorp In October 2007 and was appointed Director and Vice President of Credicorp in April 2008. See “—Directors.”</w:t>
      </w:r>
    </w:p>
    <w:p>
      <w:pPr>
        <w:spacing w:after="0" w:line="2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Carlos Muñoz</w:t>
      </w:r>
      <w:r>
        <w:rPr>
          <w:rFonts w:ascii="Arial" w:cs="Arial" w:eastAsia="Arial" w:hAnsi="Arial"/>
          <w:sz w:val="16"/>
          <w:szCs w:val="16"/>
          <w:color w:val="auto"/>
        </w:rPr>
        <w:t>, the former Executive Vice President of Credicorp, Deputy General Manager of Banco de Crédito del Perú and President of ASB,</w:t>
      </w:r>
      <w:r>
        <w:rPr>
          <w:rFonts w:ascii="Arial" w:cs="Arial" w:eastAsia="Arial" w:hAnsi="Arial"/>
          <w:sz w:val="16"/>
          <w:szCs w:val="16"/>
          <w:i w:val="1"/>
          <w:iCs w:val="1"/>
          <w:color w:val="auto"/>
        </w:rPr>
        <w:t xml:space="preserve"> </w:t>
      </w:r>
      <w:r>
        <w:rPr>
          <w:rFonts w:ascii="Arial" w:cs="Arial" w:eastAsia="Arial" w:hAnsi="Arial"/>
          <w:sz w:val="16"/>
          <w:szCs w:val="16"/>
          <w:color w:val="auto"/>
        </w:rPr>
        <w:t>resigned from BCP and Credicorp in October 2007 effective as of April 2008. He had previously served as Senior Vice President and Manager of BCP’s Metropolitan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Walter Bayly </w:t>
      </w:r>
      <w:r>
        <w:rPr>
          <w:rFonts w:ascii="Arial" w:cs="Arial" w:eastAsia="Arial" w:hAnsi="Arial"/>
          <w:sz w:val="18"/>
          <w:szCs w:val="18"/>
          <w:color w:val="auto"/>
        </w:rPr>
        <w:t>was named the Chief Operating Officer of Credicorp and General Manager of BCP in October 2007, effective April 2008. Since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2004, he was the Chief Financial and Accounting Officer of Credicorp and Executive Vice President of Planning and Finance of Banco de Crédito del Perú. Previously, Mr. Bayly held various other management positions within BCP, having managed the Wholesale Banking Group as well as various Areas of BCP.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4" w:name="page125"/>
    <w:bookmarkEnd w:id="124"/>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Alvaro Correa </w:t>
      </w:r>
      <w:r>
        <w:rPr>
          <w:rFonts w:ascii="Arial" w:cs="Arial" w:eastAsia="Arial" w:hAnsi="Arial"/>
          <w:sz w:val="18"/>
          <w:szCs w:val="18"/>
          <w:color w:val="auto"/>
        </w:rPr>
        <w:t>is the Chief Financial and Accounting Officer of Credicorp and Executive Vice President of Planning and Finance of Banco de</w:t>
      </w:r>
      <w:r>
        <w:rPr>
          <w:rFonts w:ascii="Arial" w:cs="Arial" w:eastAsia="Arial" w:hAnsi="Arial"/>
          <w:sz w:val="18"/>
          <w:szCs w:val="18"/>
          <w:i w:val="1"/>
          <w:iCs w:val="1"/>
          <w:color w:val="auto"/>
        </w:rPr>
        <w:t xml:space="preserve"> </w:t>
      </w:r>
      <w:r>
        <w:rPr>
          <w:rFonts w:ascii="Arial" w:cs="Arial" w:eastAsia="Arial" w:hAnsi="Arial"/>
          <w:sz w:val="18"/>
          <w:szCs w:val="18"/>
          <w:color w:val="auto"/>
        </w:rPr>
        <w:t>Crédito del Perú. Mr. Correa was appointed CFO of Credicorp and Executive Vice President of Planning and Finance of Banco de Crédito del Perú in October 2007, effective April 2008. Mr. Correa has a B.S. in Industrial Engineering from the Pontificia Universidad Católica del Perú. He also holds a Master’s in Business Administration from Harvard Business School. In 1997, he joined BCP as Retail Risk Manager, serving later as IT Solution Manager under the Systems and Organization Division. He then served as General Manager of Atlantic Security Bank, Credicorp Securities and BCP’s Miami Agency for the last three years.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José Luis Gagliardi</w:t>
      </w:r>
      <w:r>
        <w:rPr>
          <w:rFonts w:ascii="Arial" w:cs="Arial" w:eastAsia="Arial" w:hAnsi="Arial"/>
          <w:sz w:val="18"/>
          <w:szCs w:val="18"/>
          <w:color w:val="auto"/>
        </w:rPr>
        <w:t>, the Senior Vice President, Administration and Human Resources of Credicorp and Executive Vice President of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Banco de Crédito del Perú, first joined BCP in 1981. From March 1981 until December 1988 he served as the Manager of Human Resources and Central Manager of Resources and Administration. In 1988, Mr. Gagliardi left BCP to manage Human Resources for Bank of America’s Latin American Group. He rejoined BCP in November 1990.</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David Saettone </w:t>
      </w:r>
      <w:r>
        <w:rPr>
          <w:rFonts w:ascii="Arial" w:cs="Arial" w:eastAsia="Arial" w:hAnsi="Arial"/>
          <w:sz w:val="17"/>
          <w:szCs w:val="17"/>
          <w:color w:val="auto"/>
        </w:rPr>
        <w:t>is the Senior Vice President, Insurance of Credicorp and the General Manager of PPS. He is an economist with a Masters degree and</w:t>
      </w:r>
      <w:r>
        <w:rPr>
          <w:rFonts w:ascii="Arial" w:cs="Arial" w:eastAsia="Arial" w:hAnsi="Arial"/>
          <w:sz w:val="17"/>
          <w:szCs w:val="17"/>
          <w:i w:val="1"/>
          <w:iCs w:val="1"/>
          <w:color w:val="auto"/>
        </w:rPr>
        <w:t xml:space="preserve"> </w:t>
      </w:r>
      <w:r>
        <w:rPr>
          <w:rFonts w:ascii="Arial" w:cs="Arial" w:eastAsia="Arial" w:hAnsi="Arial"/>
          <w:sz w:val="17"/>
          <w:szCs w:val="17"/>
          <w:color w:val="auto"/>
        </w:rPr>
        <w:t>PhD from Princeton University in the United States. He was the General Manager of BCB and Chief of the Gabinete de Asesores y Unidad de Coordinación de Préstamos Sectoriales of the Economy and Finance Office, Perú. He was also Manager of the Corporate Finance Area of BCP.</w:t>
      </w:r>
    </w:p>
    <w:p>
      <w:pPr>
        <w:spacing w:after="0" w:line="216" w:lineRule="exact"/>
        <w:rPr>
          <w:sz w:val="20"/>
          <w:szCs w:val="20"/>
          <w:color w:val="auto"/>
        </w:rPr>
      </w:pPr>
    </w:p>
    <w:p>
      <w:pPr>
        <w:ind w:left="660" w:hanging="607"/>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aggregate amount of compensation paid by Credicorp to all Directors and executive officers for 2007 was US$46.8 million. Credicorp does not disclose to its shareholders or otherwise make available to the public information as to the compensation of its individual directors or executive officers.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Credicorp Stock Appreciation Rights (SARs) Plan (the “Plan”) which Credicorp instituted beginning in fiscal year 1999, Credicorp granted SARs to certain key executives and employees (Directors and administrative, supervisory and management personnel) who have at least one year’s service in Credicorp or any of its subsidiaries during each year since 1999. Each SAR expires eight years after the date of grant. The rights vest in 25% increments during the first four years following the date of grant. From the end of the fourth year after the grant of a SAR until the expiration date of it, all or a portion of such right still outstanding under the Plan may be exercised at any time. The following table shows the number of SARs granted and corresponding exercise price for each year.</w:t>
      </w:r>
    </w:p>
    <w:p>
      <w:pPr>
        <w:spacing w:after="0" w:line="247" w:lineRule="exact"/>
        <w:rPr>
          <w:sz w:val="20"/>
          <w:szCs w:val="20"/>
          <w:color w:val="auto"/>
        </w:rPr>
      </w:pPr>
    </w:p>
    <w:tbl>
      <w:tblPr>
        <w:tblLayout w:type="fixed"/>
        <w:tblInd w:w="24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2"/>
          </w:tcPr>
          <w:p>
            <w:pPr>
              <w:ind w:left="300"/>
              <w:spacing w:after="0"/>
              <w:rPr>
                <w:sz w:val="20"/>
                <w:szCs w:val="20"/>
                <w:color w:val="auto"/>
              </w:rPr>
            </w:pPr>
            <w:r>
              <w:rPr>
                <w:rFonts w:ascii="Arial" w:cs="Arial" w:eastAsia="Arial" w:hAnsi="Arial"/>
                <w:sz w:val="18"/>
                <w:szCs w:val="18"/>
                <w:color w:val="auto"/>
              </w:rPr>
              <w:t>Number of Outstanding</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Exercise</w:t>
            </w:r>
          </w:p>
        </w:tc>
      </w:tr>
      <w:tr>
        <w:trPr>
          <w:trHeight w:val="230"/>
        </w:trPr>
        <w:tc>
          <w:tcPr>
            <w:tcW w:w="20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Year</w:t>
            </w:r>
          </w:p>
        </w:tc>
        <w:tc>
          <w:tcPr>
            <w:tcW w:w="180" w:type="dxa"/>
            <w:vAlign w:val="bottom"/>
          </w:tcPr>
          <w:p>
            <w:pPr>
              <w:spacing w:after="0"/>
              <w:rPr>
                <w:sz w:val="20"/>
                <w:szCs w:val="20"/>
                <w:color w:val="auto"/>
              </w:rPr>
            </w:pPr>
          </w:p>
        </w:tc>
        <w:tc>
          <w:tcPr>
            <w:tcW w:w="2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SARs granted</w:t>
            </w:r>
          </w:p>
        </w:tc>
        <w:tc>
          <w:tcPr>
            <w:tcW w:w="1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price in US$</w:t>
            </w:r>
          </w:p>
        </w:tc>
        <w:tc>
          <w:tcPr>
            <w:tcW w:w="100" w:type="dxa"/>
            <w:vAlign w:val="bottom"/>
          </w:tcPr>
          <w:p>
            <w:pPr>
              <w:spacing w:after="0"/>
              <w:rPr>
                <w:sz w:val="20"/>
                <w:szCs w:val="20"/>
                <w:color w:val="auto"/>
              </w:rPr>
            </w:pPr>
          </w:p>
        </w:tc>
      </w:tr>
      <w:tr>
        <w:trPr>
          <w:trHeight w:val="237"/>
        </w:trPr>
        <w:tc>
          <w:tcPr>
            <w:tcW w:w="2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2000</w:t>
            </w:r>
          </w:p>
        </w:tc>
        <w:tc>
          <w:tcPr>
            <w:tcW w:w="2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509,000</w:t>
            </w:r>
          </w:p>
        </w:tc>
        <w:tc>
          <w:tcPr>
            <w:tcW w:w="1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w:t>
            </w:r>
          </w:p>
        </w:tc>
      </w:tr>
      <w:tr>
        <w:trPr>
          <w:trHeight w:val="243"/>
        </w:trPr>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2001</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color w:val="auto"/>
              </w:rPr>
              <w:t>555,000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43"/>
        </w:trPr>
        <w:tc>
          <w:tcPr>
            <w:tcW w:w="2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2002</w:t>
            </w:r>
          </w:p>
        </w:tc>
        <w:tc>
          <w:tcPr>
            <w:tcW w:w="2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558,750</w:t>
            </w:r>
          </w:p>
        </w:tc>
        <w:tc>
          <w:tcPr>
            <w:tcW w:w="1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w:t>
            </w:r>
          </w:p>
        </w:tc>
      </w:tr>
      <w:tr>
        <w:trPr>
          <w:trHeight w:val="243"/>
        </w:trPr>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2003</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color w:val="auto"/>
              </w:rPr>
              <w:t>562,500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43"/>
        </w:trPr>
        <w:tc>
          <w:tcPr>
            <w:tcW w:w="2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2004</w:t>
            </w:r>
          </w:p>
        </w:tc>
        <w:tc>
          <w:tcPr>
            <w:tcW w:w="2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570,000</w:t>
            </w:r>
          </w:p>
        </w:tc>
        <w:tc>
          <w:tcPr>
            <w:tcW w:w="1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10.99</w:t>
            </w:r>
          </w:p>
        </w:tc>
      </w:tr>
      <w:tr>
        <w:trPr>
          <w:trHeight w:val="243"/>
        </w:trPr>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2005</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color w:val="auto"/>
              </w:rPr>
              <w:t>585,000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r>
      <w:tr>
        <w:trPr>
          <w:trHeight w:val="243"/>
        </w:trPr>
        <w:tc>
          <w:tcPr>
            <w:tcW w:w="2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2006</w:t>
            </w:r>
          </w:p>
        </w:tc>
        <w:tc>
          <w:tcPr>
            <w:tcW w:w="2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621,000</w:t>
            </w:r>
          </w:p>
        </w:tc>
        <w:tc>
          <w:tcPr>
            <w:tcW w:w="1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25.32</w:t>
            </w:r>
          </w:p>
        </w:tc>
      </w:tr>
      <w:tr>
        <w:trPr>
          <w:trHeight w:val="243"/>
        </w:trPr>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2007</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color w:val="auto"/>
              </w:rPr>
              <w:t>689,500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48.50</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2003, 2004, 2005 and 2006, prices of the SARs were modified. The exercise prices of the SARs are reduced by an amount equal to the excess over US$0.70 of total dividends paid per share in a given year. As of December 31, 2007, Options on 410,700 Common Shares had been exercised (948,925 as of December 31, 2006) for an approximate amount of US$18.8 million in 2007 (US$29.3 million in 2006). See Note 20 to the Credicorp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5" w:name="page126"/>
    <w:bookmarkEnd w:id="125"/>
    <w:p>
      <w:pPr>
        <w:ind w:right="20" w:firstLine="648"/>
        <w:spacing w:after="0" w:line="277" w:lineRule="auto"/>
        <w:rPr>
          <w:sz w:val="20"/>
          <w:szCs w:val="20"/>
          <w:color w:val="auto"/>
        </w:rPr>
      </w:pPr>
      <w:r>
        <w:rPr>
          <w:rFonts w:ascii="Arial" w:cs="Arial" w:eastAsia="Arial" w:hAnsi="Arial"/>
          <w:sz w:val="18"/>
          <w:szCs w:val="18"/>
          <w:color w:val="auto"/>
        </w:rPr>
        <w:t>During 2006 and 2007, Credicorp signed a contract to acquire certificates indexed to the performance of Credicorp’s stocks as a means to hedging the SARs delivered to the executives of Credicorp. See Note 8 to the Credicorp Consolidated Financial Statements.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580" w:type="dxa"/>
            <w:vAlign w:val="bottom"/>
          </w:tcPr>
          <w:p>
            <w:pPr>
              <w:spacing w:after="0"/>
              <w:rPr>
                <w:sz w:val="16"/>
                <w:szCs w:val="16"/>
                <w:color w:val="auto"/>
              </w:rPr>
            </w:pPr>
          </w:p>
        </w:tc>
        <w:tc>
          <w:tcPr>
            <w:tcW w:w="11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222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84"/>
              </w:rPr>
              <w:t>Vested</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3"/>
          </w:tcPr>
          <w:p>
            <w:pPr>
              <w:jc w:val="center"/>
              <w:ind w:left="770"/>
              <w:spacing w:after="0" w:line="191" w:lineRule="exact"/>
              <w:rPr>
                <w:sz w:val="20"/>
                <w:szCs w:val="20"/>
                <w:color w:val="auto"/>
              </w:rPr>
            </w:pPr>
            <w:r>
              <w:rPr>
                <w:rFonts w:ascii="Arial" w:cs="Arial" w:eastAsia="Arial" w:hAnsi="Arial"/>
                <w:sz w:val="18"/>
                <w:szCs w:val="18"/>
                <w:b w:val="1"/>
                <w:bCs w:val="1"/>
                <w:color w:val="auto"/>
                <w:w w:val="88"/>
              </w:rPr>
              <w:t>Vested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5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SARs</w:t>
            </w:r>
          </w:p>
        </w:tc>
        <w:tc>
          <w:tcPr>
            <w:tcW w:w="100" w:type="dxa"/>
            <w:vAlign w:val="bottom"/>
          </w:tcPr>
          <w:p>
            <w:pPr>
              <w:spacing w:after="0"/>
              <w:rPr>
                <w:sz w:val="20"/>
                <w:szCs w:val="20"/>
                <w:color w:val="auto"/>
              </w:rPr>
            </w:pPr>
          </w:p>
        </w:tc>
        <w:tc>
          <w:tcPr>
            <w:tcW w:w="134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7"/>
              </w:rPr>
              <w:t>SARs</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SARs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58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Number</w:t>
            </w: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Number</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Amount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Number</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Amount</w:t>
            </w:r>
          </w:p>
        </w:tc>
      </w:tr>
      <w:tr>
        <w:trPr>
          <w:trHeight w:val="243"/>
        </w:trPr>
        <w:tc>
          <w:tcPr>
            <w:tcW w:w="2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US$(000)</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US$(000)</w:t>
            </w:r>
          </w:p>
        </w:tc>
      </w:tr>
      <w:tr>
        <w:trPr>
          <w:trHeight w:val="243"/>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Balance as of January 1st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1,858,350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1,301,928</w:t>
            </w:r>
          </w:p>
        </w:tc>
        <w:tc>
          <w:tcPr>
            <w:tcW w:w="18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38,761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1,658,932</w:t>
            </w:r>
          </w:p>
        </w:tc>
        <w:tc>
          <w:tcPr>
            <w:tcW w:w="18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22,813</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Granted and vested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689,500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647,610</w:t>
            </w:r>
          </w:p>
        </w:tc>
        <w:tc>
          <w:tcPr>
            <w:tcW w:w="1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22,248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621,000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600,046</w:t>
            </w: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12,838</w:t>
            </w:r>
          </w:p>
        </w:tc>
      </w:tr>
      <w:tr>
        <w:trPr>
          <w:trHeight w:val="243"/>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(410,700)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(410,700)</w:t>
            </w:r>
          </w:p>
        </w:tc>
        <w:tc>
          <w:tcPr>
            <w:tcW w:w="18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(18,801)</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8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(29,292)</w:t>
            </w:r>
          </w:p>
        </w:tc>
      </w:tr>
      <w:tr>
        <w:trPr>
          <w:trHeight w:val="243"/>
        </w:trPr>
        <w:tc>
          <w:tcPr>
            <w:tcW w:w="2580" w:type="dxa"/>
            <w:vAlign w:val="bottom"/>
          </w:tcPr>
          <w:p>
            <w:pPr>
              <w:spacing w:after="0"/>
              <w:rPr>
                <w:sz w:val="20"/>
                <w:szCs w:val="20"/>
                <w:color w:val="auto"/>
              </w:rPr>
            </w:pPr>
            <w:r>
              <w:rPr>
                <w:rFonts w:ascii="Arial" w:cs="Arial" w:eastAsia="Arial" w:hAnsi="Arial"/>
                <w:sz w:val="18"/>
                <w:szCs w:val="18"/>
                <w:color w:val="auto"/>
              </w:rPr>
              <w:t>Decrease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(8,125)</w:t>
            </w:r>
          </w:p>
        </w:tc>
        <w:tc>
          <w:tcPr>
            <w:tcW w:w="1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r>
      <w:tr>
        <w:trPr>
          <w:trHeight w:val="275"/>
        </w:trPr>
        <w:tc>
          <w:tcPr>
            <w:tcW w:w="2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Increase in the option fair value</w:t>
            </w: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47,482</w:t>
            </w:r>
          </w:p>
        </w:tc>
        <w:tc>
          <w:tcPr>
            <w:tcW w:w="12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32,634</w:t>
            </w:r>
          </w:p>
        </w:tc>
      </w:tr>
      <w:tr>
        <w:trPr>
          <w:trHeight w:val="237"/>
        </w:trPr>
        <w:tc>
          <w:tcPr>
            <w:tcW w:w="258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50"/>
        </w:trPr>
        <w:tc>
          <w:tcPr>
            <w:tcW w:w="2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December 31</w:t>
            </w: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2,134,650</w:t>
            </w: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1,537,119</w:t>
            </w:r>
          </w:p>
        </w:tc>
        <w:tc>
          <w:tcPr>
            <w:tcW w:w="18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89,602</w:t>
            </w:r>
          </w:p>
        </w:tc>
        <w:tc>
          <w:tcPr>
            <w:tcW w:w="12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1,858,350</w:t>
            </w:r>
          </w:p>
        </w:tc>
        <w:tc>
          <w:tcPr>
            <w:tcW w:w="12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1,301,928</w:t>
            </w:r>
          </w:p>
        </w:tc>
        <w:tc>
          <w:tcPr>
            <w:tcW w:w="1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38,761</w:t>
            </w:r>
          </w:p>
        </w:tc>
      </w:tr>
      <w:tr>
        <w:trPr>
          <w:trHeight w:val="20"/>
        </w:trPr>
        <w:tc>
          <w:tcPr>
            <w:tcW w:w="25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of outstanding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SARs as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23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Number of Vested SARs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as of December 31</w:t>
            </w: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r>
      <w:tr>
        <w:trPr>
          <w:trHeight w:val="237"/>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US$</w:t>
            </w:r>
          </w:p>
        </w:tc>
      </w:tr>
      <w:tr>
        <w:trPr>
          <w:trHeight w:val="243"/>
        </w:trPr>
        <w:tc>
          <w:tcPr>
            <w:tcW w:w="4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2000</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49,750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49,750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68,750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FFCC"/>
          </w:tcPr>
          <w:p>
            <w:pPr>
              <w:spacing w:after="0"/>
              <w:rPr>
                <w:sz w:val="21"/>
                <w:szCs w:val="21"/>
                <w:color w:val="auto"/>
              </w:rPr>
            </w:pPr>
          </w:p>
        </w:tc>
      </w:tr>
      <w:tr>
        <w:trPr>
          <w:trHeight w:val="243"/>
        </w:trPr>
        <w:tc>
          <w:tcPr>
            <w:tcW w:w="432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r>
      <w:tr>
        <w:trPr>
          <w:trHeight w:val="243"/>
        </w:trPr>
        <w:tc>
          <w:tcPr>
            <w:tcW w:w="4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2002</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92,500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92,500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117,500</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FFCC"/>
          </w:tcPr>
          <w:p>
            <w:pPr>
              <w:spacing w:after="0"/>
              <w:rPr>
                <w:sz w:val="21"/>
                <w:szCs w:val="21"/>
                <w:color w:val="auto"/>
              </w:rPr>
            </w:pPr>
          </w:p>
        </w:tc>
      </w:tr>
      <w:tr>
        <w:trPr>
          <w:trHeight w:val="243"/>
        </w:trPr>
        <w:tc>
          <w:tcPr>
            <w:tcW w:w="432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151,900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151,900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r>
      <w:tr>
        <w:trPr>
          <w:trHeight w:val="243"/>
        </w:trPr>
        <w:tc>
          <w:tcPr>
            <w:tcW w:w="4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2004</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237,700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237,700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317,984</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FFCC"/>
          </w:tcPr>
          <w:p>
            <w:pPr>
              <w:spacing w:after="0"/>
              <w:rPr>
                <w:sz w:val="21"/>
                <w:szCs w:val="21"/>
                <w:color w:val="auto"/>
              </w:rPr>
            </w:pPr>
          </w:p>
        </w:tc>
      </w:tr>
      <w:tr>
        <w:trPr>
          <w:trHeight w:val="243"/>
        </w:trPr>
        <w:tc>
          <w:tcPr>
            <w:tcW w:w="432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384,500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349,813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281,038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1"/>
                <w:szCs w:val="21"/>
                <w:color w:val="auto"/>
              </w:rPr>
            </w:pPr>
          </w:p>
        </w:tc>
      </w:tr>
      <w:tr>
        <w:trPr>
          <w:trHeight w:val="243"/>
        </w:trPr>
        <w:tc>
          <w:tcPr>
            <w:tcW w:w="4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2006</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497,050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310,800</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215,156</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25.32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FFCC"/>
          </w:tcPr>
          <w:p>
            <w:pPr>
              <w:spacing w:after="0"/>
              <w:rPr>
                <w:sz w:val="21"/>
                <w:szCs w:val="21"/>
                <w:color w:val="auto"/>
              </w:rPr>
            </w:pPr>
          </w:p>
        </w:tc>
      </w:tr>
      <w:tr>
        <w:trPr>
          <w:trHeight w:val="243"/>
        </w:trPr>
        <w:tc>
          <w:tcPr>
            <w:tcW w:w="432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648,250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271,656</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64"/>
        </w:trPr>
        <w:tc>
          <w:tcPr>
            <w:tcW w:w="43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2,134,650</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1,537,119</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1,301,928</w:t>
            </w:r>
          </w:p>
        </w:tc>
        <w:tc>
          <w:tcPr>
            <w:tcW w:w="10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r>
    </w:tbl>
    <w:p>
      <w:pPr>
        <w:spacing w:after="0" w:line="252"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The date of expiration of the current Board is March 31, 2011. Credicorp’s current Directors have no benefits in addition to the remuneration agreed at the Annual General Shareholders’ Meetings, nor benefits that could be enjoyed at the termination of their service terms.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both"/>
        <w:ind w:firstLine="648"/>
        <w:spacing w:after="0" w:line="264" w:lineRule="auto"/>
        <w:rPr>
          <w:sz w:val="20"/>
          <w:szCs w:val="20"/>
          <w:color w:val="auto"/>
        </w:rPr>
      </w:pPr>
      <w:r>
        <w:rPr>
          <w:rFonts w:ascii="Arial" w:cs="Arial" w:eastAsia="Arial" w:hAnsi="Arial"/>
          <w:sz w:val="18"/>
          <w:szCs w:val="18"/>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Until March 2008 the members of the Audit Committee were Messrs. Yarur (Chairman), Nicolini, Llosa and Verme. In its session held on March 28, 2008 the Board of Directors elected the members of the new Audit Committee as follows: Mr. Germán Suarez as President and financial expert and Mr. Reynaldo Llosa. The Audit Committee has designated as advisors Mr. Benedicto Cigüeñas and Mr. Luis Nicolini.</w:t>
      </w:r>
    </w:p>
    <w:p>
      <w:pPr>
        <w:spacing w:after="0" w:line="23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Credicorp’s Audit Committee has also been assigned by the Board of Directors to oversee the internal audit departments at BCP and PPS. As permitted by SBS Resolution No. 1041-99, BCP’s internal audit department has responsibility over all financial activities of its subsidiaries.</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Section 303A.11 of the New York Stock Exchange (“NYSE”) Listed Company Manual, Credicorp has disclosed on its website (</w:t>
      </w:r>
      <w:r>
        <w:rPr>
          <w:rFonts w:ascii="Arial" w:cs="Arial" w:eastAsia="Arial" w:hAnsi="Arial"/>
          <w:sz w:val="18"/>
          <w:szCs w:val="18"/>
          <w:u w:val="single" w:color="auto"/>
          <w:color w:val="auto"/>
        </w:rPr>
        <w:t>www.credicorpnet.com</w:t>
      </w:r>
      <w:r>
        <w:rPr>
          <w:rFonts w:ascii="Arial" w:cs="Arial" w:eastAsia="Arial" w:hAnsi="Arial"/>
          <w:sz w:val="18"/>
          <w:szCs w:val="18"/>
          <w:color w:val="auto"/>
        </w:rPr>
        <w:t>) the significant ways in which its corporate governance practices differ from those required of U.S. domestic companies under the NYSE’s corporate governance standards.</w:t>
      </w:r>
    </w:p>
    <w:p>
      <w:pPr>
        <w:spacing w:after="0" w:line="231"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December 31, 2007, Credicorp had 13,149 full time employees, distributed as set forth in the following table:</w:t>
      </w:r>
    </w:p>
    <w:p>
      <w:pPr>
        <w:spacing w:after="0" w:line="30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37"/>
        </w:trPr>
        <w:tc>
          <w:tcPr>
            <w:tcW w:w="3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w w:val="95"/>
              </w:rPr>
              <w:t>(Full-time employees)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7,568</w:t>
            </w:r>
          </w:p>
        </w:tc>
        <w:tc>
          <w:tcPr>
            <w:tcW w:w="1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8,243</w:t>
            </w:r>
          </w:p>
        </w:tc>
        <w:tc>
          <w:tcPr>
            <w:tcW w:w="2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9,593</w:t>
            </w: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PPS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1,099</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r>
      <w:tr>
        <w:trPr>
          <w:trHeight w:val="243"/>
        </w:trPr>
        <w:tc>
          <w:tcPr>
            <w:tcW w:w="4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ASHC</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w:t>
            </w: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Prima AFP</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r>
      <w:tr>
        <w:trPr>
          <w:trHeight w:val="243"/>
        </w:trPr>
        <w:tc>
          <w:tcPr>
            <w:tcW w:w="4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w:t>
            </w:r>
          </w:p>
        </w:tc>
        <w:tc>
          <w:tcPr>
            <w:tcW w:w="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w:t>
            </w:r>
          </w:p>
        </w:tc>
        <w:tc>
          <w:tcPr>
            <w:tcW w:w="1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340</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w:t>
            </w:r>
          </w:p>
        </w:tc>
      </w:tr>
      <w:tr>
        <w:trPr>
          <w:trHeight w:val="237"/>
        </w:trPr>
        <w:tc>
          <w:tcPr>
            <w:tcW w:w="332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4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Credicorp</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9,544</w:t>
            </w:r>
          </w:p>
        </w:tc>
        <w:tc>
          <w:tcPr>
            <w:tcW w:w="1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11,532</w:t>
            </w:r>
          </w:p>
        </w:tc>
        <w:tc>
          <w:tcPr>
            <w:tcW w:w="2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13,149</w:t>
            </w: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All employees of banks in Peru are given the option of belonging to an employee union, and such employee unions are collectively represented by the </w:t>
      </w:r>
      <w:r>
        <w:rPr>
          <w:rFonts w:ascii="Arial" w:cs="Arial" w:eastAsia="Arial" w:hAnsi="Arial"/>
          <w:sz w:val="17"/>
          <w:szCs w:val="17"/>
          <w:i w:val="1"/>
          <w:iCs w:val="1"/>
          <w:color w:val="auto"/>
        </w:rPr>
        <w:t>Federación de Empleados Bancarios</w:t>
      </w:r>
      <w:r>
        <w:rPr>
          <w:rFonts w:ascii="Arial" w:cs="Arial" w:eastAsia="Arial" w:hAnsi="Arial"/>
          <w:sz w:val="17"/>
          <w:szCs w:val="17"/>
          <w:color w:val="auto"/>
        </w:rPr>
        <w:t xml:space="preserve">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7" w:name="page128"/>
    <w:bookmarkEnd w:id="127"/>
    <w:p>
      <w:pPr>
        <w:jc w:val="both"/>
        <w:ind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2007, no BCP employees belonged to a union. The last strike by union employees occurred in 1991 and did not interfere with BCP’s operations.</w:t>
      </w:r>
    </w:p>
    <w:p>
      <w:pPr>
        <w:spacing w:after="0" w:line="231"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September 30, 2008, the Romero family (represented by Mr. Dionisio Romero) owned 14.9 million (15.82%) Credicorp Common Shares and Mr. Luis Yarur owned approximately 1.495 million (1.58%) Credicorp Common Shares. No other director or executive officer of Credicorp beneficially owns more than one percent of Credicorp's Common Shares. See “Item 7. Major Shareholders and Related Party Transactions-(A) Major Shareholders.” In addition, other members of the Board of Directors that own Credicorp Common Shares are: Mr. Luis Nicolini, Mr. Fernando Fort, Mr. Reynaldo Llosa and Mr. Juan Carlos Verme, in each case less than one percent of Credicorp's total outstanding Common Shares.</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79"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2007,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provides details about the percentage of Common Shares owned by holders of 5% or more of Common Shares, of April 30, 2008.</w:t>
      </w:r>
    </w:p>
    <w:p>
      <w:pPr>
        <w:spacing w:after="0" w:line="312" w:lineRule="exact"/>
        <w:rPr>
          <w:sz w:val="20"/>
          <w:szCs w:val="20"/>
          <w:color w:val="auto"/>
        </w:rPr>
      </w:pPr>
    </w:p>
    <w:tbl>
      <w:tblPr>
        <w:tblLayout w:type="fixed"/>
        <w:tblInd w:w="1720" w:type="dxa"/>
        <w:tblCellMar>
          <w:top w:w="0" w:type="dxa"/>
          <w:left w:w="0" w:type="dxa"/>
          <w:bottom w:w="0" w:type="dxa"/>
          <w:right w:w="0" w:type="dxa"/>
        </w:tblCellMar>
      </w:tblPr>
      <w:tr>
        <w:trPr>
          <w:trHeight w:val="224"/>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Percent of</w:t>
            </w:r>
          </w:p>
        </w:tc>
      </w:tr>
      <w:tr>
        <w:trPr>
          <w:trHeight w:val="26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22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b w:val="1"/>
                <w:bCs w:val="1"/>
                <w:color w:val="auto"/>
                <w:w w:val="82"/>
              </w:rPr>
              <w:t>Class</w:t>
            </w:r>
            <w:r>
              <w:rPr>
                <w:rFonts w:ascii="Arial" w:cs="Arial" w:eastAsia="Arial" w:hAnsi="Arial"/>
                <w:sz w:val="30"/>
                <w:szCs w:val="30"/>
                <w:color w:val="auto"/>
                <w:w w:val="82"/>
                <w:vertAlign w:val="superscript"/>
              </w:rPr>
              <w:t>(1)</w:t>
            </w:r>
          </w:p>
        </w:tc>
        <w:tc>
          <w:tcPr>
            <w:tcW w:w="200" w:type="dxa"/>
            <w:vAlign w:val="bottom"/>
          </w:tcPr>
          <w:p>
            <w:pPr>
              <w:spacing w:after="0"/>
              <w:rPr>
                <w:sz w:val="23"/>
                <w:szCs w:val="23"/>
                <w:color w:val="auto"/>
              </w:rPr>
            </w:pPr>
          </w:p>
        </w:tc>
      </w:tr>
      <w:tr>
        <w:trPr>
          <w:trHeight w:val="250"/>
        </w:trPr>
        <w:tc>
          <w:tcPr>
            <w:tcW w:w="4640" w:type="dxa"/>
            <w:vAlign w:val="bottom"/>
            <w:shd w:val="clear" w:color="auto" w:fill="CCFFCC"/>
          </w:tcPr>
          <w:p>
            <w:pPr>
              <w:ind w:left="320"/>
              <w:spacing w:after="0" w:line="250" w:lineRule="exact"/>
              <w:rPr>
                <w:sz w:val="20"/>
                <w:szCs w:val="20"/>
                <w:color w:val="auto"/>
              </w:rPr>
            </w:pPr>
            <w:r>
              <w:rPr>
                <w:rFonts w:ascii="Arial" w:cs="Arial" w:eastAsia="Arial" w:hAnsi="Arial"/>
                <w:sz w:val="17"/>
                <w:szCs w:val="17"/>
                <w:color w:val="auto"/>
              </w:rPr>
              <w:t>Romero family</w:t>
            </w:r>
            <w:r>
              <w:rPr>
                <w:rFonts w:ascii="Arial" w:cs="Arial" w:eastAsia="Arial" w:hAnsi="Arial"/>
                <w:sz w:val="28"/>
                <w:szCs w:val="28"/>
                <w:color w:val="auto"/>
                <w:vertAlign w:val="superscript"/>
              </w:rPr>
              <w:t>(2)</w:t>
            </w:r>
          </w:p>
        </w:tc>
        <w:tc>
          <w:tcPr>
            <w:tcW w:w="17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14,930,289</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15.82%</w:t>
            </w:r>
          </w:p>
        </w:tc>
      </w:tr>
      <w:tr>
        <w:trPr>
          <w:trHeight w:val="243"/>
        </w:trPr>
        <w:tc>
          <w:tcPr>
            <w:tcW w:w="4640" w:type="dxa"/>
            <w:vAlign w:val="bottom"/>
          </w:tcPr>
          <w:p>
            <w:pPr>
              <w:ind w:left="320"/>
              <w:spacing w:after="0"/>
              <w:rPr>
                <w:sz w:val="20"/>
                <w:szCs w:val="20"/>
                <w:color w:val="auto"/>
              </w:rPr>
            </w:pPr>
            <w:r>
              <w:rPr>
                <w:rFonts w:ascii="Arial" w:cs="Arial" w:eastAsia="Arial" w:hAnsi="Arial"/>
                <w:sz w:val="18"/>
                <w:szCs w:val="18"/>
                <w:color w:val="auto"/>
              </w:rPr>
              <w:t>Atlantic Security Holding Corporation</w:t>
            </w: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14,620,845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r>
      <w:tr>
        <w:trPr>
          <w:trHeight w:val="243"/>
        </w:trPr>
        <w:tc>
          <w:tcPr>
            <w:tcW w:w="4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AFP Integra</w:t>
            </w:r>
          </w:p>
        </w:tc>
        <w:tc>
          <w:tcPr>
            <w:tcW w:w="17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5,901,429</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6.25%</w:t>
            </w:r>
          </w:p>
        </w:tc>
      </w:tr>
      <w:tr>
        <w:trPr>
          <w:trHeight w:val="243"/>
        </w:trPr>
        <w:tc>
          <w:tcPr>
            <w:tcW w:w="4640" w:type="dxa"/>
            <w:vAlign w:val="bottom"/>
          </w:tcPr>
          <w:p>
            <w:pPr>
              <w:ind w:left="320"/>
              <w:spacing w:after="0"/>
              <w:rPr>
                <w:sz w:val="20"/>
                <w:szCs w:val="20"/>
                <w:color w:val="auto"/>
              </w:rPr>
            </w:pPr>
            <w:r>
              <w:rPr>
                <w:rFonts w:ascii="Arial" w:cs="Arial" w:eastAsia="Arial" w:hAnsi="Arial"/>
                <w:sz w:val="18"/>
                <w:szCs w:val="18"/>
                <w:color w:val="auto"/>
              </w:rPr>
              <w:t>AFP Prima</w:t>
            </w: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5,842,328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r>
    </w:tbl>
    <w:p>
      <w:pPr>
        <w:ind w:left="660"/>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1140" w:hanging="484"/>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9" w:lineRule="exact"/>
        <w:rPr>
          <w:rFonts w:ascii="Arial" w:cs="Arial" w:eastAsia="Arial" w:hAnsi="Arial"/>
          <w:sz w:val="18"/>
          <w:szCs w:val="18"/>
          <w:color w:val="auto"/>
        </w:rPr>
      </w:pPr>
    </w:p>
    <w:p>
      <w:pPr>
        <w:ind w:left="1140" w:right="20" w:hanging="484"/>
        <w:spacing w:after="0" w:line="261" w:lineRule="auto"/>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and his family or companies owned or controlled by him. Mr. Romero is the Chairman and Chief Executive Officer of Credicorp.</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22.48% of the total issued and outstanding Common Shares of Credicorp are currently held in 2,750 individual accounts with Cavali, a Peruvian securities clearing company.</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April 30, 2008, 79,761,475 Common Shares of Credicorp (excluding the 14,620,842 shares held by ASHC) were outstanding, of which approximately 48% were held in the United States. As of such date, there were 66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of the United States is not representative of the number of beneficial holders or of the residence of beneficial holders. Credicorp is not directly or indirectly controlled by another corporation or by any foreign government.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8" w:name="page129"/>
    <w:bookmarkEnd w:id="128"/>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83" w:lineRule="exact"/>
        <w:rPr>
          <w:rFonts w:ascii="Arial" w:cs="Arial" w:eastAsia="Arial" w:hAnsi="Arial"/>
          <w:sz w:val="18"/>
          <w:szCs w:val="18"/>
          <w:b w:val="1"/>
          <w:bCs w:val="1"/>
          <w:color w:val="auto"/>
        </w:rPr>
      </w:pPr>
    </w:p>
    <w:p>
      <w:pPr>
        <w:ind w:left="1140" w:hanging="484"/>
        <w:spacing w:after="0"/>
        <w:tabs>
          <w:tab w:leader="none" w:pos="1140" w:val="left"/>
        </w:tabs>
        <w:numPr>
          <w:ilvl w:val="1"/>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Credicorp</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24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The consolidated financial statements of the Credicorp as of December 31, 2005, 2006 and 2007 include the transactions with related parties. For its 2005, 2006 and 2007 consolidated financial statements, Credicorp defines related parties as related companies, the Board of Directors, Credicorp’s key executives (defined as the management of Credicorp’s Holding) and enterprises that which are controlled by these individuals or entities through majority shareholding or their role as chairman or principal executive officer in those companies.</w:t>
      </w: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the main transactions with related companies as of December 31, 2005, 2006, and 2007.</w:t>
      </w:r>
    </w:p>
    <w:p>
      <w:pPr>
        <w:spacing w:after="0" w:line="30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color w:val="auto"/>
                <w:w w:val="88"/>
              </w:rPr>
              <w:t>Related companies</w:t>
            </w:r>
          </w:p>
        </w:tc>
        <w:tc>
          <w:tcPr>
            <w:tcW w:w="1420" w:type="dxa"/>
            <w:vAlign w:val="bottom"/>
          </w:tcPr>
          <w:p>
            <w:pPr>
              <w:spacing w:after="0"/>
              <w:rPr>
                <w:sz w:val="20"/>
                <w:szCs w:val="20"/>
                <w:color w:val="auto"/>
              </w:rPr>
            </w:pPr>
          </w:p>
        </w:tc>
      </w:tr>
      <w:tr>
        <w:trPr>
          <w:trHeight w:val="243"/>
        </w:trPr>
        <w:tc>
          <w:tcPr>
            <w:tcW w:w="3080" w:type="dxa"/>
            <w:vAlign w:val="bottom"/>
          </w:tcPr>
          <w:p>
            <w:pPr>
              <w:spacing w:after="0"/>
              <w:rPr>
                <w:sz w:val="21"/>
                <w:szCs w:val="21"/>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2005</w:t>
            </w:r>
          </w:p>
        </w:tc>
        <w:tc>
          <w:tcPr>
            <w:tcW w:w="1760" w:type="dxa"/>
            <w:vAlign w:val="bottom"/>
          </w:tcPr>
          <w:p>
            <w:pPr>
              <w:jc w:val="center"/>
              <w:ind w:right="110"/>
              <w:spacing w:after="0"/>
              <w:rPr>
                <w:sz w:val="20"/>
                <w:szCs w:val="20"/>
                <w:color w:val="auto"/>
              </w:rPr>
            </w:pPr>
            <w:r>
              <w:rPr>
                <w:rFonts w:ascii="Arial" w:cs="Arial" w:eastAsia="Arial" w:hAnsi="Arial"/>
                <w:sz w:val="18"/>
                <w:szCs w:val="18"/>
                <w:color w:val="auto"/>
                <w:w w:val="89"/>
              </w:rPr>
              <w:t>2006</w:t>
            </w: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2007</w:t>
            </w:r>
          </w:p>
        </w:tc>
      </w:tr>
      <w:tr>
        <w:trPr>
          <w:trHeight w:val="243"/>
        </w:trPr>
        <w:tc>
          <w:tcPr>
            <w:tcW w:w="3080" w:type="dxa"/>
            <w:vAlign w:val="bottom"/>
          </w:tcPr>
          <w:p>
            <w:pPr>
              <w:spacing w:after="0"/>
              <w:rPr>
                <w:sz w:val="21"/>
                <w:szCs w:val="21"/>
                <w:color w:val="auto"/>
              </w:rPr>
            </w:pP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US$(000)</w:t>
            </w:r>
          </w:p>
        </w:tc>
        <w:tc>
          <w:tcPr>
            <w:tcW w:w="1760" w:type="dxa"/>
            <w:vAlign w:val="bottom"/>
          </w:tcPr>
          <w:p>
            <w:pPr>
              <w:jc w:val="center"/>
              <w:ind w:right="110"/>
              <w:spacing w:after="0"/>
              <w:rPr>
                <w:sz w:val="20"/>
                <w:szCs w:val="20"/>
                <w:color w:val="auto"/>
              </w:rPr>
            </w:pPr>
            <w:r>
              <w:rPr>
                <w:rFonts w:ascii="Arial" w:cs="Arial" w:eastAsia="Arial" w:hAnsi="Arial"/>
                <w:sz w:val="18"/>
                <w:szCs w:val="18"/>
                <w:color w:val="auto"/>
                <w:w w:val="93"/>
              </w:rPr>
              <w:t>US$(000)</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US$(000)</w:t>
            </w:r>
          </w:p>
        </w:tc>
      </w:tr>
      <w:tr>
        <w:trPr>
          <w:trHeight w:val="243"/>
        </w:trPr>
        <w:tc>
          <w:tcPr>
            <w:tcW w:w="30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7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48,533</w:t>
            </w:r>
          </w:p>
        </w:tc>
        <w:tc>
          <w:tcPr>
            <w:tcW w:w="17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70,636</w:t>
            </w:r>
          </w:p>
        </w:tc>
        <w:tc>
          <w:tcPr>
            <w:tcW w:w="1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94,102</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45,208</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62,125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90,396</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7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21,305</w:t>
            </w:r>
          </w:p>
        </w:tc>
        <w:tc>
          <w:tcPr>
            <w:tcW w:w="17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25,074</w:t>
            </w:r>
          </w:p>
        </w:tc>
        <w:tc>
          <w:tcPr>
            <w:tcW w:w="1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31,689</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Contingent credits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8,379</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13,925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14,026</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17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1,991</w:t>
            </w:r>
          </w:p>
        </w:tc>
        <w:tc>
          <w:tcPr>
            <w:tcW w:w="17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2,097</w:t>
            </w:r>
          </w:p>
        </w:tc>
        <w:tc>
          <w:tcPr>
            <w:tcW w:w="1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2,288</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1,505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2,009</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 cost</w:t>
            </w:r>
          </w:p>
        </w:tc>
        <w:tc>
          <w:tcPr>
            <w:tcW w:w="17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179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7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546</w:t>
            </w:r>
          </w:p>
        </w:tc>
        <w:tc>
          <w:tcPr>
            <w:tcW w:w="176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953</w:t>
            </w:r>
          </w:p>
        </w:tc>
        <w:tc>
          <w:tcPr>
            <w:tcW w:w="14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1,192</w:t>
            </w:r>
          </w:p>
        </w:tc>
      </w:tr>
    </w:tbl>
    <w:p>
      <w:pPr>
        <w:spacing w:after="0" w:line="256"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color w:val="auto"/>
        </w:rPr>
        <w:t>The loans, contingent operations and derivative contracts with related parties were made in the ordinary course of business and are made in accordance with the normal market terms available to other customers. Outstanding loans balances at the year-end are granted by collaterals given by the related part. The loans to related companies as of December 31, 2007 maturity dates ranging between January 2008 and September 2017 and an accrued annual interest average of 6.79% (as of December 31, 2006 had a maturity between January 2007 and August 2012 and an accrued annual interest average of 7.71%). As of December 31, 2007, the provision for doubtful debts due to related parties amounted to US$0.2 million (US$0.1 million as of December 31, 2006 and US$1.4 million as of December 31, 2005). This amount is established based on an assessment performed on a continuous basis in the financial position of the related party and the market where it operates.</w:t>
      </w:r>
    </w:p>
    <w:p>
      <w:pPr>
        <w:spacing w:after="0" w:line="232"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As of December 31, 2005, 2006 and 2007, directors, officers and employees of Credicorp had been involved, directly and indirectly, in credit transactions with certain subsidiaries of Credicorp, as permitted by Peruvian Law Nº 26702, which regulates and limits certain transactions with employees, directors and officers of banks and insurance companies in Peru. As of December 31, 2005, 2006 and 2007, direct loans to employees, directors and key management amounted to US$25.1 million, US$59.5 million and US$82.5 million, respectively, and are paid monthly during their loan and earn interest at similar market rates for these loans.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9" w:name="page130"/>
    <w:bookmarkEnd w:id="129"/>
    <w:p>
      <w:pPr>
        <w:ind w:left="820"/>
        <w:spacing w:after="0"/>
        <w:rPr>
          <w:sz w:val="20"/>
          <w:szCs w:val="20"/>
          <w:color w:val="auto"/>
        </w:rPr>
      </w:pPr>
      <w:r>
        <w:rPr>
          <w:rFonts w:ascii="Arial" w:cs="Arial" w:eastAsia="Arial" w:hAnsi="Arial"/>
          <w:sz w:val="16"/>
          <w:szCs w:val="16"/>
          <w:color w:val="auto"/>
        </w:rPr>
        <w:t>Credicorp does not grant directors or key personnel loans that are guaranteed with shares of Credicorp or other companies of Credicorp.</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Credicorp’s executives compensation as of December 31, 2005, 2006 and 2007, was comprised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43"/>
        </w:trPr>
        <w:tc>
          <w:tcPr>
            <w:tcW w:w="6160" w:type="dxa"/>
            <w:vAlign w:val="bottom"/>
          </w:tcPr>
          <w:p>
            <w:pPr>
              <w:spacing w:after="0"/>
              <w:rPr>
                <w:sz w:val="21"/>
                <w:szCs w:val="21"/>
                <w:color w:val="auto"/>
              </w:rPr>
            </w:pPr>
          </w:p>
        </w:tc>
        <w:tc>
          <w:tcPr>
            <w:tcW w:w="150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6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7,284</w:t>
            </w:r>
          </w:p>
        </w:tc>
        <w:tc>
          <w:tcPr>
            <w:tcW w:w="2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23,206</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27,113</w:t>
            </w:r>
          </w:p>
        </w:tc>
        <w:tc>
          <w:tcPr>
            <w:tcW w:w="100" w:type="dxa"/>
            <w:vAlign w:val="bottom"/>
            <w:shd w:val="clear" w:color="auto" w:fill="CCFFCC"/>
          </w:tcPr>
          <w:p>
            <w:pPr>
              <w:spacing w:after="0"/>
              <w:rPr>
                <w:sz w:val="21"/>
                <w:szCs w:val="21"/>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Salaries</w:t>
            </w:r>
          </w:p>
        </w:tc>
        <w:tc>
          <w:tcPr>
            <w:tcW w:w="1280" w:type="dxa"/>
            <w:vAlign w:val="bottom"/>
          </w:tcPr>
          <w:p>
            <w:pPr>
              <w:jc w:val="right"/>
              <w:spacing w:after="0"/>
              <w:rPr>
                <w:sz w:val="20"/>
                <w:szCs w:val="20"/>
                <w:color w:val="auto"/>
              </w:rPr>
            </w:pPr>
            <w:r>
              <w:rPr>
                <w:rFonts w:ascii="Arial" w:cs="Arial" w:eastAsia="Arial" w:hAnsi="Arial"/>
                <w:sz w:val="18"/>
                <w:szCs w:val="18"/>
                <w:color w:val="auto"/>
              </w:rPr>
              <w:t>4,357</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1"/>
                <w:szCs w:val="21"/>
                <w:color w:val="auto"/>
              </w:rPr>
            </w:pPr>
          </w:p>
        </w:tc>
      </w:tr>
      <w:tr>
        <w:trPr>
          <w:trHeight w:val="243"/>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Director compensations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1,115</w:t>
            </w:r>
          </w:p>
        </w:tc>
        <w:tc>
          <w:tcPr>
            <w:tcW w:w="220" w:type="dxa"/>
            <w:vAlign w:val="bottom"/>
            <w:shd w:val="clear" w:color="auto" w:fill="CCFFCC"/>
          </w:tcPr>
          <w:p>
            <w:pPr>
              <w:spacing w:after="0"/>
              <w:rPr>
                <w:sz w:val="21"/>
                <w:szCs w:val="21"/>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FFCC"/>
          </w:tcPr>
          <w:p>
            <w:pPr>
              <w:spacing w:after="0"/>
              <w:rPr>
                <w:sz w:val="21"/>
                <w:szCs w:val="21"/>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2,185</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6,962</w:t>
            </w:r>
          </w:p>
        </w:tc>
        <w:tc>
          <w:tcPr>
            <w:tcW w:w="200" w:type="dxa"/>
            <w:vAlign w:val="bottom"/>
          </w:tcPr>
          <w:p>
            <w:pPr>
              <w:spacing w:after="0"/>
              <w:rPr>
                <w:sz w:val="23"/>
                <w:szCs w:val="2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12,947</w:t>
            </w:r>
          </w:p>
        </w:tc>
      </w:tr>
      <w:tr>
        <w:trPr>
          <w:trHeight w:val="237"/>
        </w:trPr>
        <w:tc>
          <w:tcPr>
            <w:tcW w:w="616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color w:val="auto"/>
              </w:rPr>
              <w:t>14,941</w:t>
            </w:r>
          </w:p>
        </w:tc>
        <w:tc>
          <w:tcPr>
            <w:tcW w:w="22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36,165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46,757</w:t>
            </w:r>
          </w:p>
        </w:tc>
      </w:tr>
      <w:tr>
        <w:trPr>
          <w:trHeight w:val="20"/>
        </w:trPr>
        <w:tc>
          <w:tcPr>
            <w:tcW w:w="6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Credicorp’s key executives compensation comprises all the payments received by them, including the taxes assumed by Credicorp.</w:t>
      </w:r>
    </w:p>
    <w:p>
      <w:pPr>
        <w:spacing w:after="0" w:line="200" w:lineRule="exact"/>
        <w:rPr>
          <w:sz w:val="20"/>
          <w:szCs w:val="20"/>
          <w:color w:val="auto"/>
        </w:rPr>
      </w:pPr>
    </w:p>
    <w:p>
      <w:pPr>
        <w:spacing w:after="0" w:line="33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95" w:right="1059" w:bottom="1440" w:gutter="0" w:footer="0" w:header="0"/>
        </w:sectPr>
      </w:pPr>
    </w:p>
    <w:bookmarkStart w:id="130" w:name="page131"/>
    <w:bookmarkEnd w:id="130"/>
    <w:p>
      <w:pPr>
        <w:ind w:left="660" w:right="8260" w:hanging="652"/>
        <w:spacing w:after="0" w:line="563" w:lineRule="auto"/>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79" w:lineRule="exact"/>
        <w:rPr>
          <w:sz w:val="20"/>
          <w:szCs w:val="20"/>
          <w:color w:val="auto"/>
        </w:rPr>
      </w:pPr>
    </w:p>
    <w:p>
      <w:pPr>
        <w:ind w:left="660" w:right="6260" w:hanging="652"/>
        <w:spacing w:after="0" w:line="566" w:lineRule="auto"/>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b w:val="1"/>
          <w:bCs w:val="1"/>
          <w:i w:val="1"/>
          <w:iCs w:val="1"/>
          <w:color w:val="auto"/>
        </w:rPr>
        <w:t>Consolidated Financial Statements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“Item 18. Financial Statements”.</w:t>
      </w:r>
    </w:p>
    <w:p>
      <w:pPr>
        <w:spacing w:after="0" w:line="2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and its subsidiaries are involved in certain legal proceedings incidental to the normal conduct of their businesses. In addition, Credicorp was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and its subsidiaries are not involved in 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1" w:name="page132"/>
    <w:bookmarkEnd w:id="131"/>
    <w:p>
      <w:pPr>
        <w:jc w:val="both"/>
        <w:ind w:firstLine="648"/>
        <w:spacing w:after="0" w:line="254" w:lineRule="auto"/>
        <w:rPr>
          <w:sz w:val="20"/>
          <w:szCs w:val="20"/>
          <w:color w:val="auto"/>
        </w:rPr>
      </w:pPr>
      <w:r>
        <w:rPr>
          <w:rFonts w:ascii="Arial" w:cs="Arial" w:eastAsia="Arial" w:hAnsi="Arial"/>
          <w:sz w:val="18"/>
          <w:szCs w:val="18"/>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Data—Exchange Controls.”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and stock dividends paid by Credicorp in the periods indicated:</w:t>
      </w:r>
    </w:p>
    <w:p>
      <w:pPr>
        <w:spacing w:after="0" w:line="38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Entitled</w:t>
            </w:r>
          </w:p>
        </w:tc>
        <w:tc>
          <w:tcPr>
            <w:tcW w:w="220" w:type="dxa"/>
            <w:vAlign w:val="bottom"/>
          </w:tcPr>
          <w:p>
            <w:pPr>
              <w:spacing w:after="0"/>
              <w:rPr>
                <w:sz w:val="18"/>
                <w:szCs w:val="18"/>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Cash Dividends</w:t>
            </w:r>
          </w:p>
        </w:tc>
        <w:tc>
          <w:tcPr>
            <w:tcW w:w="2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Stock Dividends</w:t>
            </w:r>
          </w:p>
        </w:tc>
      </w:tr>
      <w:tr>
        <w:trPr>
          <w:trHeight w:val="234"/>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 Dividends</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Per Share</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0"/>
                <w:szCs w:val="20"/>
                <w:color w:val="auto"/>
              </w:rPr>
            </w:pPr>
          </w:p>
        </w:tc>
      </w:tr>
      <w:tr>
        <w:trPr>
          <w:trHeight w:val="237"/>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1999</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0"/>
                <w:szCs w:val="20"/>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2000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r>
      <w:tr>
        <w:trPr>
          <w:trHeight w:val="243"/>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2001</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1"/>
                <w:szCs w:val="2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2002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180" w:type="dxa"/>
            <w:vAlign w:val="bottom"/>
          </w:tcPr>
          <w:p>
            <w:pPr>
              <w:jc w:val="right"/>
              <w:spacing w:after="0"/>
              <w:rPr>
                <w:sz w:val="20"/>
                <w:szCs w:val="20"/>
                <w:color w:val="auto"/>
              </w:rPr>
            </w:pPr>
            <w:r>
              <w:rPr>
                <w:rFonts w:ascii="Arial" w:cs="Arial" w:eastAsia="Arial" w:hAnsi="Arial"/>
                <w:sz w:val="18"/>
                <w:szCs w:val="18"/>
                <w:color w:val="auto"/>
              </w:rPr>
              <w:t>0.40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r>
      <w:tr>
        <w:trPr>
          <w:trHeight w:val="243"/>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1"/>
                <w:szCs w:val="2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2004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180" w:type="dxa"/>
            <w:vAlign w:val="bottom"/>
          </w:tcPr>
          <w:p>
            <w:pPr>
              <w:jc w:val="right"/>
              <w:spacing w:after="0"/>
              <w:rPr>
                <w:sz w:val="20"/>
                <w:szCs w:val="20"/>
                <w:color w:val="auto"/>
              </w:rPr>
            </w:pPr>
            <w:r>
              <w:rPr>
                <w:rFonts w:ascii="Arial" w:cs="Arial" w:eastAsia="Arial" w:hAnsi="Arial"/>
                <w:sz w:val="18"/>
                <w:szCs w:val="18"/>
                <w:color w:val="auto"/>
              </w:rPr>
              <w:t>0.40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r>
      <w:tr>
        <w:trPr>
          <w:trHeight w:val="243"/>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1"/>
                <w:szCs w:val="2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2006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r>
      <w:tr>
        <w:trPr>
          <w:trHeight w:val="243"/>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1"/>
                <w:szCs w:val="21"/>
                <w:color w:val="auto"/>
              </w:rPr>
            </w:pPr>
          </w:p>
        </w:tc>
      </w:tr>
    </w:tbl>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27, 2008, the Board declared a cash dividend of US$1.50 per Common Share held at the close of business on April 16, 2008, which was distributed on May 7, 2008 and approved by the Annual General Meeting held on March 28,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2" w:name="page133"/>
    <w:bookmarkEnd w:id="132"/>
    <w:p>
      <w:pPr>
        <w:spacing w:after="0"/>
        <w:tabs>
          <w:tab w:leader="none" w:pos="15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93"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Price History of Credicorp’s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Daily</w:t>
            </w:r>
          </w:p>
        </w:tc>
      </w:tr>
      <w:tr>
        <w:trPr>
          <w:trHeight w:val="234"/>
        </w:trPr>
        <w:tc>
          <w:tcPr>
            <w:tcW w:w="4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r>
      <w:tr>
        <w:trPr>
          <w:trHeight w:val="237"/>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13.38</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9.35</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41,931</w:t>
            </w:r>
          </w:p>
        </w:tc>
        <w:tc>
          <w:tcPr>
            <w:tcW w:w="120" w:type="dxa"/>
            <w:vAlign w:val="bottom"/>
            <w:shd w:val="clear" w:color="auto" w:fill="CCFFCC"/>
          </w:tcPr>
          <w:p>
            <w:pPr>
              <w:spacing w:after="0"/>
              <w:rPr>
                <w:sz w:val="20"/>
                <w:szCs w:val="20"/>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2004</w:t>
            </w:r>
          </w:p>
        </w:tc>
        <w:tc>
          <w:tcPr>
            <w:tcW w:w="214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15.87</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12.00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28.81</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14.41</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82,338</w:t>
            </w: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2006</w:t>
            </w:r>
          </w:p>
        </w:tc>
        <w:tc>
          <w:tcPr>
            <w:tcW w:w="214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45.42</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21.88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176,388</w:t>
            </w: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76.81</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38.04</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279,602</w:t>
            </w: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7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14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28.99</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21.88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145,969</w:t>
            </w: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29.21</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24.81</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178.809</w:t>
            </w: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14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41.17</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28.13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206,243</w:t>
            </w: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45.42</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38.42</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154,515</w:t>
            </w: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2007</w:t>
            </w:r>
          </w:p>
        </w:tc>
        <w:tc>
          <w:tcPr>
            <w:tcW w:w="1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51.68</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38.80</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283,922</w:t>
            </w: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214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61.95</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47.92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277,383</w:t>
            </w: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66.39</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55.50</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303,425</w:t>
            </w: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214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76.81</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65.14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244,437</w:t>
            </w: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7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14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78.69</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68.63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356,633</w:t>
            </w:r>
          </w:p>
        </w:tc>
        <w:tc>
          <w:tcPr>
            <w:tcW w:w="120" w:type="dxa"/>
            <w:vAlign w:val="bottom"/>
          </w:tcPr>
          <w:p>
            <w:pPr>
              <w:spacing w:after="0"/>
              <w:rPr>
                <w:sz w:val="21"/>
                <w:szCs w:val="21"/>
                <w:color w:val="auto"/>
              </w:rPr>
            </w:pPr>
          </w:p>
        </w:tc>
      </w:tr>
      <w:tr>
        <w:trPr>
          <w:trHeight w:val="243"/>
        </w:trPr>
        <w:tc>
          <w:tcPr>
            <w:tcW w:w="4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June 6)</w:t>
            </w:r>
          </w:p>
        </w:tc>
        <w:tc>
          <w:tcPr>
            <w:tcW w:w="214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85.27</w:t>
            </w:r>
          </w:p>
        </w:tc>
        <w:tc>
          <w:tcPr>
            <w:tcW w:w="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73.56</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348,050</w:t>
            </w:r>
          </w:p>
        </w:tc>
        <w:tc>
          <w:tcPr>
            <w:tcW w:w="120" w:type="dxa"/>
            <w:vAlign w:val="bottom"/>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Source : Bloomberg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33" w:name="page134"/>
    <w:bookmarkEnd w:id="133"/>
    <w:p>
      <w:pPr>
        <w:ind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the Common Shares on the Lima Stock Exchange.</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Daily</w:t>
            </w:r>
          </w:p>
        </w:tc>
      </w:tr>
      <w:tr>
        <w:trPr>
          <w:trHeight w:val="234"/>
        </w:trPr>
        <w:tc>
          <w:tcPr>
            <w:tcW w:w="6160" w:type="dxa"/>
            <w:vAlign w:val="bottom"/>
          </w:tcPr>
          <w:p>
            <w:pPr>
              <w:spacing w:after="0"/>
              <w:rPr>
                <w:sz w:val="20"/>
                <w:szCs w:val="20"/>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High</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r>
      <w:tr>
        <w:trPr>
          <w:trHeight w:val="237"/>
        </w:trPr>
        <w:tc>
          <w:tcPr>
            <w:tcW w:w="6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i w:val="1"/>
                <w:iCs w:val="1"/>
                <w:color w:val="auto"/>
              </w:rPr>
              <w:t>U.S. Dollars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90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12.60</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29,701</w:t>
            </w:r>
          </w:p>
        </w:tc>
        <w:tc>
          <w:tcPr>
            <w:tcW w:w="120" w:type="dxa"/>
            <w:vAlign w:val="bottom"/>
            <w:shd w:val="clear" w:color="auto" w:fill="CCFFCC"/>
          </w:tcPr>
          <w:p>
            <w:pPr>
              <w:spacing w:after="0"/>
              <w:rPr>
                <w:sz w:val="21"/>
                <w:szCs w:val="21"/>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2004</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15.70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21,564</w:t>
            </w:r>
          </w:p>
        </w:tc>
        <w:tc>
          <w:tcPr>
            <w:tcW w:w="120" w:type="dxa"/>
            <w:vAlign w:val="bottom"/>
          </w:tcPr>
          <w:p>
            <w:pPr>
              <w:spacing w:after="0"/>
              <w:rPr>
                <w:sz w:val="21"/>
                <w:szCs w:val="21"/>
                <w:color w:val="auto"/>
              </w:rPr>
            </w:pPr>
          </w:p>
        </w:tc>
      </w:tr>
      <w:tr>
        <w:trPr>
          <w:trHeight w:val="243"/>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90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28.99</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15,744</w:t>
            </w:r>
          </w:p>
        </w:tc>
        <w:tc>
          <w:tcPr>
            <w:tcW w:w="120" w:type="dxa"/>
            <w:vAlign w:val="bottom"/>
            <w:shd w:val="clear" w:color="auto" w:fill="CCFFCC"/>
          </w:tcPr>
          <w:p>
            <w:pPr>
              <w:spacing w:after="0"/>
              <w:rPr>
                <w:sz w:val="21"/>
                <w:szCs w:val="21"/>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2006</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45.58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21"/>
                <w:szCs w:val="21"/>
                <w:color w:val="auto"/>
              </w:rPr>
            </w:pPr>
          </w:p>
        </w:tc>
      </w:tr>
      <w:tr>
        <w:trPr>
          <w:trHeight w:val="243"/>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90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76.48</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shd w:val="clear" w:color="auto" w:fill="CCFFCC"/>
          </w:tcPr>
          <w:p>
            <w:pPr>
              <w:spacing w:after="0"/>
              <w:rPr>
                <w:sz w:val="21"/>
                <w:szCs w:val="21"/>
                <w:color w:val="auto"/>
              </w:rPr>
            </w:pPr>
          </w:p>
        </w:tc>
      </w:tr>
      <w:tr>
        <w:trPr>
          <w:trHeight w:val="243"/>
        </w:trPr>
        <w:tc>
          <w:tcPr>
            <w:tcW w:w="6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9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706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28.99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21"/>
                <w:szCs w:val="21"/>
                <w:color w:val="auto"/>
              </w:rPr>
            </w:pPr>
          </w:p>
        </w:tc>
      </w:tr>
      <w:tr>
        <w:trPr>
          <w:trHeight w:val="243"/>
        </w:trPr>
        <w:tc>
          <w:tcPr>
            <w:tcW w:w="70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28.96</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19,336</w:t>
            </w:r>
          </w:p>
        </w:tc>
        <w:tc>
          <w:tcPr>
            <w:tcW w:w="120" w:type="dxa"/>
            <w:vAlign w:val="bottom"/>
            <w:shd w:val="clear" w:color="auto" w:fill="CCFFCC"/>
          </w:tcPr>
          <w:p>
            <w:pPr>
              <w:spacing w:after="0"/>
              <w:rPr>
                <w:sz w:val="21"/>
                <w:szCs w:val="21"/>
                <w:color w:val="auto"/>
              </w:rPr>
            </w:pPr>
          </w:p>
        </w:tc>
      </w:tr>
      <w:tr>
        <w:trPr>
          <w:trHeight w:val="243"/>
        </w:trPr>
        <w:tc>
          <w:tcPr>
            <w:tcW w:w="7060" w:type="dxa"/>
            <w:vAlign w:val="bottom"/>
            <w:gridSpan w:val="2"/>
          </w:tcPr>
          <w:p>
            <w:pPr>
              <w:ind w:left="160"/>
              <w:spacing w:after="0"/>
              <w:rPr>
                <w:sz w:val="20"/>
                <w:szCs w:val="20"/>
                <w:color w:val="auto"/>
              </w:rPr>
            </w:pPr>
            <w:r>
              <w:rPr>
                <w:rFonts w:ascii="Arial" w:cs="Arial" w:eastAsia="Arial" w:hAnsi="Arial"/>
                <w:sz w:val="18"/>
                <w:szCs w:val="18"/>
                <w:color w:val="auto"/>
              </w:rPr>
              <w:t>Third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40.95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21"/>
                <w:szCs w:val="21"/>
                <w:color w:val="auto"/>
              </w:rPr>
            </w:pPr>
          </w:p>
        </w:tc>
      </w:tr>
      <w:tr>
        <w:trPr>
          <w:trHeight w:val="243"/>
        </w:trPr>
        <w:tc>
          <w:tcPr>
            <w:tcW w:w="70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45.58</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38.27</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27,562</w:t>
            </w:r>
          </w:p>
        </w:tc>
        <w:tc>
          <w:tcPr>
            <w:tcW w:w="120" w:type="dxa"/>
            <w:vAlign w:val="bottom"/>
            <w:shd w:val="clear" w:color="auto" w:fill="CCFFCC"/>
          </w:tcPr>
          <w:p>
            <w:pPr>
              <w:spacing w:after="0"/>
              <w:rPr>
                <w:sz w:val="21"/>
                <w:szCs w:val="21"/>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2007</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0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51.68</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39.00</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14,553</w:t>
            </w:r>
          </w:p>
        </w:tc>
        <w:tc>
          <w:tcPr>
            <w:tcW w:w="120" w:type="dxa"/>
            <w:vAlign w:val="bottom"/>
            <w:shd w:val="clear" w:color="auto" w:fill="CCFFCC"/>
          </w:tcPr>
          <w:p>
            <w:pPr>
              <w:spacing w:after="0"/>
              <w:rPr>
                <w:sz w:val="21"/>
                <w:szCs w:val="21"/>
                <w:color w:val="auto"/>
              </w:rPr>
            </w:pPr>
          </w:p>
        </w:tc>
      </w:tr>
      <w:tr>
        <w:trPr>
          <w:trHeight w:val="243"/>
        </w:trPr>
        <w:tc>
          <w:tcPr>
            <w:tcW w:w="706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61.80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42,703</w:t>
            </w:r>
          </w:p>
        </w:tc>
        <w:tc>
          <w:tcPr>
            <w:tcW w:w="120" w:type="dxa"/>
            <w:vAlign w:val="bottom"/>
          </w:tcPr>
          <w:p>
            <w:pPr>
              <w:spacing w:after="0"/>
              <w:rPr>
                <w:sz w:val="21"/>
                <w:szCs w:val="21"/>
                <w:color w:val="auto"/>
              </w:rPr>
            </w:pPr>
          </w:p>
        </w:tc>
      </w:tr>
      <w:tr>
        <w:trPr>
          <w:trHeight w:val="243"/>
        </w:trPr>
        <w:tc>
          <w:tcPr>
            <w:tcW w:w="70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65.99</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54.91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19,282</w:t>
            </w:r>
          </w:p>
        </w:tc>
        <w:tc>
          <w:tcPr>
            <w:tcW w:w="120" w:type="dxa"/>
            <w:vAlign w:val="bottom"/>
            <w:shd w:val="clear" w:color="auto" w:fill="CCFFCC"/>
          </w:tcPr>
          <w:p>
            <w:pPr>
              <w:spacing w:after="0"/>
              <w:rPr>
                <w:sz w:val="21"/>
                <w:szCs w:val="21"/>
                <w:color w:val="auto"/>
              </w:rPr>
            </w:pPr>
          </w:p>
        </w:tc>
      </w:tr>
      <w:tr>
        <w:trPr>
          <w:trHeight w:val="243"/>
        </w:trPr>
        <w:tc>
          <w:tcPr>
            <w:tcW w:w="7060" w:type="dxa"/>
            <w:vAlign w:val="bottom"/>
            <w:gridSpan w:val="2"/>
          </w:tcPr>
          <w:p>
            <w:pPr>
              <w:ind w:left="160"/>
              <w:spacing w:after="0"/>
              <w:rPr>
                <w:sz w:val="20"/>
                <w:szCs w:val="20"/>
                <w:color w:val="auto"/>
              </w:rPr>
            </w:pPr>
            <w:r>
              <w:rPr>
                <w:rFonts w:ascii="Arial" w:cs="Arial" w:eastAsia="Arial" w:hAnsi="Arial"/>
                <w:sz w:val="18"/>
                <w:szCs w:val="18"/>
                <w:color w:val="auto"/>
              </w:rPr>
              <w:t>Fourth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76.48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18,934</w:t>
            </w:r>
          </w:p>
        </w:tc>
        <w:tc>
          <w:tcPr>
            <w:tcW w:w="120" w:type="dxa"/>
            <w:vAlign w:val="bottom"/>
          </w:tcPr>
          <w:p>
            <w:pPr>
              <w:spacing w:after="0"/>
              <w:rPr>
                <w:sz w:val="21"/>
                <w:szCs w:val="21"/>
                <w:color w:val="auto"/>
              </w:rPr>
            </w:pPr>
          </w:p>
        </w:tc>
      </w:tr>
      <w:tr>
        <w:trPr>
          <w:trHeight w:val="243"/>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9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706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78.56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11,150</w:t>
            </w:r>
          </w:p>
        </w:tc>
        <w:tc>
          <w:tcPr>
            <w:tcW w:w="120" w:type="dxa"/>
            <w:vAlign w:val="bottom"/>
          </w:tcPr>
          <w:p>
            <w:pPr>
              <w:spacing w:after="0"/>
              <w:rPr>
                <w:sz w:val="21"/>
                <w:szCs w:val="21"/>
                <w:color w:val="auto"/>
              </w:rPr>
            </w:pPr>
          </w:p>
        </w:tc>
      </w:tr>
      <w:tr>
        <w:trPr>
          <w:trHeight w:val="243"/>
        </w:trPr>
        <w:tc>
          <w:tcPr>
            <w:tcW w:w="70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Second quarter (through June 6)</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84.80</w:t>
            </w:r>
          </w:p>
        </w:tc>
        <w:tc>
          <w:tcPr>
            <w:tcW w:w="2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73.54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12,763</w:t>
            </w:r>
          </w:p>
        </w:tc>
        <w:tc>
          <w:tcPr>
            <w:tcW w:w="120" w:type="dxa"/>
            <w:vAlign w:val="bottom"/>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the Common Shares on the New York Stock Exchange.</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4"/>
              </w:rPr>
              <w:t>High</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37"/>
        </w:trPr>
        <w:tc>
          <w:tcPr>
            <w:tcW w:w="6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i w:val="1"/>
                <w:iCs w:val="1"/>
                <w:color w:val="auto"/>
                <w:w w:val="99"/>
              </w:rPr>
              <w:t>U.S. Dollars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2007</w:t>
            </w:r>
          </w:p>
        </w:tc>
        <w:tc>
          <w:tcPr>
            <w:tcW w:w="8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7100" w:type="dxa"/>
            <w:vAlign w:val="bottom"/>
            <w:gridSpan w:val="2"/>
          </w:tcPr>
          <w:p>
            <w:pPr>
              <w:ind w:left="160"/>
              <w:spacing w:after="0"/>
              <w:rPr>
                <w:sz w:val="20"/>
                <w:szCs w:val="20"/>
                <w:color w:val="auto"/>
              </w:rPr>
            </w:pPr>
            <w:r>
              <w:rPr>
                <w:rFonts w:ascii="Arial" w:cs="Arial" w:eastAsia="Arial" w:hAnsi="Arial"/>
                <w:sz w:val="18"/>
                <w:szCs w:val="18"/>
                <w:color w:val="auto"/>
              </w:rPr>
              <w:t>December</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76.81</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71.61</w:t>
            </w:r>
          </w:p>
        </w:tc>
      </w:tr>
      <w:tr>
        <w:trPr>
          <w:trHeight w:val="243"/>
        </w:trPr>
        <w:tc>
          <w:tcPr>
            <w:tcW w:w="62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1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January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78.69</w:t>
            </w: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68.63</w:t>
            </w:r>
          </w:p>
        </w:tc>
      </w:tr>
      <w:tr>
        <w:trPr>
          <w:trHeight w:val="243"/>
        </w:trPr>
        <w:tc>
          <w:tcPr>
            <w:tcW w:w="7100" w:type="dxa"/>
            <w:vAlign w:val="bottom"/>
            <w:gridSpan w:val="2"/>
          </w:tcPr>
          <w:p>
            <w:pPr>
              <w:ind w:left="160"/>
              <w:spacing w:after="0"/>
              <w:rPr>
                <w:sz w:val="20"/>
                <w:szCs w:val="20"/>
                <w:color w:val="auto"/>
              </w:rPr>
            </w:pPr>
            <w:r>
              <w:rPr>
                <w:rFonts w:ascii="Arial" w:cs="Arial" w:eastAsia="Arial" w:hAnsi="Arial"/>
                <w:sz w:val="18"/>
                <w:szCs w:val="18"/>
                <w:color w:val="auto"/>
              </w:rPr>
              <w:t>February</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74.21</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69.42</w:t>
            </w:r>
          </w:p>
        </w:tc>
      </w:tr>
      <w:tr>
        <w:trPr>
          <w:trHeight w:val="243"/>
        </w:trPr>
        <w:tc>
          <w:tcPr>
            <w:tcW w:w="71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March</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73.67</w:t>
            </w: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69.87</w:t>
            </w:r>
          </w:p>
        </w:tc>
      </w:tr>
      <w:tr>
        <w:trPr>
          <w:trHeight w:val="243"/>
        </w:trPr>
        <w:tc>
          <w:tcPr>
            <w:tcW w:w="7100" w:type="dxa"/>
            <w:vAlign w:val="bottom"/>
            <w:gridSpan w:val="2"/>
          </w:tcPr>
          <w:p>
            <w:pPr>
              <w:ind w:left="160"/>
              <w:spacing w:after="0"/>
              <w:rPr>
                <w:sz w:val="20"/>
                <w:szCs w:val="20"/>
                <w:color w:val="auto"/>
              </w:rPr>
            </w:pPr>
            <w:r>
              <w:rPr>
                <w:rFonts w:ascii="Arial" w:cs="Arial" w:eastAsia="Arial" w:hAnsi="Arial"/>
                <w:sz w:val="18"/>
                <w:szCs w:val="18"/>
                <w:color w:val="auto"/>
              </w:rPr>
              <w:t>April</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80.36</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73.56</w:t>
            </w:r>
          </w:p>
        </w:tc>
      </w:tr>
      <w:tr>
        <w:trPr>
          <w:trHeight w:val="243"/>
        </w:trPr>
        <w:tc>
          <w:tcPr>
            <w:tcW w:w="71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83.46</w:t>
            </w:r>
          </w:p>
        </w:tc>
        <w:tc>
          <w:tcPr>
            <w:tcW w:w="2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80.49</w:t>
            </w:r>
          </w:p>
        </w:tc>
      </w:tr>
      <w:tr>
        <w:trPr>
          <w:trHeight w:val="243"/>
        </w:trPr>
        <w:tc>
          <w:tcPr>
            <w:tcW w:w="7100" w:type="dxa"/>
            <w:vAlign w:val="bottom"/>
            <w:gridSpan w:val="2"/>
          </w:tcPr>
          <w:p>
            <w:pPr>
              <w:ind w:left="160"/>
              <w:spacing w:after="0"/>
              <w:rPr>
                <w:sz w:val="20"/>
                <w:szCs w:val="20"/>
                <w:color w:val="auto"/>
              </w:rPr>
            </w:pPr>
            <w:r>
              <w:rPr>
                <w:rFonts w:ascii="Arial" w:cs="Arial" w:eastAsia="Arial" w:hAnsi="Arial"/>
                <w:sz w:val="18"/>
                <w:szCs w:val="18"/>
                <w:color w:val="auto"/>
              </w:rPr>
              <w:t>June (through June 6)</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85.27</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83.11</w:t>
            </w:r>
          </w:p>
        </w:tc>
      </w:tr>
    </w:tbl>
    <w:p>
      <w:pPr>
        <w:ind w:left="660"/>
        <w:spacing w:after="0"/>
        <w:rPr>
          <w:sz w:val="20"/>
          <w:szCs w:val="20"/>
          <w:color w:val="auto"/>
        </w:rPr>
      </w:pPr>
      <w:r>
        <w:rPr>
          <w:rFonts w:ascii="Arial" w:cs="Arial" w:eastAsia="Arial" w:hAnsi="Arial"/>
          <w:sz w:val="18"/>
          <w:szCs w:val="18"/>
          <w:color w:val="auto"/>
        </w:rPr>
        <w:t>_____________________</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ind w:left="660"/>
              <w:spacing w:after="0"/>
              <w:rPr>
                <w:sz w:val="20"/>
                <w:szCs w:val="20"/>
                <w:color w:val="auto"/>
              </w:rPr>
            </w:pPr>
            <w:r>
              <w:rPr>
                <w:rFonts w:ascii="Arial" w:cs="Arial" w:eastAsia="Arial" w:hAnsi="Arial"/>
                <w:sz w:val="18"/>
                <w:szCs w:val="18"/>
                <w:color w:val="auto"/>
              </w:rPr>
              <w:t>Source:</w:t>
            </w:r>
          </w:p>
        </w:tc>
        <w:tc>
          <w:tcPr>
            <w:tcW w:w="9940" w:type="dxa"/>
            <w:vAlign w:val="bottom"/>
          </w:tcPr>
          <w:p>
            <w:pPr>
              <w:jc w:val="right"/>
              <w:ind w:right="8770"/>
              <w:spacing w:after="0"/>
              <w:rPr>
                <w:sz w:val="20"/>
                <w:szCs w:val="20"/>
                <w:color w:val="auto"/>
              </w:rPr>
            </w:pPr>
            <w:r>
              <w:rPr>
                <w:rFonts w:ascii="Arial" w:cs="Arial" w:eastAsia="Arial" w:hAnsi="Arial"/>
                <w:sz w:val="18"/>
                <w:szCs w:val="18"/>
                <w:color w:val="auto"/>
              </w:rPr>
              <w:t>Bloomberg</w:t>
            </w:r>
          </w:p>
        </w:tc>
      </w:tr>
      <w:tr>
        <w:trPr>
          <w:trHeight w:val="500"/>
        </w:trPr>
        <w:tc>
          <w:tcPr>
            <w:tcW w:w="1480" w:type="dxa"/>
            <w:vAlign w:val="bottom"/>
          </w:tcPr>
          <w:p>
            <w:pPr>
              <w:spacing w:after="0"/>
              <w:rPr>
                <w:sz w:val="24"/>
                <w:szCs w:val="24"/>
                <w:color w:val="auto"/>
              </w:rPr>
            </w:pPr>
          </w:p>
        </w:tc>
        <w:tc>
          <w:tcPr>
            <w:tcW w:w="9940" w:type="dxa"/>
            <w:vAlign w:val="bottom"/>
          </w:tcPr>
          <w:p>
            <w:pPr>
              <w:jc w:val="right"/>
              <w:ind w:right="5490"/>
              <w:spacing w:after="0"/>
              <w:rPr>
                <w:sz w:val="20"/>
                <w:szCs w:val="20"/>
                <w:color w:val="auto"/>
              </w:rPr>
            </w:pPr>
            <w:r>
              <w:rPr>
                <w:rFonts w:ascii="Arial" w:cs="Arial" w:eastAsia="Arial" w:hAnsi="Arial"/>
                <w:sz w:val="18"/>
                <w:szCs w:val="18"/>
                <w:color w:val="auto"/>
              </w:rPr>
              <w:t>131</w:t>
            </w:r>
          </w:p>
        </w:tc>
      </w:tr>
      <w:tr>
        <w:trPr>
          <w:trHeight w:val="118"/>
        </w:trPr>
        <w:tc>
          <w:tcPr>
            <w:tcW w:w="1480" w:type="dxa"/>
            <w:vAlign w:val="bottom"/>
            <w:tcBorders>
              <w:bottom w:val="single" w:sz="8" w:color="808080"/>
            </w:tcBorders>
          </w:tcPr>
          <w:p>
            <w:pPr>
              <w:spacing w:after="0"/>
              <w:rPr>
                <w:sz w:val="10"/>
                <w:szCs w:val="10"/>
                <w:color w:val="auto"/>
              </w:rPr>
            </w:pPr>
          </w:p>
        </w:tc>
        <w:tc>
          <w:tcPr>
            <w:tcW w:w="9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Lima Stock Exchange.</w:t>
      </w: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37"/>
        </w:trPr>
        <w:tc>
          <w:tcPr>
            <w:tcW w:w="10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960" w:type="dxa"/>
            <w:vAlign w:val="bottom"/>
            <w:gridSpan w:val="3"/>
          </w:tcPr>
          <w:p>
            <w:pPr>
              <w:ind w:left="940"/>
              <w:spacing w:after="0"/>
              <w:rPr>
                <w:sz w:val="20"/>
                <w:szCs w:val="20"/>
                <w:color w:val="auto"/>
              </w:rPr>
            </w:pPr>
            <w:r>
              <w:rPr>
                <w:rFonts w:ascii="Arial" w:cs="Arial" w:eastAsia="Arial" w:hAnsi="Arial"/>
                <w:sz w:val="18"/>
                <w:szCs w:val="18"/>
                <w:i w:val="1"/>
                <w:iCs w:val="1"/>
                <w:color w:val="auto"/>
              </w:rPr>
              <w:t>U.S. Dollars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2007</w:t>
            </w:r>
          </w:p>
        </w:tc>
        <w:tc>
          <w:tcPr>
            <w:tcW w:w="524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1000" w:type="dxa"/>
            <w:vAlign w:val="bottom"/>
          </w:tcPr>
          <w:p>
            <w:pPr>
              <w:ind w:left="160"/>
              <w:spacing w:after="0"/>
              <w:rPr>
                <w:sz w:val="20"/>
                <w:szCs w:val="20"/>
                <w:color w:val="auto"/>
              </w:rPr>
            </w:pPr>
            <w:r>
              <w:rPr>
                <w:rFonts w:ascii="Arial" w:cs="Arial" w:eastAsia="Arial" w:hAnsi="Arial"/>
                <w:sz w:val="18"/>
                <w:szCs w:val="18"/>
                <w:color w:val="auto"/>
                <w:w w:val="98"/>
              </w:rPr>
              <w:t>December</w:t>
            </w:r>
          </w:p>
        </w:tc>
        <w:tc>
          <w:tcPr>
            <w:tcW w:w="5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71.19</w:t>
            </w:r>
          </w:p>
        </w:tc>
      </w:tr>
      <w:tr>
        <w:trPr>
          <w:trHeight w:val="243"/>
        </w:trPr>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2008</w:t>
            </w:r>
          </w:p>
        </w:tc>
        <w:tc>
          <w:tcPr>
            <w:tcW w:w="524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1000" w:type="dxa"/>
            <w:vAlign w:val="bottom"/>
          </w:tcPr>
          <w:p>
            <w:pPr>
              <w:ind w:left="160"/>
              <w:spacing w:after="0"/>
              <w:rPr>
                <w:sz w:val="20"/>
                <w:szCs w:val="20"/>
                <w:color w:val="auto"/>
              </w:rPr>
            </w:pPr>
            <w:r>
              <w:rPr>
                <w:rFonts w:ascii="Arial" w:cs="Arial" w:eastAsia="Arial" w:hAnsi="Arial"/>
                <w:sz w:val="18"/>
                <w:szCs w:val="18"/>
                <w:color w:val="auto"/>
              </w:rPr>
              <w:t>January</w:t>
            </w:r>
          </w:p>
        </w:tc>
        <w:tc>
          <w:tcPr>
            <w:tcW w:w="5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78.56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68.64</w:t>
            </w:r>
          </w:p>
        </w:tc>
      </w:tr>
      <w:tr>
        <w:trPr>
          <w:trHeight w:val="243"/>
        </w:trPr>
        <w:tc>
          <w:tcPr>
            <w:tcW w:w="1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5240" w:type="dxa"/>
            <w:vAlign w:val="bottom"/>
            <w:shd w:val="clear" w:color="auto" w:fill="CCFFCC"/>
          </w:tcPr>
          <w:p>
            <w:pPr>
              <w:spacing w:after="0"/>
              <w:rPr>
                <w:sz w:val="21"/>
                <w:szCs w:val="21"/>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74.52</w:t>
            </w: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69.13</w:t>
            </w:r>
          </w:p>
        </w:tc>
      </w:tr>
      <w:tr>
        <w:trPr>
          <w:trHeight w:val="243"/>
        </w:trPr>
        <w:tc>
          <w:tcPr>
            <w:tcW w:w="1000" w:type="dxa"/>
            <w:vAlign w:val="bottom"/>
          </w:tcPr>
          <w:p>
            <w:pPr>
              <w:ind w:left="160"/>
              <w:spacing w:after="0"/>
              <w:rPr>
                <w:sz w:val="20"/>
                <w:szCs w:val="20"/>
                <w:color w:val="auto"/>
              </w:rPr>
            </w:pPr>
            <w:r>
              <w:rPr>
                <w:rFonts w:ascii="Arial" w:cs="Arial" w:eastAsia="Arial" w:hAnsi="Arial"/>
                <w:sz w:val="18"/>
                <w:szCs w:val="18"/>
                <w:color w:val="auto"/>
              </w:rPr>
              <w:t>March</w:t>
            </w:r>
          </w:p>
        </w:tc>
        <w:tc>
          <w:tcPr>
            <w:tcW w:w="5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73.98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70.12</w:t>
            </w:r>
          </w:p>
        </w:tc>
      </w:tr>
      <w:tr>
        <w:trPr>
          <w:trHeight w:val="243"/>
        </w:trPr>
        <w:tc>
          <w:tcPr>
            <w:tcW w:w="1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5240" w:type="dxa"/>
            <w:vAlign w:val="bottom"/>
            <w:shd w:val="clear" w:color="auto" w:fill="CCFFCC"/>
          </w:tcPr>
          <w:p>
            <w:pPr>
              <w:spacing w:after="0"/>
              <w:rPr>
                <w:sz w:val="21"/>
                <w:szCs w:val="21"/>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80.90</w:t>
            </w: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77.50</w:t>
            </w:r>
          </w:p>
        </w:tc>
      </w:tr>
      <w:tr>
        <w:trPr>
          <w:trHeight w:val="243"/>
        </w:trPr>
        <w:tc>
          <w:tcPr>
            <w:tcW w:w="1000" w:type="dxa"/>
            <w:vAlign w:val="bottom"/>
          </w:tcPr>
          <w:p>
            <w:pPr>
              <w:ind w:left="160"/>
              <w:spacing w:after="0"/>
              <w:rPr>
                <w:sz w:val="20"/>
                <w:szCs w:val="20"/>
                <w:color w:val="auto"/>
              </w:rPr>
            </w:pPr>
            <w:r>
              <w:rPr>
                <w:rFonts w:ascii="Arial" w:cs="Arial" w:eastAsia="Arial" w:hAnsi="Arial"/>
                <w:sz w:val="18"/>
                <w:szCs w:val="18"/>
                <w:color w:val="auto"/>
              </w:rPr>
              <w:t>May</w:t>
            </w:r>
          </w:p>
        </w:tc>
        <w:tc>
          <w:tcPr>
            <w:tcW w:w="5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80.25</w:t>
            </w:r>
          </w:p>
        </w:tc>
      </w:tr>
      <w:tr>
        <w:trPr>
          <w:trHeight w:val="243"/>
        </w:trPr>
        <w:tc>
          <w:tcPr>
            <w:tcW w:w="62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June (through June 6)</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84.80</w:t>
            </w: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84.00</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_____________________</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1000" w:type="dxa"/>
            <w:vAlign w:val="bottom"/>
          </w:tcPr>
          <w:p>
            <w:pPr>
              <w:spacing w:after="0"/>
              <w:rPr>
                <w:sz w:val="20"/>
                <w:szCs w:val="20"/>
                <w:color w:val="auto"/>
              </w:rPr>
            </w:pPr>
            <w:r>
              <w:rPr>
                <w:rFonts w:ascii="Arial" w:cs="Arial" w:eastAsia="Arial" w:hAnsi="Arial"/>
                <w:sz w:val="18"/>
                <w:szCs w:val="18"/>
                <w:color w:val="auto"/>
              </w:rPr>
              <w:t>Source:</w:t>
            </w:r>
          </w:p>
        </w:tc>
        <w:tc>
          <w:tcPr>
            <w:tcW w:w="5240" w:type="dxa"/>
            <w:vAlign w:val="bottom"/>
          </w:tcPr>
          <w:p>
            <w:pPr>
              <w:ind w:left="80"/>
              <w:spacing w:after="0"/>
              <w:rPr>
                <w:sz w:val="20"/>
                <w:szCs w:val="20"/>
                <w:color w:val="auto"/>
              </w:rPr>
            </w:pPr>
            <w:r>
              <w:rPr>
                <w:rFonts w:ascii="Arial" w:cs="Arial" w:eastAsia="Arial" w:hAnsi="Arial"/>
                <w:sz w:val="18"/>
                <w:szCs w:val="18"/>
                <w:color w:val="auto"/>
              </w:rPr>
              <w:t>Bloomberg</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June 27, 2008, the last sale price of the Common Shares on the New York Stock Exchange was US$80.06 per share. On June 27, 2008, the closing price of the Common Shares on the Lima Stock Exchange was US$80.50.</w:t>
      </w:r>
    </w:p>
    <w:p>
      <w:pPr>
        <w:spacing w:after="0" w:line="220" w:lineRule="exact"/>
        <w:rPr>
          <w:sz w:val="20"/>
          <w:szCs w:val="20"/>
          <w:color w:val="auto"/>
        </w:rPr>
      </w:pPr>
    </w:p>
    <w:p>
      <w:pPr>
        <w:ind w:left="660" w:right="9240" w:hanging="652"/>
        <w:spacing w:after="0" w:line="634" w:lineRule="auto"/>
        <w:tabs>
          <w:tab w:leader="none" w:pos="66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Lima Stock Exchange</w:t>
      </w:r>
    </w:p>
    <w:p>
      <w:pPr>
        <w:spacing w:after="0" w:line="275" w:lineRule="exact"/>
        <w:rPr>
          <w:rFonts w:ascii="Arial" w:cs="Arial" w:eastAsia="Arial" w:hAnsi="Arial"/>
          <w:sz w:val="18"/>
          <w:szCs w:val="18"/>
          <w:b w:val="1"/>
          <w:bCs w:val="1"/>
          <w:color w:val="auto"/>
        </w:rPr>
      </w:pPr>
    </w:p>
    <w:p>
      <w:pPr>
        <w:ind w:left="1300" w:hanging="482"/>
        <w:spacing w:after="0"/>
        <w:tabs>
          <w:tab w:leader="none" w:pos="1300"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3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of December 2007, there were 245 companies listed on the </w:t>
      </w:r>
      <w:r>
        <w:rPr>
          <w:rFonts w:ascii="Arial" w:cs="Arial" w:eastAsia="Arial" w:hAnsi="Arial"/>
          <w:sz w:val="16"/>
          <w:szCs w:val="16"/>
          <w:i w:val="1"/>
          <w:iCs w:val="1"/>
          <w:color w:val="auto"/>
        </w:rPr>
        <w:t>Bolsa de Valores de Lima</w:t>
      </w:r>
      <w:r>
        <w:rPr>
          <w:rFonts w:ascii="Arial" w:cs="Arial" w:eastAsia="Arial" w:hAnsi="Arial"/>
          <w:sz w:val="16"/>
          <w:szCs w:val="16"/>
          <w:color w:val="auto"/>
        </w:rPr>
        <w:t xml:space="preserve"> (Lima Stock Exchange), Peru’s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Peruvian stock market capitalization increased, in U.S. Dollar terms, by 27.7% in 2003, 25.0% in 2004, 80.0% in 2005, 65.8% in 2006 and 80.3% in 2007. Volume in the Peruvian market is highly concentrated, with the 10 most actively traded companies representing approximately 50.05% of total traded value of equity securities during 2007. Total traded volume was US$2.3 billion in 2003, but increased to US$2.5 billion in 2004, US$3.6 billion in 2005, US$6.3 billion in 2006 and US$12.4 billion in 2007. Average daily traded volume was US$9.0 million in 2003, US$9.9 million in 2004, US$14.5 million in 2005, US$25.1 million in 2006 and US$49.6 million in 2007.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5" w:name="page136"/>
    <w:bookmarkEnd w:id="135"/>
    <w:p>
      <w:pPr>
        <w:jc w:val="both"/>
        <w:ind w:right="20" w:firstLine="648"/>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Indice General de la Bolsa de Valores de Lima</w:t>
      </w:r>
      <w:r>
        <w:rPr>
          <w:rFonts w:ascii="Arial" w:cs="Arial" w:eastAsia="Arial" w:hAnsi="Arial"/>
          <w:sz w:val="18"/>
          <w:szCs w:val="18"/>
          <w:color w:val="auto"/>
        </w:rPr>
        <w:t xml:space="preserve"> (the General Index of the Lima Stock Exchange (IGBVL)) increased, in U.S. Dollar terms, 76.3% in 2003, 60.5% in 2004, 24.6% in 2005 and, 186.9% in 2006 and 45.6% in 2007.</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(ii)Market Regulation</w:t>
      </w:r>
    </w:p>
    <w:p>
      <w:pPr>
        <w:spacing w:after="0" w:line="2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Peru’s old securities law. The Securities Market Law addresses such matters as transparency and disclosure, takeovers and corporate actions, capital market instruments and operations, the securities markets and broker-dealers, and risk rating agencies.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CONASEV, a public entity reporting to Peru’s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including supervision of all companies incorporated in Peru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Peru by entities organized outside of Peru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S/.25 million (US$8.79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208" w:lineRule="exact"/>
        <w:rPr>
          <w:sz w:val="20"/>
          <w:szCs w:val="20"/>
          <w:color w:val="auto"/>
        </w:rPr>
      </w:pPr>
    </w:p>
    <w:p>
      <w:pPr>
        <w:ind w:left="660" w:right="9180" w:hanging="652"/>
        <w:spacing w:after="0" w:line="676" w:lineRule="auto"/>
        <w:tabs>
          <w:tab w:leader="none" w:pos="66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b w:val="1"/>
          <w:bCs w:val="1"/>
          <w:color w:val="auto"/>
        </w:rPr>
      </w:pPr>
    </w:p>
    <w:p>
      <w:pPr>
        <w:ind w:left="660" w:right="9160" w:hanging="652"/>
        <w:spacing w:after="0" w:line="699" w:lineRule="auto"/>
        <w:tabs>
          <w:tab w:leader="none" w:pos="66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6" w:name="page137"/>
    <w:bookmarkEnd w:id="136"/>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79" w:lineRule="exact"/>
        <w:rPr>
          <w:sz w:val="20"/>
          <w:szCs w:val="20"/>
          <w:color w:val="auto"/>
        </w:rPr>
      </w:pPr>
    </w:p>
    <w:p>
      <w:pPr>
        <w:jc w:val="both"/>
        <w:ind w:left="660" w:right="9660" w:hanging="652"/>
        <w:spacing w:after="0" w:line="634" w:lineRule="auto"/>
        <w:tabs>
          <w:tab w:leader="none" w:pos="66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Credicorp’s Annual Report on Form 20-F dated June 27, 2003 is incorporated herein by reference.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General Shareholders’ Meeting held on March 31, 2005, an amendment to the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43"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there are no material contracts entered into by Credicorp and/or its subsidiaries.</w:t>
      </w:r>
    </w:p>
    <w:p>
      <w:pPr>
        <w:spacing w:after="0" w:line="275" w:lineRule="exact"/>
        <w:rPr>
          <w:rFonts w:ascii="Arial" w:cs="Arial" w:eastAsia="Arial" w:hAnsi="Arial"/>
          <w:sz w:val="18"/>
          <w:szCs w:val="18"/>
          <w:b w:val="1"/>
          <w:bCs w:val="1"/>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8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20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7" w:name="page138"/>
    <w:bookmarkEnd w:id="137"/>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2007, approximately 68% of BCP’s loan portfolio, 100% of ASHC’s loan portfolio and 84.0%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Among the economic circumstances that could lead to a devaluation would be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 denominated obligations or that Peru will not devalue its currency should its foreign reserves decline. See “Item 4. Information on the Company—(B) Business Overview—(9) Peruvian Government and Economy.”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March 1991, there have been no exchange controls in Peru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Peru has consequently adopted and operated under various exchange rate control practices and exchange rate determination policies, ranging from strict control over exchange rates to market 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239"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2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an exempted company, Credicorp is liable to pay in Bermuda an annual government fee based upon its authorized share capital and the premium on its issued Common Shares, which amounted to the approximate equivalent of US$16,695 in 2007, remaining unchanged from the amount paid in 2005.</w:t>
      </w:r>
    </w:p>
    <w:p>
      <w:pPr>
        <w:spacing w:after="0" w:line="174" w:lineRule="exact"/>
        <w:rPr>
          <w:sz w:val="20"/>
          <w:szCs w:val="20"/>
          <w:color w:val="auto"/>
        </w:rPr>
      </w:pPr>
    </w:p>
    <w:p>
      <w:pPr>
        <w:ind w:left="660" w:right="8500" w:hanging="652"/>
        <w:spacing w:after="0" w:line="563" w:lineRule="auto"/>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9100" w:hanging="652"/>
        <w:spacing w:after="0" w:line="634" w:lineRule="auto"/>
        <w:tabs>
          <w:tab w:leader="none" w:pos="66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the Registered Office of the Company.</w:t>
      </w:r>
    </w:p>
    <w:p>
      <w:pPr>
        <w:spacing w:after="0" w:line="275" w:lineRule="exact"/>
        <w:rPr>
          <w:rFonts w:ascii="Arial" w:cs="Arial" w:eastAsia="Arial" w:hAnsi="Arial"/>
          <w:sz w:val="18"/>
          <w:szCs w:val="18"/>
          <w:b w:val="1"/>
          <w:bCs w:val="1"/>
          <w:color w:val="auto"/>
        </w:rPr>
      </w:pPr>
    </w:p>
    <w:p>
      <w:pPr>
        <w:ind w:left="660" w:right="8940" w:hanging="652"/>
        <w:spacing w:after="0" w:line="469" w:lineRule="auto"/>
        <w:tabs>
          <w:tab w:leader="none" w:pos="66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8" w:name="page139"/>
    <w:bookmarkEnd w:id="138"/>
    <w:p>
      <w:pPr>
        <w:spacing w:after="0"/>
        <w:tabs>
          <w:tab w:leader="none" w:pos="16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their nature, Credicorp’s activities principally involve the use of financial instruments, including derivatives. Credicorp accepts deposits from customers at both fixed and floating rates, for various periods, and seeks to earn above-average interest margins by investing these funds in high-quality assets. Credicorp seeks to increase these margins by consolidating short-term funds and lending for longer periods at higher rates, while maintaining sufficient liquidity to meet all claims that might fall due.</w:t>
      </w:r>
    </w:p>
    <w:p>
      <w:pPr>
        <w:spacing w:after="0" w:line="24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Credicorp also seeks to raise its interest margins through lending to commercial and retail borrowers with a range of credit standing. Such exposures involve not just on-balance sheet loans and advances; but also guarantees and other commitments, such as letters of credit and performance.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Credicorp trades in financial instruments where it takes positions in traded and over-the-counter instruments, including derivatives, to take advantage of short-term market movements in equities, bonds, currency and interest rates.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this sense, risk is inherent in Credicorp’s activities but is managed through a process of ongoing identification, measurement and monitoring, subject to risk limits and other controls. This risk management process is critical to Credicorp’s continuing profitability and each individual within the group is accountable for the risk exposures relating to his or her responsibilities.</w:t>
      </w:r>
    </w:p>
    <w:p>
      <w:pPr>
        <w:spacing w:after="0" w:line="276" w:lineRule="exact"/>
        <w:rPr>
          <w:sz w:val="20"/>
          <w:szCs w:val="20"/>
          <w:color w:val="auto"/>
        </w:rPr>
      </w:pPr>
    </w:p>
    <w:p>
      <w:pPr>
        <w:ind w:left="1400" w:hanging="744"/>
        <w:spacing w:after="0"/>
        <w:tabs>
          <w:tab w:leader="none" w:pos="1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Board of Directors of Credicorp and of each subsidiary is ultimately responsible for identifying and controlling risks. However, there are separate independent bodies in the major subsidiaries (BCP, PPS and ASH) responsible for managing and monitoring risks, as further explained below:</w:t>
      </w:r>
    </w:p>
    <w:p>
      <w:pPr>
        <w:spacing w:after="0" w:line="241" w:lineRule="exact"/>
        <w:rPr>
          <w:sz w:val="20"/>
          <w:szCs w:val="20"/>
          <w:color w:val="auto"/>
        </w:rPr>
      </w:pPr>
    </w:p>
    <w:p>
      <w:pPr>
        <w:ind w:left="1360" w:hanging="704"/>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241" w:lineRule="exact"/>
        <w:rPr>
          <w:sz w:val="20"/>
          <w:szCs w:val="20"/>
          <w:color w:val="auto"/>
        </w:rPr>
      </w:pPr>
    </w:p>
    <w:p>
      <w:pPr>
        <w:ind w:left="1420" w:hanging="764"/>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Risk Management Committee of each major subsidiary is responsible for the strategy of mitigating risks as well as setting forth the overall principles, policies and limits for the different type of risks faced by Credicorp. The Committee is responsible for monitoring fundamental risk issues and manages and monitors relevant risk decisions.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139" w:name="page140"/>
    <w:bookmarkEnd w:id="139"/>
    <w:p>
      <w:pPr>
        <w:ind w:left="1460" w:hanging="804"/>
        <w:spacing w:after="0"/>
        <w:tabs>
          <w:tab w:leader="none" w:pos="1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Risk Management Department of each major subsidiary is responsible for developing, implementing and improving, on a continuous basis, Credicorp’s risk management infrastructure, by adopting and incorporating global best practices and following proven policies.</w:t>
      </w:r>
    </w:p>
    <w:p>
      <w:pPr>
        <w:spacing w:after="0" w:line="241" w:lineRule="exact"/>
        <w:rPr>
          <w:sz w:val="20"/>
          <w:szCs w:val="20"/>
          <w:color w:val="auto"/>
        </w:rPr>
      </w:pPr>
    </w:p>
    <w:p>
      <w:pPr>
        <w:ind w:left="1460" w:hanging="804"/>
        <w:spacing w:after="0"/>
        <w:tabs>
          <w:tab w:leader="none" w:pos="1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Risk management processes throughout Credicorp are monitored by the internal audit function, which examines both the adequacy of the procedures and the compliance therewith. Internal Audit discusses the results of all assessments with Management, and reports its findings and recommendations to Credicorp’s Audit Committee and to the Board of Directors.</w:t>
      </w:r>
    </w:p>
    <w:p>
      <w:pPr>
        <w:spacing w:after="0" w:line="276" w:lineRule="exact"/>
        <w:rPr>
          <w:sz w:val="20"/>
          <w:szCs w:val="20"/>
          <w:color w:val="auto"/>
        </w:rPr>
      </w:pPr>
    </w:p>
    <w:p>
      <w:pPr>
        <w:ind w:left="1400" w:hanging="744"/>
        <w:spacing w:after="0"/>
        <w:tabs>
          <w:tab w:leader="none" w:pos="14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Treasury Department is responsible for managing Credicorp’s assets and liabilities as well as its overall financial structure. It is also responsible for the management of funding and liquidity risks as well as the investment, forward and spot portfolios, considering the associated liquidity, interest rate and exchange rate risks, and subject to the policies and effective limits as established by Credicorp.</w:t>
      </w:r>
    </w:p>
    <w:p>
      <w:pPr>
        <w:spacing w:after="0" w:line="276" w:lineRule="exact"/>
        <w:rPr>
          <w:sz w:val="20"/>
          <w:szCs w:val="20"/>
          <w:color w:val="auto"/>
        </w:rPr>
      </w:pPr>
    </w:p>
    <w:p>
      <w:pPr>
        <w:ind w:left="1400" w:hanging="744"/>
        <w:spacing w:after="0"/>
        <w:tabs>
          <w:tab w:leader="none" w:pos="14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risks are measured using a method which reflects the expected loss likely to arise under normal circumstances as well as unexpected losses, as an estimate of the ultimate actual loss based on statistical models. The models make use of probabilities derived from historical experience, adjusted to reflect the economic environment. Credicorp also runs worse case scenarios that would arise in the event that extreme events, which are unlikely to occur, do, in fact, occur.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Monitoring and controlling risks are primarily performed based on limits established by Credicorp. These limits reflect the business strategy and market environment of Credicorp as well as the level of risk that Credicorp is willing to assume. In addition, Credicorp monitors and measures the overall risk bearing capacity in relation to the aggregate risk exposure across all risk types and activities.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compiled from all of Credicorp’s subsidiaries is examined and processed in order to analyze, control and identify early risks. This information is reported and explained to the Board of Directors, the Risk Management Committee, and all relevant members of Credicorp. The report includes aggregate credit exposure, credit metric forecasts, hold limit exceptions, value at risk (VaR), liquidity ratios and risk profile changes. Senior management assesses the appropriateness of the allowance for credit losses on a quarterly basis.</w:t>
      </w:r>
    </w:p>
    <w:p>
      <w:pPr>
        <w:spacing w:after="0" w:line="281" w:lineRule="exact"/>
        <w:rPr>
          <w:sz w:val="20"/>
          <w:szCs w:val="20"/>
          <w:color w:val="auto"/>
        </w:rPr>
      </w:pPr>
    </w:p>
    <w:p>
      <w:pPr>
        <w:ind w:left="1400" w:hanging="744"/>
        <w:spacing w:after="0"/>
        <w:tabs>
          <w:tab w:leader="none" w:pos="1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its overall risk management, Credicorp uses derivatives and other instruments to manage exposures resulting from change in interest rates, foreign currencies, equity risk and credit risk.</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Credicorp. The effectiveness of hedges is assessed by the Risk Management Department (based on economic considerations, rather than IFRS hedge accounting regulations). The effectiveness of all hedge relationships is monitored by the unit monthly. In situations of ineffectiveness, Credicorp will enter into a new hedge relationship to mitigate risk on a continuous basis.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Credicorp actively uses collateral to reduce its credit risks.</w:t>
      </w:r>
    </w:p>
    <w:p>
      <w:pPr>
        <w:spacing w:after="0" w:line="320" w:lineRule="exact"/>
        <w:rPr>
          <w:sz w:val="20"/>
          <w:szCs w:val="20"/>
          <w:color w:val="auto"/>
        </w:rPr>
      </w:pPr>
    </w:p>
    <w:p>
      <w:pPr>
        <w:ind w:left="1400" w:hanging="744"/>
        <w:spacing w:after="0"/>
        <w:tabs>
          <w:tab w:leader="none" w:pos="14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activities in the same geographic region, or have similar economic, political or other conditions. Concentrations indicate the relative sensitivity of Credicorp’s performance to developments affecting a particular industry or geographical location.</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Credicorp’s policies and procedures include specific guidelines to focus on maintaining a diversified portfolio. Identified concentrations of credit risks are controlled and managed accordingly.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 Management of Operational Risk”).</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price volatility, such as interest rates, credit spreads, foreign exchange rates and equity prices. Due to the nature of the group’s current activities, commodity price risk is not applicable.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separates exposure to market risk into two groups: (i) those that arise from value fluctuation of trading portfolios due to movements of market rates or prices (Trading Book); and (ii) those that arise from changes in the structural positions of non-trading portfolios due to movements of interest rates, prices and foreign exchange ratios (ALM Book).</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Trading portfolios include liquid positions arising from market-making transactions where the group acts as principal. Non-trading portfolios consist of relatively illiquid positions, mainly banking assets and liabilities (deposits and loans) and non-trading investments (available-for-sale). Trading activities are primarily conducted by BCP, the group’s major subsidiary.</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Book</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book is made up of liquid investment instruments. The trading book is characterized by liquid positions in equities, bonds, foreign currencies, and derivatives. Certain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1" w:name="page142"/>
    <w:bookmarkEnd w:id="141"/>
    <w:p>
      <w:pPr>
        <w:jc w:val="both"/>
        <w:ind w:right="20" w:firstLine="648"/>
        <w:spacing w:after="0" w:line="264" w:lineRule="auto"/>
        <w:rPr>
          <w:sz w:val="20"/>
          <w:szCs w:val="20"/>
          <w:color w:val="auto"/>
        </w:rPr>
      </w:pPr>
      <w:r>
        <w:rPr>
          <w:rFonts w:ascii="Arial" w:cs="Arial" w:eastAsia="Arial" w:hAnsi="Arial"/>
          <w:sz w:val="18"/>
          <w:szCs w:val="18"/>
          <w:color w:val="auto"/>
        </w:rPr>
        <w:t>Credicorp applies VaR to its trading portfolios to estimate its position’s market risk and the maximum potential losses, based upon a number of assumptions of changes in market conditions. The Risk Management Committee sets limits on the level of risk that may be assumed and reviews it on a daily basis.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VaR is a statistically-based estimate of the potential loss from adverse market movements on the current portfolio. It expresses the “maximum” amount that the group might lose, but only to a certain level of confidence (99%). There is therefore a specified statistical probability (1%) that actual loss could be greater than the VaR estimate. The VaR model assumes a certain “holding period” until positions can be closed (1 day-10 days). The time horizon used to calculate VaR is one day. However, the 1-day VaR is amplified to a 10-day time frame and calculated by multiplying the 1-day VaR by the square root of 10. Results are presented in the tables below. The assessment of past movements has been based on historical 1-year data. Credicorp applies these historical changes in rates directly to its current positions (a method known as historical simulation).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2007, Credicorp’s VaR by type of asset is as follows:</w:t>
      </w:r>
    </w:p>
    <w:p>
      <w:pPr>
        <w:spacing w:after="0" w:line="30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US$(000)</w:t>
            </w:r>
          </w:p>
        </w:tc>
      </w:tr>
      <w:tr>
        <w:trPr>
          <w:trHeight w:val="243"/>
        </w:trPr>
        <w:tc>
          <w:tcPr>
            <w:tcW w:w="33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43"/>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5,211</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Fixed Income</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567</w:t>
            </w:r>
          </w:p>
        </w:tc>
      </w:tr>
      <w:tr>
        <w:trPr>
          <w:trHeight w:val="243"/>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Derivatives</w:t>
            </w:r>
          </w:p>
        </w:tc>
        <w:tc>
          <w:tcPr>
            <w:tcW w:w="19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626</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Consolidated VaR by type of asset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5,261</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2007, Credicorp’s VaR by risk type is as follows:</w:t>
      </w:r>
    </w:p>
    <w:p>
      <w:pPr>
        <w:spacing w:after="0" w:line="306"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US$(000)</w:t>
            </w:r>
          </w:p>
        </w:tc>
      </w:tr>
      <w:tr>
        <w:trPr>
          <w:trHeight w:val="243"/>
        </w:trPr>
        <w:tc>
          <w:tcPr>
            <w:tcW w:w="28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43"/>
        </w:trPr>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8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133</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Interest rate risk</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514</w:t>
            </w:r>
          </w:p>
        </w:tc>
      </w:tr>
      <w:tr>
        <w:trPr>
          <w:trHeight w:val="243"/>
        </w:trPr>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8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4,879</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5,261</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ALM Book</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the risks associated with long-term and structural positions is called Asset and Liability Management (ALM). Non-trading portfolios which comprise the ALM Book are exposed to different sensitivities that can bring about a deterioration in the value of the assets compared to its liabilities and hence to a reduction of its net worth.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2" w:name="page143"/>
    <w:bookmarkEnd w:id="142"/>
    <w:p>
      <w:pPr>
        <w:ind w:left="1360" w:hanging="704"/>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Interest risk</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Interest rate risk arises from the possibility that changes in interest rates will affect future cash flows or the fair value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Credicorp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the Treasury Department.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Re-pricing gap</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Gap analysis comprises aggregating re-pricing timeframes into buckets and checking whether each bucket nets to zero. Different bucketing schemes might be used. An interest rate gap is simply a positive or negative net re-pricing timeframe for one of the buckets.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Credicorp’s exposure to interest rate risks. It includes Credicorp’s financial instruments at carrying amounts, categorized by the earlier of contractual re-pricing or maturity dates: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As of December 31, 2007</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6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2"/>
              </w:rPr>
              <w:t>Up to 1</w:t>
            </w:r>
          </w:p>
        </w:tc>
        <w:tc>
          <w:tcPr>
            <w:tcW w:w="104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w w:val="92"/>
              </w:rPr>
              <w:t>1 to 3</w:t>
            </w:r>
          </w:p>
        </w:tc>
        <w:tc>
          <w:tcPr>
            <w:tcW w:w="104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0"/>
              </w:rPr>
              <w:t>3 to 12</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8"/>
              <w:spacing w:after="0" w:line="160" w:lineRule="exact"/>
              <w:rPr>
                <w:sz w:val="20"/>
                <w:szCs w:val="20"/>
                <w:color w:val="auto"/>
              </w:rPr>
            </w:pPr>
            <w:r>
              <w:rPr>
                <w:rFonts w:ascii="Arial" w:cs="Arial" w:eastAsia="Arial" w:hAnsi="Arial"/>
                <w:sz w:val="14"/>
                <w:szCs w:val="14"/>
                <w:b w:val="1"/>
                <w:bCs w:val="1"/>
                <w:color w:val="auto"/>
                <w:w w:val="95"/>
              </w:rPr>
              <w:t>More than</w:t>
            </w:r>
          </w:p>
        </w:tc>
        <w:tc>
          <w:tcPr>
            <w:tcW w:w="1340" w:type="dxa"/>
            <w:vAlign w:val="bottom"/>
            <w:gridSpan w:val="2"/>
          </w:tcPr>
          <w:p>
            <w:pPr>
              <w:jc w:val="center"/>
              <w:ind w:right="59"/>
              <w:spacing w:after="0" w:line="160" w:lineRule="exact"/>
              <w:rPr>
                <w:sz w:val="20"/>
                <w:szCs w:val="20"/>
                <w:color w:val="auto"/>
              </w:rPr>
            </w:pPr>
            <w:r>
              <w:rPr>
                <w:rFonts w:ascii="Arial" w:cs="Arial" w:eastAsia="Arial" w:hAnsi="Arial"/>
                <w:sz w:val="14"/>
                <w:szCs w:val="14"/>
                <w:b w:val="1"/>
                <w:bCs w:val="1"/>
                <w:color w:val="auto"/>
                <w:w w:val="92"/>
              </w:rPr>
              <w:t>Non-interest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month</w:t>
            </w:r>
          </w:p>
        </w:tc>
        <w:tc>
          <w:tcPr>
            <w:tcW w:w="10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0"/>
              </w:rPr>
              <w:t>months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months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 to 5 years</w:t>
            </w:r>
          </w:p>
        </w:tc>
        <w:tc>
          <w:tcPr>
            <w:tcW w:w="10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1"/>
              </w:rPr>
              <w:t>5 years</w:t>
            </w:r>
          </w:p>
        </w:tc>
        <w:tc>
          <w:tcPr>
            <w:tcW w:w="134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4"/>
              </w:rPr>
              <w:t>bearing</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US$(000)</w:t>
            </w:r>
          </w:p>
        </w:tc>
        <w:tc>
          <w:tcPr>
            <w:tcW w:w="1040" w:type="dxa"/>
            <w:vAlign w:val="bottom"/>
            <w:gridSpan w:val="2"/>
          </w:tcPr>
          <w:p>
            <w:pPr>
              <w:jc w:val="center"/>
              <w:ind w:right="48"/>
              <w:spacing w:after="0"/>
              <w:rPr>
                <w:sz w:val="20"/>
                <w:szCs w:val="20"/>
                <w:color w:val="auto"/>
              </w:rPr>
            </w:pPr>
            <w:r>
              <w:rPr>
                <w:rFonts w:ascii="Arial" w:cs="Arial" w:eastAsia="Arial" w:hAnsi="Arial"/>
                <w:sz w:val="14"/>
                <w:szCs w:val="14"/>
                <w:color w:val="auto"/>
                <w:w w:val="93"/>
              </w:rPr>
              <w:t>US$(000)</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1020" w:type="dxa"/>
            <w:vAlign w:val="bottom"/>
            <w:gridSpan w:val="2"/>
          </w:tcPr>
          <w:p>
            <w:pPr>
              <w:jc w:val="center"/>
              <w:ind w:right="28"/>
              <w:spacing w:after="0"/>
              <w:rPr>
                <w:sz w:val="20"/>
                <w:szCs w:val="20"/>
                <w:color w:val="auto"/>
              </w:rPr>
            </w:pPr>
            <w:r>
              <w:rPr>
                <w:rFonts w:ascii="Arial" w:cs="Arial" w:eastAsia="Arial" w:hAnsi="Arial"/>
                <w:sz w:val="14"/>
                <w:szCs w:val="14"/>
                <w:color w:val="auto"/>
                <w:w w:val="93"/>
              </w:rPr>
              <w:t>US$(000)</w:t>
            </w:r>
          </w:p>
        </w:tc>
        <w:tc>
          <w:tcPr>
            <w:tcW w:w="1340" w:type="dxa"/>
            <w:vAlign w:val="bottom"/>
            <w:gridSpan w:val="2"/>
          </w:tcPr>
          <w:p>
            <w:pPr>
              <w:jc w:val="center"/>
              <w:ind w:right="59"/>
              <w:spacing w:after="0"/>
              <w:rPr>
                <w:sz w:val="20"/>
                <w:szCs w:val="20"/>
                <w:color w:val="auto"/>
              </w:rPr>
            </w:pPr>
            <w:r>
              <w:rPr>
                <w:rFonts w:ascii="Arial" w:cs="Arial" w:eastAsia="Arial" w:hAnsi="Arial"/>
                <w:sz w:val="14"/>
                <w:szCs w:val="14"/>
                <w:color w:val="auto"/>
                <w:w w:val="93"/>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Assets</w:t>
            </w:r>
          </w:p>
        </w:tc>
        <w:tc>
          <w:tcPr>
            <w:tcW w:w="9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920" w:type="dxa"/>
            <w:vAlign w:val="bottom"/>
          </w:tcPr>
          <w:p>
            <w:pPr>
              <w:jc w:val="right"/>
              <w:spacing w:after="0"/>
              <w:rPr>
                <w:sz w:val="20"/>
                <w:szCs w:val="20"/>
                <w:color w:val="auto"/>
              </w:rPr>
            </w:pPr>
            <w:r>
              <w:rPr>
                <w:rFonts w:ascii="Arial" w:cs="Arial" w:eastAsia="Arial" w:hAnsi="Arial"/>
                <w:sz w:val="14"/>
                <w:szCs w:val="14"/>
                <w:color w:val="auto"/>
              </w:rPr>
              <w:t>2,331,637</w:t>
            </w:r>
          </w:p>
        </w:tc>
        <w:tc>
          <w:tcPr>
            <w:tcW w:w="140" w:type="dxa"/>
            <w:vAlign w:val="bottom"/>
          </w:tcPr>
          <w:p>
            <w:pPr>
              <w:spacing w:after="0"/>
              <w:rPr>
                <w:sz w:val="15"/>
                <w:szCs w:val="15"/>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31,074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48,172</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42,045</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19</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620,918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3,073,865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Investments</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567,613</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680,272</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1,974,368</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837,269</w:t>
            </w: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842,317</w:t>
            </w:r>
          </w:p>
        </w:tc>
        <w:tc>
          <w:tcPr>
            <w:tcW w:w="134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377,797</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5,279,636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Loans</w:t>
            </w:r>
          </w:p>
        </w:tc>
        <w:tc>
          <w:tcPr>
            <w:tcW w:w="920" w:type="dxa"/>
            <w:vAlign w:val="bottom"/>
          </w:tcPr>
          <w:p>
            <w:pPr>
              <w:jc w:val="right"/>
              <w:spacing w:after="0"/>
              <w:rPr>
                <w:sz w:val="20"/>
                <w:szCs w:val="20"/>
                <w:color w:val="auto"/>
              </w:rPr>
            </w:pPr>
            <w:r>
              <w:rPr>
                <w:rFonts w:ascii="Arial" w:cs="Arial" w:eastAsia="Arial" w:hAnsi="Arial"/>
                <w:sz w:val="14"/>
                <w:szCs w:val="14"/>
                <w:color w:val="auto"/>
              </w:rPr>
              <w:t>2,078,657</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2,294,056</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1,499,311</w:t>
            </w:r>
          </w:p>
        </w:tc>
        <w:tc>
          <w:tcPr>
            <w:tcW w:w="900" w:type="dxa"/>
            <w:vAlign w:val="bottom"/>
          </w:tcPr>
          <w:p>
            <w:pPr>
              <w:jc w:val="right"/>
              <w:spacing w:after="0"/>
              <w:rPr>
                <w:sz w:val="20"/>
                <w:szCs w:val="20"/>
                <w:color w:val="auto"/>
              </w:rPr>
            </w:pPr>
            <w:r>
              <w:rPr>
                <w:rFonts w:ascii="Arial" w:cs="Arial" w:eastAsia="Arial" w:hAnsi="Arial"/>
                <w:sz w:val="14"/>
                <w:szCs w:val="14"/>
                <w:color w:val="auto"/>
              </w:rPr>
              <w:t>2,051,629</w:t>
            </w:r>
          </w:p>
        </w:tc>
        <w:tc>
          <w:tcPr>
            <w:tcW w:w="100" w:type="dxa"/>
            <w:vAlign w:val="bottom"/>
          </w:tcPr>
          <w:p>
            <w:pPr>
              <w:spacing w:after="0"/>
              <w:rPr>
                <w:sz w:val="15"/>
                <w:szCs w:val="15"/>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115,847</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8,039,500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Assets designated at fair value through profit and loss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50,561</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162,592</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213,153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Premiums and other policies receivables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85,495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85,495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Accounts receivable from re-insurers and co-insurers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116,141</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116,141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Other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898,108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898,108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Total assets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4,977,907</w:t>
            </w:r>
          </w:p>
        </w:tc>
        <w:tc>
          <w:tcPr>
            <w:tcW w:w="14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3,005,402</w:t>
            </w:r>
          </w:p>
        </w:tc>
        <w:tc>
          <w:tcPr>
            <w:tcW w:w="12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3,572,412</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2,930,943</w:t>
            </w:r>
          </w:p>
        </w:tc>
        <w:tc>
          <w:tcPr>
            <w:tcW w:w="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958,183</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2,261,051</w:t>
            </w:r>
          </w:p>
        </w:tc>
        <w:tc>
          <w:tcPr>
            <w:tcW w:w="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17,705,898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Liabilities</w:t>
            </w:r>
          </w:p>
        </w:tc>
        <w:tc>
          <w:tcPr>
            <w:tcW w:w="9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920" w:type="dxa"/>
            <w:vAlign w:val="bottom"/>
          </w:tcPr>
          <w:p>
            <w:pPr>
              <w:jc w:val="right"/>
              <w:spacing w:after="0"/>
              <w:rPr>
                <w:sz w:val="20"/>
                <w:szCs w:val="20"/>
                <w:color w:val="auto"/>
              </w:rPr>
            </w:pPr>
            <w:r>
              <w:rPr>
                <w:rFonts w:ascii="Arial" w:cs="Arial" w:eastAsia="Arial" w:hAnsi="Arial"/>
                <w:sz w:val="14"/>
                <w:szCs w:val="14"/>
                <w:color w:val="auto"/>
              </w:rPr>
              <w:t>3,358,599</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3,089,841</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1,709,965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263,913</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2,088</w:t>
            </w:r>
          </w:p>
        </w:tc>
        <w:tc>
          <w:tcPr>
            <w:tcW w:w="1240" w:type="dxa"/>
            <w:vAlign w:val="bottom"/>
          </w:tcPr>
          <w:p>
            <w:pPr>
              <w:jc w:val="right"/>
              <w:spacing w:after="0"/>
              <w:rPr>
                <w:sz w:val="20"/>
                <w:szCs w:val="20"/>
                <w:color w:val="auto"/>
              </w:rPr>
            </w:pPr>
            <w:r>
              <w:rPr>
                <w:rFonts w:ascii="Arial" w:cs="Arial" w:eastAsia="Arial" w:hAnsi="Arial"/>
                <w:sz w:val="14"/>
                <w:szCs w:val="14"/>
                <w:color w:val="auto"/>
              </w:rPr>
              <w:t>2,926,308</w:t>
            </w: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11,350,714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Financial liabilities designated at fair value through profit and</w:t>
            </w:r>
          </w:p>
        </w:tc>
        <w:tc>
          <w:tcPr>
            <w:tcW w:w="9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loss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50,561</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Due to banks and correspondents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484,560</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437,345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303,506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198,357</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21,296</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8,197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1,453,261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Accounts payable to re-insurers and co-insurers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21,914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w w:val="97"/>
              </w:rPr>
              <w:t>Technical, insurance claims reserves and reserves for unearned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00" w:type="dxa"/>
            <w:vAlign w:val="bottom"/>
            <w:gridSpan w:val="2"/>
          </w:tcPr>
          <w:p>
            <w:pPr>
              <w:spacing w:after="0"/>
              <w:rPr>
                <w:sz w:val="20"/>
                <w:szCs w:val="20"/>
                <w:color w:val="auto"/>
              </w:rPr>
            </w:pPr>
            <w:r>
              <w:rPr>
                <w:rFonts w:ascii="Arial" w:cs="Arial" w:eastAsia="Arial" w:hAnsi="Arial"/>
                <w:sz w:val="14"/>
                <w:szCs w:val="14"/>
                <w:color w:val="auto"/>
              </w:rPr>
              <w:t>premiums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1,626</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4,878</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14,634</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95,017</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305,039</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394,333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815,527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Borrowed funds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870,404</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870,404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Bonds and subordinated notes issued</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101,521</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34,520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54,546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176,924</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328,147</w:t>
            </w:r>
          </w:p>
        </w:tc>
        <w:tc>
          <w:tcPr>
            <w:tcW w:w="1340" w:type="dxa"/>
            <w:vAlign w:val="bottom"/>
            <w:gridSpan w:val="2"/>
          </w:tcPr>
          <w:p>
            <w:pPr>
              <w:jc w:val="right"/>
              <w:ind w:right="59"/>
              <w:spacing w:after="0"/>
              <w:rPr>
                <w:sz w:val="20"/>
                <w:szCs w:val="20"/>
                <w:color w:val="auto"/>
              </w:rPr>
            </w:pPr>
            <w:r>
              <w:rPr>
                <w:rFonts w:ascii="Arial" w:cs="Arial" w:eastAsia="Arial" w:hAnsi="Arial"/>
                <w:sz w:val="14"/>
                <w:szCs w:val="14"/>
                <w:color w:val="auto"/>
              </w:rPr>
              <w:t>6,640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702,298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Other liabilities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8,275</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617,671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625,946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Equity</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1,815,273</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1,815,273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Total liabilities and equity</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3,946,306</w:t>
            </w:r>
          </w:p>
        </w:tc>
        <w:tc>
          <w:tcPr>
            <w:tcW w:w="14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4,436,988</w:t>
            </w:r>
          </w:p>
        </w:tc>
        <w:tc>
          <w:tcPr>
            <w:tcW w:w="120" w:type="dxa"/>
            <w:vAlign w:val="bottom"/>
            <w:tcBorders>
              <w:bottom w:val="single" w:sz="8" w:color="CCFFCC"/>
            </w:tcBorders>
            <w:shd w:val="clear" w:color="auto" w:fill="CCFFCC"/>
          </w:tcPr>
          <w:p>
            <w:pPr>
              <w:spacing w:after="0"/>
              <w:rPr>
                <w:sz w:val="17"/>
                <w:szCs w:val="17"/>
                <w:color w:val="auto"/>
              </w:rPr>
            </w:pP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2,141,487</w:t>
            </w: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734,211</w:t>
            </w: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656,570</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5,790,336</w:t>
            </w:r>
          </w:p>
        </w:tc>
        <w:tc>
          <w:tcPr>
            <w:tcW w:w="10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17,705,898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Off-Balance sheet items</w:t>
            </w:r>
          </w:p>
        </w:tc>
        <w:tc>
          <w:tcPr>
            <w:tcW w:w="9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Derivatives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1,746,686</w:t>
            </w:r>
          </w:p>
        </w:tc>
        <w:tc>
          <w:tcPr>
            <w:tcW w:w="140" w:type="dxa"/>
            <w:vAlign w:val="bottom"/>
          </w:tcPr>
          <w:p>
            <w:pPr>
              <w:spacing w:after="0"/>
              <w:rPr>
                <w:sz w:val="15"/>
                <w:szCs w:val="15"/>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724,850</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719,635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349,552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116,269</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3,656,992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Derivatives liabilities</w:t>
            </w:r>
          </w:p>
        </w:tc>
        <w:tc>
          <w:tcPr>
            <w:tcW w:w="106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967,415</w:t>
            </w:r>
          </w:p>
        </w:tc>
        <w:tc>
          <w:tcPr>
            <w:tcW w:w="1040" w:type="dxa"/>
            <w:vAlign w:val="bottom"/>
            <w:tcBorders>
              <w:bottom w:val="single" w:sz="8" w:color="CCFFCC"/>
            </w:tcBorders>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617,771</w:t>
            </w: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801,599</w:t>
            </w:r>
          </w:p>
        </w:tc>
        <w:tc>
          <w:tcPr>
            <w:tcW w:w="10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806,626</w:t>
            </w:r>
          </w:p>
        </w:tc>
        <w:tc>
          <w:tcPr>
            <w:tcW w:w="1020" w:type="dxa"/>
            <w:vAlign w:val="bottom"/>
            <w:tcBorders>
              <w:bottom w:val="single" w:sz="8" w:color="CCFFCC"/>
            </w:tcBorders>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463,581</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5"/>
                <w:szCs w:val="15"/>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3,656,992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779,271</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107,079</w:t>
            </w:r>
          </w:p>
        </w:tc>
        <w:tc>
          <w:tcPr>
            <w:tcW w:w="1040" w:type="dxa"/>
            <w:vAlign w:val="bottom"/>
            <w:gridSpan w:val="2"/>
          </w:tcPr>
          <w:p>
            <w:pPr>
              <w:jc w:val="right"/>
              <w:ind w:right="60"/>
              <w:spacing w:after="0" w:line="197" w:lineRule="exact"/>
              <w:rPr>
                <w:sz w:val="20"/>
                <w:szCs w:val="20"/>
                <w:color w:val="auto"/>
              </w:rPr>
            </w:pPr>
            <w:r>
              <w:rPr>
                <w:rFonts w:ascii="Arial" w:cs="Arial" w:eastAsia="Arial" w:hAnsi="Arial"/>
                <w:sz w:val="12"/>
                <w:szCs w:val="12"/>
                <w:color w:val="auto"/>
              </w:rPr>
              <w:t>(81,964</w:t>
            </w:r>
            <w:r>
              <w:rPr>
                <w:rFonts w:ascii="Arial" w:cs="Arial" w:eastAsia="Arial" w:hAnsi="Arial"/>
                <w:sz w:val="22"/>
                <w:szCs w:val="22"/>
                <w:color w:val="auto"/>
                <w:vertAlign w:val="superscript"/>
              </w:rPr>
              <w:t>)</w:t>
            </w:r>
          </w:p>
        </w:tc>
        <w:tc>
          <w:tcPr>
            <w:tcW w:w="1000" w:type="dxa"/>
            <w:vAlign w:val="bottom"/>
            <w:gridSpan w:val="2"/>
          </w:tcPr>
          <w:p>
            <w:pPr>
              <w:jc w:val="right"/>
              <w:ind w:right="60"/>
              <w:spacing w:after="0" w:line="197" w:lineRule="exact"/>
              <w:rPr>
                <w:sz w:val="20"/>
                <w:szCs w:val="20"/>
                <w:color w:val="auto"/>
              </w:rPr>
            </w:pPr>
            <w:r>
              <w:rPr>
                <w:rFonts w:ascii="Arial" w:cs="Arial" w:eastAsia="Arial" w:hAnsi="Arial"/>
                <w:sz w:val="12"/>
                <w:szCs w:val="12"/>
                <w:color w:val="auto"/>
              </w:rPr>
              <w:t>(457,074</w:t>
            </w:r>
            <w:r>
              <w:rPr>
                <w:rFonts w:ascii="Arial" w:cs="Arial" w:eastAsia="Arial" w:hAnsi="Arial"/>
                <w:sz w:val="22"/>
                <w:szCs w:val="22"/>
                <w:color w:val="auto"/>
                <w:vertAlign w:val="superscript"/>
              </w:rPr>
              <w:t>)</w:t>
            </w:r>
          </w:p>
        </w:tc>
        <w:tc>
          <w:tcPr>
            <w:tcW w:w="1020" w:type="dxa"/>
            <w:vAlign w:val="bottom"/>
            <w:gridSpan w:val="2"/>
          </w:tcPr>
          <w:p>
            <w:pPr>
              <w:jc w:val="right"/>
              <w:spacing w:after="0" w:line="197" w:lineRule="exact"/>
              <w:rPr>
                <w:sz w:val="20"/>
                <w:szCs w:val="20"/>
                <w:color w:val="auto"/>
              </w:rPr>
            </w:pPr>
            <w:r>
              <w:rPr>
                <w:rFonts w:ascii="Arial" w:cs="Arial" w:eastAsia="Arial" w:hAnsi="Arial"/>
                <w:sz w:val="12"/>
                <w:szCs w:val="12"/>
                <w:color w:val="auto"/>
              </w:rPr>
              <w:t>(347,312</w:t>
            </w:r>
            <w:r>
              <w:rPr>
                <w:rFonts w:ascii="Arial" w:cs="Arial" w:eastAsia="Arial" w:hAnsi="Arial"/>
                <w:sz w:val="22"/>
                <w:szCs w:val="22"/>
                <w:color w:val="auto"/>
                <w:vertAlign w:val="superscript"/>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Marginal gap</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1,810,872</w:t>
            </w:r>
          </w:p>
        </w:tc>
        <w:tc>
          <w:tcPr>
            <w:tcW w:w="14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(1,324,507</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1,348,961</w:t>
            </w: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1,739,658</w:t>
            </w:r>
          </w:p>
        </w:tc>
        <w:tc>
          <w:tcPr>
            <w:tcW w:w="10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(45,699</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(3,529,285</w:t>
            </w:r>
          </w:p>
        </w:tc>
        <w:tc>
          <w:tcPr>
            <w:tcW w:w="1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color w:val="auto"/>
              </w:rPr>
              <w:t>Accumulated gap</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1,810,872</w:t>
            </w:r>
          </w:p>
        </w:tc>
        <w:tc>
          <w:tcPr>
            <w:tcW w:w="14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486,365</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1,835,326</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3,574,984</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3,529,285</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i w:val="1"/>
          <w:iCs w:val="1"/>
          <w:color w:val="auto"/>
        </w:rPr>
        <w:t>Sensitivity to changes in interest rates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sensitivity to reasonable possible change in interest rates, with all other variables held constant, of the group’s consolidated income statement and consolidated statements of change in equity, before income tax.</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sensitivity of the consolidated income statement is the effect of the assumed changes in interest rates on the net interest income for one year before income tax, based on the floating rate non-trading financial assets and financial liabilities held as of December 31, 2007, including the effect of derivatives instruments. The sensitivity of equity is calculated by revaluing fixed rate available-for-sale financial assets, including the effect of any associated hedges, and swaps designated as cash flow hedges, as of December 31, 2007 for the effects of the assumed changes in interest rates: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8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86"/>
              </w:rPr>
              <w:t>Changes in basis</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Sensitivity of net</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1500" w:type="dxa"/>
            <w:vAlign w:val="bottom"/>
          </w:tcPr>
          <w:p>
            <w:pPr>
              <w:spacing w:after="0"/>
              <w:rPr>
                <w:sz w:val="19"/>
                <w:szCs w:val="19"/>
                <w:color w:val="auto"/>
              </w:rPr>
            </w:pPr>
          </w:p>
        </w:tc>
        <w:tc>
          <w:tcPr>
            <w:tcW w:w="108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points</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Sensitivity of Equity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3"/>
              </w:rPr>
              <w:t>US$(000)</w:t>
            </w:r>
          </w:p>
        </w:tc>
        <w:tc>
          <w:tcPr>
            <w:tcW w:w="1900" w:type="dxa"/>
            <w:vAlign w:val="bottom"/>
            <w:gridSpan w:val="2"/>
          </w:tcPr>
          <w:p>
            <w:pPr>
              <w:jc w:val="right"/>
              <w:ind w:right="47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9"/>
              </w:rPr>
              <w:t>50</w:t>
            </w: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7,652</w:t>
            </w: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20,205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U.S. Dollar</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9"/>
              </w:rPr>
              <w:t>75</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ind w:left="140"/>
              <w:spacing w:after="0"/>
              <w:rPr>
                <w:sz w:val="20"/>
                <w:szCs w:val="20"/>
                <w:color w:val="auto"/>
              </w:rPr>
            </w:pPr>
            <w:r>
              <w:rPr>
                <w:rFonts w:ascii="Arial" w:cs="Arial" w:eastAsia="Arial" w:hAnsi="Arial"/>
                <w:sz w:val="18"/>
                <w:szCs w:val="18"/>
                <w:color w:val="auto"/>
              </w:rPr>
              <w:t>11,479</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30,307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6"/>
              </w:rPr>
              <w:t>100</w:t>
            </w: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15,305</w:t>
            </w: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40,408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U.S. Dollar</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6"/>
              </w:rPr>
              <w:t>150</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ind w:left="140"/>
              <w:spacing w:after="0"/>
              <w:rPr>
                <w:sz w:val="20"/>
                <w:szCs w:val="20"/>
                <w:color w:val="auto"/>
              </w:rPr>
            </w:pPr>
            <w:r>
              <w:rPr>
                <w:rFonts w:ascii="Arial" w:cs="Arial" w:eastAsia="Arial" w:hAnsi="Arial"/>
                <w:sz w:val="18"/>
                <w:szCs w:val="18"/>
                <w:color w:val="auto"/>
              </w:rPr>
              <w:t>22,957</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60,613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9"/>
              </w:rPr>
              <w:t>50</w:t>
            </w: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2,966</w:t>
            </w: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20,705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Peruvian Currency</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9"/>
              </w:rPr>
              <w:t>75</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ind w:left="140"/>
              <w:spacing w:after="0"/>
              <w:rPr>
                <w:sz w:val="20"/>
                <w:szCs w:val="20"/>
                <w:color w:val="auto"/>
              </w:rPr>
            </w:pPr>
            <w:r>
              <w:rPr>
                <w:rFonts w:ascii="Arial" w:cs="Arial" w:eastAsia="Arial" w:hAnsi="Arial"/>
                <w:sz w:val="18"/>
                <w:szCs w:val="18"/>
                <w:color w:val="auto"/>
              </w:rPr>
              <w:t>4,448</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31,056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6"/>
              </w:rPr>
              <w:t>100</w:t>
            </w:r>
          </w:p>
        </w:tc>
        <w:tc>
          <w:tcPr>
            <w:tcW w:w="7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5,932</w:t>
            </w:r>
          </w:p>
        </w:tc>
        <w:tc>
          <w:tcPr>
            <w:tcW w:w="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41,409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Peruvian Currency</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86"/>
              </w:rPr>
              <w:t>150</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ind w:left="140"/>
              <w:spacing w:after="0"/>
              <w:rPr>
                <w:sz w:val="20"/>
                <w:szCs w:val="20"/>
                <w:color w:val="auto"/>
              </w:rPr>
            </w:pPr>
            <w:r>
              <w:rPr>
                <w:rFonts w:ascii="Arial" w:cs="Arial" w:eastAsia="Arial" w:hAnsi="Arial"/>
                <w:sz w:val="18"/>
                <w:szCs w:val="18"/>
                <w:color w:val="auto"/>
              </w:rPr>
              <w:t>8,897</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62,114</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interest rate sensitivities set out in the table above are illustrative only and are based on simplified scenarios. The figures represent the effect of the pro-forma movements in the net interest income based on the projected yield curve scenarios and Credicorp’s current interest rate risk profile. This effect, however, does not incorporate actions that would be taken by management to mitigate the impact of this interest rate risk. In addition, Credicorp seeks proactively to change the interest rate risk profile in order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as well, including that all positions run to maturity.</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Available-for-sale equity securities and mutual funds are not considered as part of the investment securities for sensitivity calculation purposes. However, a 10% and 15% change in market prices is made to these price-sensitive securities and the expected unrealized gain or loss (equity), respectively, before income tax, as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40" w:type="dxa"/>
            <w:vAlign w:val="bottom"/>
            <w:gridSpan w:val="2"/>
          </w:tcPr>
          <w:p>
            <w:pPr>
              <w:jc w:val="center"/>
              <w:ind w:left="551"/>
              <w:spacing w:after="0"/>
              <w:rPr>
                <w:sz w:val="20"/>
                <w:szCs w:val="20"/>
                <w:color w:val="auto"/>
              </w:rPr>
            </w:pPr>
            <w:r>
              <w:rPr>
                <w:rFonts w:ascii="Arial" w:cs="Arial" w:eastAsia="Arial" w:hAnsi="Arial"/>
                <w:sz w:val="18"/>
                <w:szCs w:val="18"/>
                <w:b w:val="1"/>
                <w:bCs w:val="1"/>
                <w:color w:val="auto"/>
                <w:w w:val="88"/>
              </w:rPr>
              <w:t>Changes in</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ind w:left="1720"/>
              <w:spacing w:after="0"/>
              <w:rPr>
                <w:sz w:val="20"/>
                <w:szCs w:val="20"/>
                <w:color w:val="auto"/>
              </w:rPr>
            </w:pPr>
            <w:r>
              <w:rPr>
                <w:rFonts w:ascii="Arial" w:cs="Arial" w:eastAsia="Arial" w:hAnsi="Arial"/>
                <w:sz w:val="18"/>
                <w:szCs w:val="18"/>
                <w:b w:val="1"/>
                <w:bCs w:val="1"/>
                <w:color w:val="auto"/>
              </w:rPr>
              <w:t>Market price sensitivity</w:t>
            </w:r>
          </w:p>
        </w:tc>
        <w:tc>
          <w:tcPr>
            <w:tcW w:w="2740" w:type="dxa"/>
            <w:vAlign w:val="bottom"/>
            <w:gridSpan w:val="2"/>
          </w:tcPr>
          <w:p>
            <w:pPr>
              <w:jc w:val="center"/>
              <w:ind w:left="551"/>
              <w:spacing w:after="0"/>
              <w:rPr>
                <w:sz w:val="20"/>
                <w:szCs w:val="20"/>
                <w:color w:val="auto"/>
              </w:rPr>
            </w:pPr>
            <w:r>
              <w:rPr>
                <w:rFonts w:ascii="Arial" w:cs="Arial" w:eastAsia="Arial" w:hAnsi="Arial"/>
                <w:sz w:val="18"/>
                <w:szCs w:val="18"/>
                <w:b w:val="1"/>
                <w:bCs w:val="1"/>
                <w:color w:val="auto"/>
                <w:w w:val="90"/>
              </w:rPr>
              <w:t>market prices</w:t>
            </w:r>
          </w:p>
        </w:tc>
        <w:tc>
          <w:tcPr>
            <w:tcW w:w="820" w:type="dxa"/>
            <w:vAlign w:val="bottom"/>
          </w:tcPr>
          <w:p>
            <w:pPr>
              <w:spacing w:after="0"/>
              <w:rPr>
                <w:sz w:val="19"/>
                <w:szCs w:val="19"/>
                <w:color w:val="auto"/>
              </w:rPr>
            </w:pPr>
          </w:p>
        </w:tc>
        <w:tc>
          <w:tcPr>
            <w:tcW w:w="15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2007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60" w:type="dxa"/>
            <w:vAlign w:val="bottom"/>
          </w:tcPr>
          <w:p>
            <w:pPr>
              <w:jc w:val="center"/>
              <w:ind w:right="750"/>
              <w:spacing w:after="0"/>
              <w:rPr>
                <w:sz w:val="20"/>
                <w:szCs w:val="20"/>
                <w:color w:val="auto"/>
              </w:rPr>
            </w:pPr>
            <w:r>
              <w:rPr>
                <w:rFonts w:ascii="Arial" w:cs="Arial" w:eastAsia="Arial" w:hAnsi="Arial"/>
                <w:sz w:val="18"/>
                <w:szCs w:val="18"/>
                <w:color w:val="auto"/>
                <w:w w:val="87"/>
              </w:rPr>
              <w:t>%</w:t>
            </w:r>
          </w:p>
        </w:tc>
        <w:tc>
          <w:tcPr>
            <w:tcW w:w="820" w:type="dxa"/>
            <w:vAlign w:val="bottom"/>
          </w:tcPr>
          <w:p>
            <w:pPr>
              <w:spacing w:after="0"/>
              <w:rPr>
                <w:sz w:val="20"/>
                <w:szCs w:val="20"/>
                <w:color w:val="auto"/>
              </w:rPr>
            </w:pPr>
          </w:p>
        </w:tc>
        <w:tc>
          <w:tcPr>
            <w:tcW w:w="1560" w:type="dxa"/>
            <w:vAlign w:val="bottom"/>
          </w:tcPr>
          <w:p>
            <w:pPr>
              <w:jc w:val="center"/>
              <w:ind w:right="650"/>
              <w:spacing w:after="0"/>
              <w:rPr>
                <w:sz w:val="20"/>
                <w:szCs w:val="20"/>
                <w:color w:val="auto"/>
              </w:rPr>
            </w:pPr>
            <w:r>
              <w:rPr>
                <w:rFonts w:ascii="Arial" w:cs="Arial" w:eastAsia="Arial" w:hAnsi="Arial"/>
                <w:sz w:val="18"/>
                <w:szCs w:val="18"/>
                <w:color w:val="auto"/>
                <w:w w:val="90"/>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20" w:type="dxa"/>
            <w:vAlign w:val="bottom"/>
            <w:vMerge w:val="restart"/>
          </w:tcPr>
          <w:p>
            <w:pPr>
              <w:spacing w:after="0"/>
              <w:rPr>
                <w:sz w:val="23"/>
                <w:szCs w:val="23"/>
                <w:color w:val="auto"/>
              </w:rPr>
            </w:pPr>
          </w:p>
        </w:tc>
        <w:tc>
          <w:tcPr>
            <w:tcW w:w="28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48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32,088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Equity securities</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48,132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2"/>
                <w:szCs w:val="22"/>
                <w:color w:val="auto"/>
              </w:rPr>
            </w:pPr>
          </w:p>
        </w:tc>
        <w:tc>
          <w:tcPr>
            <w:tcW w:w="286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480" w:type="dxa"/>
            <w:vAlign w:val="bottom"/>
            <w:shd w:val="clear" w:color="auto" w:fill="CCFFCC"/>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20,008</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Mutual funds</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70"/>
              <w:spacing w:after="0"/>
              <w:rPr>
                <w:sz w:val="20"/>
                <w:szCs w:val="20"/>
                <w:color w:val="auto"/>
              </w:rPr>
            </w:pPr>
            <w:r>
              <w:rPr>
                <w:rFonts w:ascii="Arial" w:cs="Arial" w:eastAsia="Arial" w:hAnsi="Arial"/>
                <w:sz w:val="18"/>
                <w:szCs w:val="18"/>
                <w:color w:val="auto"/>
              </w:rPr>
              <w:t>30,013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Arial" w:cs="Arial" w:eastAsia="Arial" w:hAnsi="Arial"/>
                <w:sz w:val="16"/>
                <w:szCs w:val="16"/>
                <w:color w:val="auto"/>
              </w:rPr>
              <w:t>141</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72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4" w:name="page145"/>
    <w:bookmarkEnd w:id="144"/>
    <w:p>
      <w:pPr>
        <w:ind w:left="1420" w:hanging="764"/>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Foreign exchange risk</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exposed to foreign currency exchange rates on its financial position and cash flows. The Management sets limits on the level of exposure by currency and in total for both overnight and intra-day positions, which are monitored daily. Most assets and liabilities are denominated in U.S. Dollars.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Credicorp’s assets and liabilities by currencies were as follows:</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Peruvian</w:t>
            </w: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U.S. Dollars</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currency</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currencies</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43"/>
        </w:trPr>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r>
      <w:tr>
        <w:trPr>
          <w:trHeight w:val="243"/>
        </w:trPr>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2,644,858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311,828</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117,179</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3,073,865</w:t>
            </w:r>
          </w:p>
        </w:tc>
        <w:tc>
          <w:tcPr>
            <w:tcW w:w="120" w:type="dxa"/>
            <w:vAlign w:val="bottom"/>
          </w:tcPr>
          <w:p>
            <w:pPr>
              <w:spacing w:after="0"/>
              <w:rPr>
                <w:sz w:val="21"/>
                <w:szCs w:val="21"/>
                <w:color w:val="auto"/>
              </w:rPr>
            </w:pP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38,647</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11,463</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CFFCC"/>
          </w:tcPr>
          <w:p>
            <w:pPr>
              <w:spacing w:after="0"/>
              <w:rPr>
                <w:sz w:val="21"/>
                <w:szCs w:val="21"/>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50,995</w:t>
            </w:r>
          </w:p>
        </w:tc>
        <w:tc>
          <w:tcPr>
            <w:tcW w:w="120" w:type="dxa"/>
            <w:vAlign w:val="bottom"/>
            <w:shd w:val="clear" w:color="auto" w:fill="CCFFCC"/>
          </w:tcPr>
          <w:p>
            <w:pPr>
              <w:spacing w:after="0"/>
              <w:rPr>
                <w:sz w:val="21"/>
                <w:szCs w:val="2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1,934,672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3,129,351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164,618</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5,228,641</w:t>
            </w:r>
          </w:p>
        </w:tc>
        <w:tc>
          <w:tcPr>
            <w:tcW w:w="120" w:type="dxa"/>
            <w:vAlign w:val="bottom"/>
          </w:tcPr>
          <w:p>
            <w:pPr>
              <w:spacing w:after="0"/>
              <w:rPr>
                <w:sz w:val="21"/>
                <w:szCs w:val="21"/>
                <w:color w:val="auto"/>
              </w:rPr>
            </w:pP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5,555,864</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2,450,297</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33,339</w:t>
            </w:r>
          </w:p>
        </w:tc>
        <w:tc>
          <w:tcPr>
            <w:tcW w:w="220" w:type="dxa"/>
            <w:vAlign w:val="bottom"/>
            <w:shd w:val="clear" w:color="auto" w:fill="CCFFCC"/>
          </w:tcPr>
          <w:p>
            <w:pPr>
              <w:spacing w:after="0"/>
              <w:rPr>
                <w:sz w:val="21"/>
                <w:szCs w:val="21"/>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8,039,500</w:t>
            </w:r>
          </w:p>
        </w:tc>
        <w:tc>
          <w:tcPr>
            <w:tcW w:w="120" w:type="dxa"/>
            <w:vAlign w:val="bottom"/>
            <w:shd w:val="clear" w:color="auto" w:fill="CCFFCC"/>
          </w:tcPr>
          <w:p>
            <w:pPr>
              <w:spacing w:after="0"/>
              <w:rPr>
                <w:sz w:val="21"/>
                <w:szCs w:val="2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w w:val="92"/>
              </w:rPr>
              <w:t>Financial assets designated to fair value through profit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loss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213,153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213,153</w:t>
            </w:r>
          </w:p>
        </w:tc>
        <w:tc>
          <w:tcPr>
            <w:tcW w:w="120" w:type="dxa"/>
            <w:vAlign w:val="bottom"/>
          </w:tcPr>
          <w:p>
            <w:pPr>
              <w:spacing w:after="0"/>
              <w:rPr>
                <w:sz w:val="20"/>
                <w:szCs w:val="20"/>
                <w:color w:val="auto"/>
              </w:rPr>
            </w:pPr>
          </w:p>
        </w:tc>
      </w:tr>
      <w:tr>
        <w:trPr>
          <w:trHeight w:val="275"/>
        </w:trPr>
        <w:tc>
          <w:tcPr>
            <w:tcW w:w="4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261,102</w:t>
            </w:r>
          </w:p>
        </w:tc>
        <w:tc>
          <w:tcPr>
            <w:tcW w:w="2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299,695</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9,745</w:t>
            </w:r>
          </w:p>
        </w:tc>
        <w:tc>
          <w:tcPr>
            <w:tcW w:w="220" w:type="dxa"/>
            <w:vAlign w:val="bottom"/>
            <w:tcBorders>
              <w:bottom w:val="single" w:sz="8" w:color="CCFFCC"/>
            </w:tcBorders>
            <w:shd w:val="clear" w:color="auto" w:fill="CCFFCC"/>
          </w:tcPr>
          <w:p>
            <w:pPr>
              <w:spacing w:after="0"/>
              <w:rPr>
                <w:sz w:val="23"/>
                <w:szCs w:val="23"/>
                <w:color w:val="auto"/>
              </w:rPr>
            </w:pP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570,542</w:t>
            </w:r>
          </w:p>
        </w:tc>
        <w:tc>
          <w:tcPr>
            <w:tcW w:w="120" w:type="dxa"/>
            <w:vAlign w:val="bottom"/>
            <w:tcBorders>
              <w:bottom w:val="single" w:sz="8" w:color="CCFFCC"/>
            </w:tcBorders>
            <w:shd w:val="clear" w:color="auto" w:fill="CCFFCC"/>
          </w:tcPr>
          <w:p>
            <w:pPr>
              <w:spacing w:after="0"/>
              <w:rPr>
                <w:sz w:val="23"/>
                <w:szCs w:val="23"/>
                <w:color w:val="auto"/>
              </w:rPr>
            </w:pPr>
          </w:p>
        </w:tc>
      </w:tr>
      <w:tr>
        <w:trPr>
          <w:trHeight w:val="264"/>
        </w:trPr>
        <w:tc>
          <w:tcPr>
            <w:tcW w:w="4320" w:type="dxa"/>
            <w:vAlign w:val="bottom"/>
            <w:tcBorders>
              <w:top w:val="single" w:sz="8" w:color="CCFFCC"/>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10,648,296</w:t>
            </w:r>
          </w:p>
        </w:tc>
        <w:tc>
          <w:tcPr>
            <w:tcW w:w="220" w:type="dxa"/>
            <w:vAlign w:val="bottom"/>
            <w:tcBorders>
              <w:top w:val="single" w:sz="8" w:color="CCFFCC"/>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6,202,634</w:t>
            </w:r>
          </w:p>
        </w:tc>
        <w:tc>
          <w:tcPr>
            <w:tcW w:w="24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325,766</w:t>
            </w:r>
          </w:p>
        </w:tc>
        <w:tc>
          <w:tcPr>
            <w:tcW w:w="220" w:type="dxa"/>
            <w:vAlign w:val="bottom"/>
            <w:tcBorders>
              <w:top w:val="single" w:sz="8" w:color="CCFFCC"/>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17,176,696</w:t>
            </w:r>
          </w:p>
        </w:tc>
        <w:tc>
          <w:tcPr>
            <w:tcW w:w="120" w:type="dxa"/>
            <w:vAlign w:val="bottom"/>
            <w:tcBorders>
              <w:top w:val="single" w:sz="8" w:color="CCFFCC"/>
            </w:tcBorders>
          </w:tcPr>
          <w:p>
            <w:pPr>
              <w:spacing w:after="0"/>
              <w:rPr>
                <w:sz w:val="22"/>
                <w:szCs w:val="22"/>
                <w:color w:val="auto"/>
              </w:rPr>
            </w:pPr>
          </w:p>
        </w:tc>
      </w:tr>
      <w:tr>
        <w:trPr>
          <w:trHeight w:val="237"/>
        </w:trPr>
        <w:tc>
          <w:tcPr>
            <w:tcW w:w="43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b w:val="1"/>
                <w:bCs w:val="1"/>
                <w:color w:val="auto"/>
              </w:rPr>
              <w:t>Monetary liabilities -</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8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(7,173,362)</w:t>
            </w:r>
          </w:p>
        </w:tc>
        <w:tc>
          <w:tcPr>
            <w:tcW w:w="1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(3,892,138)</w:t>
            </w:r>
          </w:p>
        </w:tc>
        <w:tc>
          <w:tcPr>
            <w:tcW w:w="1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(285,214)</w:t>
            </w: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(11,350,714)</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Due to bank and correspondents and borrowed funds</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(2,071,882)</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(248,362)</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(3,421)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(2,323,665)</w:t>
            </w:r>
          </w:p>
        </w:tc>
      </w:tr>
      <w:tr>
        <w:trPr>
          <w:trHeight w:val="202"/>
        </w:trPr>
        <w:tc>
          <w:tcPr>
            <w:tcW w:w="4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Financial liabilities designated at fair value through profits</w:t>
            </w: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 loss</w:t>
            </w:r>
          </w:p>
        </w:tc>
        <w:tc>
          <w:tcPr>
            <w:tcW w:w="18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(50,561)</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(50,561)</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Bonds and subordinated notes issued</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(329,567)</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(372,731)</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(702,298)</w:t>
            </w:r>
          </w:p>
        </w:tc>
      </w:tr>
      <w:tr>
        <w:trPr>
          <w:trHeight w:val="250"/>
        </w:trPr>
        <w:tc>
          <w:tcPr>
            <w:tcW w:w="4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FFCC"/>
            </w:tcBorders>
            <w:shd w:val="clear" w:color="auto" w:fill="CCFFCC"/>
          </w:tcPr>
          <w:p>
            <w:pPr>
              <w:spacing w:after="0"/>
              <w:rPr>
                <w:sz w:val="21"/>
                <w:szCs w:val="21"/>
                <w:color w:val="auto"/>
              </w:rPr>
            </w:pPr>
          </w:p>
        </w:tc>
        <w:tc>
          <w:tcPr>
            <w:tcW w:w="15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(1,040,179)</w:t>
            </w:r>
          </w:p>
        </w:tc>
        <w:tc>
          <w:tcPr>
            <w:tcW w:w="16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(434,353)</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11,144</w:t>
            </w:r>
          </w:p>
        </w:tc>
        <w:tc>
          <w:tcPr>
            <w:tcW w:w="22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(1,463,388)</w:t>
            </w:r>
          </w:p>
        </w:tc>
      </w:tr>
      <w:tr>
        <w:trPr>
          <w:trHeight w:val="20"/>
        </w:trPr>
        <w:tc>
          <w:tcPr>
            <w:tcW w:w="43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(10,665,551)</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(4,947,584)</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(277,491)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(15,890,626)</w:t>
            </w:r>
          </w:p>
        </w:tc>
      </w:tr>
      <w:tr>
        <w:trPr>
          <w:trHeight w:val="237"/>
        </w:trPr>
        <w:tc>
          <w:tcPr>
            <w:tcW w:w="43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70"/>
        </w:trPr>
        <w:tc>
          <w:tcPr>
            <w:tcW w:w="4320" w:type="dxa"/>
            <w:vAlign w:val="bottom"/>
          </w:tcPr>
          <w:p>
            <w:pPr>
              <w:spacing w:after="0"/>
              <w:rPr>
                <w:sz w:val="23"/>
                <w:szCs w:val="23"/>
                <w:color w:val="auto"/>
              </w:rPr>
            </w:pP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(17,255)</w:t>
            </w:r>
          </w:p>
        </w:tc>
        <w:tc>
          <w:tcPr>
            <w:tcW w:w="1360" w:type="dxa"/>
            <w:vAlign w:val="bottom"/>
          </w:tcPr>
          <w:p>
            <w:pPr>
              <w:jc w:val="right"/>
              <w:spacing w:after="0"/>
              <w:rPr>
                <w:sz w:val="20"/>
                <w:szCs w:val="20"/>
                <w:color w:val="auto"/>
              </w:rPr>
            </w:pPr>
            <w:r>
              <w:rPr>
                <w:rFonts w:ascii="Arial" w:cs="Arial" w:eastAsia="Arial" w:hAnsi="Arial"/>
                <w:sz w:val="18"/>
                <w:szCs w:val="18"/>
                <w:color w:val="auto"/>
              </w:rPr>
              <w:t>1,255,050</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48,275</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1,286,070</w:t>
            </w:r>
          </w:p>
        </w:tc>
        <w:tc>
          <w:tcPr>
            <w:tcW w:w="120" w:type="dxa"/>
            <w:vAlign w:val="bottom"/>
          </w:tcPr>
          <w:p>
            <w:pPr>
              <w:spacing w:after="0"/>
              <w:rPr>
                <w:sz w:val="23"/>
                <w:szCs w:val="23"/>
                <w:color w:val="auto"/>
              </w:rPr>
            </w:pPr>
          </w:p>
        </w:tc>
      </w:tr>
      <w:tr>
        <w:trPr>
          <w:trHeight w:val="237"/>
        </w:trPr>
        <w:tc>
          <w:tcPr>
            <w:tcW w:w="43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Forwards position, net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331,117</w:t>
            </w:r>
          </w:p>
        </w:tc>
        <w:tc>
          <w:tcPr>
            <w:tcW w:w="220" w:type="dxa"/>
            <w:vAlign w:val="bottom"/>
          </w:tcPr>
          <w:p>
            <w:pPr>
              <w:spacing w:after="0"/>
              <w:rPr>
                <w:sz w:val="23"/>
                <w:szCs w:val="23"/>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(273,971)</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(57,146)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r>
      <w:tr>
        <w:trPr>
          <w:trHeight w:val="237"/>
        </w:trPr>
        <w:tc>
          <w:tcPr>
            <w:tcW w:w="43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b w:val="1"/>
                <w:bCs w:val="1"/>
                <w:color w:val="auto"/>
              </w:rPr>
              <w:t>Net monetary position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313,862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981,079</w:t>
            </w:r>
          </w:p>
        </w:tc>
        <w:tc>
          <w:tcPr>
            <w:tcW w:w="24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(8,871)</w:t>
            </w:r>
          </w:p>
        </w:tc>
        <w:tc>
          <w:tcPr>
            <w:tcW w:w="1400" w:type="dxa"/>
            <w:vAlign w:val="bottom"/>
          </w:tcPr>
          <w:p>
            <w:pPr>
              <w:jc w:val="right"/>
              <w:spacing w:after="0"/>
              <w:rPr>
                <w:sz w:val="20"/>
                <w:szCs w:val="20"/>
                <w:color w:val="auto"/>
              </w:rPr>
            </w:pPr>
            <w:r>
              <w:rPr>
                <w:rFonts w:ascii="Arial" w:cs="Arial" w:eastAsia="Arial" w:hAnsi="Arial"/>
                <w:sz w:val="18"/>
                <w:szCs w:val="18"/>
                <w:color w:val="auto"/>
              </w:rPr>
              <w:t>1,286,070</w:t>
            </w:r>
          </w:p>
        </w:tc>
        <w:tc>
          <w:tcPr>
            <w:tcW w:w="12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Credicorp manages foreign exchange risk by monitoring and controlling non-U.S. Dollar position values due to changes in exchange rates. Credicorp measures its performance in U.S. Dollars, so if the net foreign exchange position is positive, any depreciation of the U.S. Dollar would affect Credicorp’s consolidated balance sheet positively. The current position in foreign currency is comprised of exchange rate-linked assets and liabilities in that currency. An institution’s open position in individual currencies is comprised of assets, liabilities and off-balance sheet items denominated in the respective foreign currency for which the institution itself bears the risk. Any appreciation/depreciation of foreign currency would affect the consolidated income statement.</w:t>
      </w:r>
    </w:p>
    <w:p>
      <w:pPr>
        <w:spacing w:after="0" w:line="21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Credicorp’s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Credicorp’s consolidated balance sheet vulnerable to fluctuation of the foreign currency (exchange rate shock).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45" w:name="page146"/>
    <w:bookmarkEnd w:id="145"/>
    <w:p>
      <w:pPr>
        <w:jc w:val="both"/>
        <w:ind w:firstLine="648"/>
        <w:spacing w:after="0" w:line="302" w:lineRule="auto"/>
        <w:rPr>
          <w:sz w:val="20"/>
          <w:szCs w:val="20"/>
          <w:color w:val="auto"/>
        </w:rPr>
      </w:pPr>
      <w:r>
        <w:rPr>
          <w:rFonts w:ascii="Arial" w:cs="Arial" w:eastAsia="Arial" w:hAnsi="Arial"/>
          <w:sz w:val="16"/>
          <w:szCs w:val="16"/>
          <w:color w:val="auto"/>
        </w:rPr>
        <w:t>The table below shows the sensitivity analysis of the Peruvian Currency, the currency to which Credicorp had significant exposure as of December 31, 2007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4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Change in</w:t>
            </w:r>
          </w:p>
        </w:tc>
        <w:tc>
          <w:tcPr>
            <w:tcW w:w="150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Sensitivity Analysis</w:t>
            </w:r>
          </w:p>
        </w:tc>
        <w:tc>
          <w:tcPr>
            <w:tcW w:w="14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currency rates</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2007</w:t>
            </w:r>
          </w:p>
        </w:tc>
      </w:tr>
      <w:tr>
        <w:trPr>
          <w:trHeight w:val="243"/>
        </w:trPr>
        <w:tc>
          <w:tcPr>
            <w:tcW w:w="5000" w:type="dxa"/>
            <w:vAlign w:val="bottom"/>
          </w:tcPr>
          <w:p>
            <w:pPr>
              <w:ind w:left="482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US$(000)</w:t>
            </w:r>
          </w:p>
        </w:tc>
      </w:tr>
      <w:tr>
        <w:trPr>
          <w:trHeight w:val="243"/>
        </w:trPr>
        <w:tc>
          <w:tcPr>
            <w:tcW w:w="5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1480" w:type="dxa"/>
            <w:vAlign w:val="bottom"/>
            <w:shd w:val="clear" w:color="auto" w:fill="CCFFCC"/>
          </w:tcPr>
          <w:p>
            <w:pPr>
              <w:spacing w:after="0"/>
              <w:rPr>
                <w:sz w:val="21"/>
                <w:szCs w:val="21"/>
                <w:color w:val="auto"/>
              </w:rPr>
            </w:pPr>
          </w:p>
        </w:tc>
        <w:tc>
          <w:tcPr>
            <w:tcW w:w="150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Peruvian Currency</w:t>
            </w: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9"/>
              </w:rPr>
              <w:t>5</w:t>
            </w:r>
          </w:p>
        </w:tc>
        <w:tc>
          <w:tcPr>
            <w:tcW w:w="1500" w:type="dxa"/>
            <w:vAlign w:val="bottom"/>
          </w:tcPr>
          <w:p>
            <w:pPr>
              <w:jc w:val="right"/>
              <w:spacing w:after="0"/>
              <w:rPr>
                <w:sz w:val="20"/>
                <w:szCs w:val="20"/>
                <w:color w:val="auto"/>
              </w:rPr>
            </w:pPr>
            <w:r>
              <w:rPr>
                <w:rFonts w:ascii="Arial" w:cs="Arial" w:eastAsia="Arial" w:hAnsi="Arial"/>
                <w:sz w:val="18"/>
                <w:szCs w:val="18"/>
                <w:color w:val="auto"/>
              </w:rPr>
              <w:t>(51,636)</w:t>
            </w: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480" w:type="dxa"/>
            <w:vAlign w:val="bottom"/>
            <w:shd w:val="clear" w:color="auto" w:fill="CCFFCC"/>
          </w:tcPr>
          <w:p>
            <w:pPr>
              <w:jc w:val="center"/>
              <w:ind w:right="170"/>
              <w:spacing w:after="0"/>
              <w:rPr>
                <w:sz w:val="20"/>
                <w:szCs w:val="20"/>
                <w:color w:val="auto"/>
              </w:rPr>
            </w:pPr>
            <w:r>
              <w:rPr>
                <w:rFonts w:ascii="Arial" w:cs="Arial" w:eastAsia="Arial" w:hAnsi="Arial"/>
                <w:sz w:val="18"/>
                <w:szCs w:val="18"/>
                <w:color w:val="auto"/>
                <w:w w:val="89"/>
              </w:rPr>
              <w:t>10</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(109,009)</w:t>
            </w:r>
          </w:p>
        </w:tc>
      </w:tr>
      <w:tr>
        <w:trPr>
          <w:trHeight w:val="243"/>
        </w:trPr>
        <w:tc>
          <w:tcPr>
            <w:tcW w:w="5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1480" w:type="dxa"/>
            <w:vAlign w:val="bottom"/>
            <w:shd w:val="clear" w:color="auto" w:fill="CCFFCC"/>
          </w:tcPr>
          <w:p>
            <w:pPr>
              <w:spacing w:after="0"/>
              <w:rPr>
                <w:sz w:val="21"/>
                <w:szCs w:val="21"/>
                <w:color w:val="auto"/>
              </w:rPr>
            </w:pPr>
          </w:p>
        </w:tc>
        <w:tc>
          <w:tcPr>
            <w:tcW w:w="1500" w:type="dxa"/>
            <w:vAlign w:val="bottom"/>
            <w:shd w:val="clear" w:color="auto" w:fill="CCFFCC"/>
          </w:tcPr>
          <w:p>
            <w:pPr>
              <w:spacing w:after="0"/>
              <w:rPr>
                <w:sz w:val="21"/>
                <w:szCs w:val="2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Peruvian Currency</w:t>
            </w: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9"/>
              </w:rPr>
              <w:t>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46,718</w:t>
            </w:r>
          </w:p>
        </w:tc>
      </w:tr>
      <w:tr>
        <w:trPr>
          <w:trHeight w:val="243"/>
        </w:trPr>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480" w:type="dxa"/>
            <w:vAlign w:val="bottom"/>
            <w:shd w:val="clear" w:color="auto" w:fill="CCFFCC"/>
          </w:tcPr>
          <w:p>
            <w:pPr>
              <w:jc w:val="center"/>
              <w:ind w:right="170"/>
              <w:spacing w:after="0"/>
              <w:rPr>
                <w:sz w:val="20"/>
                <w:szCs w:val="20"/>
                <w:color w:val="auto"/>
              </w:rPr>
            </w:pPr>
            <w:r>
              <w:rPr>
                <w:rFonts w:ascii="Arial" w:cs="Arial" w:eastAsia="Arial" w:hAnsi="Arial"/>
                <w:sz w:val="18"/>
                <w:szCs w:val="18"/>
                <w:color w:val="auto"/>
                <w:w w:val="89"/>
              </w:rPr>
              <w:t>10</w:t>
            </w:r>
          </w:p>
        </w:tc>
        <w:tc>
          <w:tcPr>
            <w:tcW w:w="15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89,189</w:t>
            </w:r>
          </w:p>
        </w:tc>
      </w:tr>
    </w:tbl>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79"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and its subsidiaries have never defaulted on any of its debt or been forced to reschedule any of its obligations.</w:t>
      </w:r>
    </w:p>
    <w:p>
      <w:pPr>
        <w:spacing w:after="0" w:line="275" w:lineRule="exact"/>
        <w:rPr>
          <w:rFonts w:ascii="Arial" w:cs="Arial" w:eastAsia="Arial" w:hAnsi="Arial"/>
          <w:sz w:val="18"/>
          <w:szCs w:val="18"/>
          <w:b w:val="1"/>
          <w:bCs w:val="1"/>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Arrearages and Delinquencies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320" w:lineRule="exact"/>
        <w:rPr>
          <w:sz w:val="20"/>
          <w:szCs w:val="20"/>
          <w:color w:val="auto"/>
        </w:rPr>
      </w:pPr>
    </w:p>
    <w:p>
      <w:pPr>
        <w:ind w:left="800" w:hanging="792"/>
        <w:spacing w:after="0"/>
        <w:tabs>
          <w:tab w:leader="none" w:pos="8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Credicorp’s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2007. Based on that evaluation, Credicorp’s management, its principal executive officer and its principal financial officer have concluded that Credicorp’s disclosure controls and procedures are effective in ensuring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6" w:name="page147"/>
    <w:bookmarkEnd w:id="146"/>
    <w:p>
      <w:pPr>
        <w:ind w:left="780" w:hanging="772"/>
        <w:spacing w:after="0"/>
        <w:tabs>
          <w:tab w:leader="none" w:pos="7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and management of Credicorp Ltd. and Subsidiaries (Credicorp) are responsible for establishing and maintaining adequate internal control over financial reporting. Credicorp’s internal control over financial reporting is designed to provide reasonable assurance regarding the preparation and fair presentation of published financial statements in accordance with International Financial Reporting Standards (IFRS) as issued by the international Accounting Standards Board (IASB).</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internal control over financial reporting includes those policies and procedures that:</w:t>
      </w:r>
    </w:p>
    <w:p>
      <w:pPr>
        <w:spacing w:after="0" w:line="279"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3"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and fair presentation of financial statements, and the receipts and expenditures of the company are being made only in accordance with authorizations of Credicorp management; and</w:t>
      </w:r>
    </w:p>
    <w:p>
      <w:pPr>
        <w:ind w:left="660" w:hanging="652"/>
        <w:spacing w:after="0" w:line="261"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management assessed the effectiveness of Credicorp’s internal control over financial reporting as of December 31, 2007 based on the criteria set forth by the Committee of Sponsoring Organizations of the Treadway Commission (COSO) in Internal Control-Integrated Framework. Based on this assessment, management believes that, as of December 31, 2007, Credicorp’s internal control over financial reporting was effective. Credicorp management also found no material weaknesses in Credicorp internal control over financial reporting and therefore no corrective actions were taken.</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effectiveness of Credicorp’s internal control over financial reporting as of December 31, 2007 has been audited by Medina, Zaldívar, Paredes &amp; Asociados, (member firm of Ernst &amp; Young Global), Credicorp’s independent registered public accounting firm, as stated in their report included herein, and expressed an unqualified opinion on the effectiveness of Credicorp’s internal control over financial reporting as of December 31, 2007.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w:t>
            </w:r>
          </w:p>
        </w:tc>
        <w:tc>
          <w:tcPr>
            <w:tcW w:w="1020" w:type="dxa"/>
            <w:vAlign w:val="bottom"/>
          </w:tcPr>
          <w:p>
            <w:pPr>
              <w:ind w:left="2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ALAVARO CORREA</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Dionisio Romero</w:t>
            </w:r>
          </w:p>
        </w:tc>
        <w:tc>
          <w:tcPr>
            <w:tcW w:w="1020" w:type="dxa"/>
            <w:vAlign w:val="bottom"/>
          </w:tcPr>
          <w:p>
            <w:pPr>
              <w:ind w:left="2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Alvaro Correa</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20" w:type="dxa"/>
            <w:vAlign w:val="bottom"/>
          </w:tcPr>
          <w:p>
            <w:pPr>
              <w:ind w:left="2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June 11, 2008</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47" w:name="page148"/>
    <w:bookmarkEnd w:id="147"/>
    <w:p>
      <w:pPr>
        <w:ind w:left="800" w:hanging="792"/>
        <w:spacing w:after="0"/>
        <w:tabs>
          <w:tab w:leader="none" w:pos="80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205105</wp:posOffset>
            </wp:positionV>
            <wp:extent cx="6980555" cy="83185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80555" cy="831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32" w:right="1440"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260350</wp:posOffset>
            </wp:positionV>
            <wp:extent cx="6980555" cy="74695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98055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hanging="827"/>
        <w:spacing w:after="0"/>
        <w:tabs>
          <w:tab w:leader="none" w:pos="8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Credicorp’s internal controls over financial reporting that have materially affected, or are likely to materially affect, internal controls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its session held on March 28, 2008, Credicorp’s Board of Directors elected Mr. Germán Suárez and Mr. Reynaldo Llosa as members of the Audit Committee and determined that Mr. Germán Suárez is the Audit Committee Financial Expert, as that term is defined in the instructions to Item 16A of Form 20-F. Credicorp Board of Directors also determined that Mr. Suárez is “independent” as defined in Rule 10A-3 under the Exchange Act and in Section 303A.02 of The NYSE Listed Company Manual. Mr. Suárez is an economist, and received his Masters degree in economics from Columbia University. Mr. Suárez became a Director of Credicorp on March 31, 2005. Mr. Suárez was President and Chairman of the Board of Banco Central de Reserva del Perú from 1992 to 2001, and serves as director on the board of directors of various other companies, among which are Compañía de Minas Buenaventura S.A. and Refinería La Pampilla.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5"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ITEM 16B. CODE OF ETHICS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has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xml:space="preserve">) applicable to employees with financial management responsibilities. Credicorp’s code of ethics and code of ethics for professionals with financial responsibility are available on the Corporate Governance section of its web site at </w:t>
      </w:r>
      <w:r>
        <w:rPr>
          <w:rFonts w:ascii="Arial" w:cs="Arial" w:eastAsia="Arial" w:hAnsi="Arial"/>
          <w:sz w:val="18"/>
          <w:szCs w:val="18"/>
          <w:u w:val="single" w:color="auto"/>
          <w:color w:val="auto"/>
        </w:rPr>
        <w:t>http://www.credicorpnet.com</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for each of the years indicated, the fees paid to Credicorp’s independent auditor Medina, Zaldívar, Paredes &amp; Asociados, members of Ernst &amp; Young Global, for the audit of Credicorp’s financial statements for the years ended December 31, 2005, 2006 and 2007, respectively. The Audit Committee recommends the appointment of the independent auditor every fiscal year, and the auditor is appointed at the Annual General Shareholders’ Meeting.</w:t>
      </w:r>
    </w:p>
    <w:p>
      <w:pPr>
        <w:spacing w:after="0" w:line="29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88"/>
              </w:rPr>
              <w:t>Years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9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2006</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r>
      <w:tr>
        <w:trPr>
          <w:trHeight w:val="237"/>
        </w:trPr>
        <w:tc>
          <w:tcPr>
            <w:tcW w:w="4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gridSpan w:val="5"/>
          </w:tcPr>
          <w:p>
            <w:pPr>
              <w:jc w:val="center"/>
              <w:ind w:right="190"/>
              <w:spacing w:after="0"/>
              <w:rPr>
                <w:sz w:val="20"/>
                <w:szCs w:val="20"/>
                <w:color w:val="auto"/>
              </w:rPr>
            </w:pPr>
            <w:r>
              <w:rPr>
                <w:rFonts w:ascii="Arial" w:cs="Arial" w:eastAsia="Arial" w:hAnsi="Arial"/>
                <w:sz w:val="18"/>
                <w:szCs w:val="18"/>
                <w:i w:val="1"/>
                <w:iCs w:val="1"/>
                <w:color w:val="auto"/>
                <w:w w:val="92"/>
              </w:rPr>
              <w:t>(U.S. 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1,293</w:t>
            </w: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1,779</w:t>
            </w:r>
          </w:p>
        </w:tc>
        <w:tc>
          <w:tcPr>
            <w:tcW w:w="48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2,264</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Audit – Related</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1000" w:type="dxa"/>
            <w:vAlign w:val="bottom"/>
            <w:shd w:val="clear" w:color="auto" w:fill="CCFFCC"/>
          </w:tcPr>
          <w:p>
            <w:pPr>
              <w:spacing w:after="0"/>
              <w:rPr>
                <w:sz w:val="21"/>
                <w:szCs w:val="21"/>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All Other</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37"/>
        </w:trPr>
        <w:tc>
          <w:tcPr>
            <w:tcW w:w="4980" w:type="dxa"/>
            <w:vAlign w:val="bottom"/>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46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480" w:type="dxa"/>
            <w:vAlign w:val="bottom"/>
            <w:tcBorders>
              <w:top w:val="single" w:sz="8" w:color="auto"/>
            </w:tcBorders>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98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1,871</w:t>
            </w:r>
          </w:p>
        </w:tc>
        <w:tc>
          <w:tcPr>
            <w:tcW w:w="20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1,884</w:t>
            </w:r>
          </w:p>
        </w:tc>
        <w:tc>
          <w:tcPr>
            <w:tcW w:w="4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2,323</w:t>
            </w:r>
          </w:p>
        </w:tc>
      </w:tr>
      <w:tr>
        <w:trPr>
          <w:trHeight w:val="20"/>
        </w:trPr>
        <w:tc>
          <w:tcPr>
            <w:tcW w:w="49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correspond to audit services performed (i) in the review of Credicorp’s consolidated financial statements, (ii) establishing the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independent auditor needs to perform in order to form an opinion about Credicorp’s consolidated financial statements, and (iii) to comply with the statutory requirements applicable to Credicorp’s subsidiaries. Audit fees also include expenses related to the audit work and comfort letters in connection with the issuance of long term debt. In 2007, Credicorp’s independent auditors performed tasks related to the delivery of a comfort letter in connection with the issuance of long term debt and subordinated debt by BCP. All fees were approved by the Audit Committee.</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relate to services that are similar to the execution of an audit or a review of Credicorp’s financial statements and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traditionally performed by the independent auditor. Such audit-related services include; assistance in the understanding of new accounting and financial rules established by regulatory entities; audit related procedures on accounting matters previously agreed with Credicorp management; and special audit reviews of internal control procedures. There were no audit-related fees during 2007.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Credicorp’s independent auditor’s tax personnel, except those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related to the review and preparation of Credicorp’s financial statements, and consisted principally of tax compliance and advisory services approved by the Audit Committee.</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mainly expenses related to training courses for the Accounting department of BCP and BCB in Bolivia prepared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Audit Committee requires that all tax services provided by the independent auditors be brought to its approval, following the rules promulgated by the SEC.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Page</w:t>
            </w:r>
          </w:p>
        </w:tc>
        <w:tc>
          <w:tcPr>
            <w:tcW w:w="100" w:type="dxa"/>
            <w:vAlign w:val="bottom"/>
          </w:tcPr>
          <w:p>
            <w:pPr>
              <w:spacing w:after="0"/>
              <w:rPr>
                <w:sz w:val="20"/>
                <w:szCs w:val="20"/>
                <w:color w:val="auto"/>
              </w:rPr>
            </w:pPr>
          </w:p>
        </w:tc>
      </w:tr>
      <w:tr>
        <w:trPr>
          <w:trHeight w:val="237"/>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Index to Credicorp Consolidated Financial Statements</w:t>
            </w:r>
          </w:p>
        </w:tc>
        <w:tc>
          <w:tcPr>
            <w:tcW w:w="1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F-2</w:t>
            </w:r>
          </w:p>
        </w:tc>
      </w:tr>
      <w:tr>
        <w:trPr>
          <w:trHeight w:val="270"/>
        </w:trPr>
        <w:tc>
          <w:tcPr>
            <w:tcW w:w="9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Report of Medina, Zaldívar, Paredes &amp; Asociados, members of Ernst &amp; Young Global, Independent Public Accountants</w:t>
            </w:r>
          </w:p>
        </w:tc>
        <w:tc>
          <w:tcPr>
            <w:tcW w:w="1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F-3</w:t>
            </w:r>
          </w:p>
        </w:tc>
      </w:tr>
      <w:tr>
        <w:trPr>
          <w:trHeight w:val="270"/>
        </w:trPr>
        <w:tc>
          <w:tcPr>
            <w:tcW w:w="9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2007 and 2006</w:t>
            </w:r>
          </w:p>
        </w:tc>
        <w:tc>
          <w:tcPr>
            <w:tcW w:w="1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F-5</w:t>
            </w:r>
          </w:p>
        </w:tc>
      </w:tr>
      <w:tr>
        <w:trPr>
          <w:trHeight w:val="270"/>
        </w:trPr>
        <w:tc>
          <w:tcPr>
            <w:tcW w:w="9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Consolidated Income Statements for the Three Years in the Period Ended December 31, 2007</w:t>
            </w:r>
          </w:p>
        </w:tc>
        <w:tc>
          <w:tcPr>
            <w:tcW w:w="1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F-7</w:t>
            </w:r>
          </w:p>
        </w:tc>
      </w:tr>
      <w:tr>
        <w:trPr>
          <w:trHeight w:val="270"/>
        </w:trPr>
        <w:tc>
          <w:tcPr>
            <w:tcW w:w="9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Equity for the Three Years in the Period Ended December 31, 2007</w:t>
            </w:r>
          </w:p>
        </w:tc>
        <w:tc>
          <w:tcPr>
            <w:tcW w:w="1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F-9</w:t>
            </w:r>
          </w:p>
        </w:tc>
      </w:tr>
      <w:tr>
        <w:trPr>
          <w:trHeight w:val="270"/>
        </w:trPr>
        <w:tc>
          <w:tcPr>
            <w:tcW w:w="9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Consolidated Cash Flow Statements for the Three Years in the Period Ended December 31, 2007</w:t>
            </w:r>
          </w:p>
        </w:tc>
        <w:tc>
          <w:tcPr>
            <w:tcW w:w="1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F-11</w:t>
            </w:r>
          </w:p>
        </w:tc>
      </w:tr>
      <w:tr>
        <w:trPr>
          <w:trHeight w:val="270"/>
        </w:trPr>
        <w:tc>
          <w:tcPr>
            <w:tcW w:w="9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994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F-13</w:t>
            </w:r>
          </w:p>
        </w:tc>
      </w:tr>
    </w:tbl>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2" w:name="page153"/>
    <w:bookmarkEnd w:id="152"/>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1.1</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Bye-laws of Credicorp Ltd., incorporated herein by reference to Exhibit 1.1 to Credicorp’s Annual Report on Form 20-F dated June 30, 2005</w:t>
            </w:r>
          </w:p>
        </w:tc>
      </w:tr>
      <w:tr>
        <w:trPr>
          <w:trHeight w:val="445"/>
        </w:trPr>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1.2</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Memorandum of Association of Credicorp Ltd., incorporated herein by reference to Exhibit 1.2 to Credicorp’s Annual Report on Form 20-F</w:t>
            </w:r>
          </w:p>
        </w:tc>
      </w:tr>
      <w:tr>
        <w:trPr>
          <w:trHeight w:val="230"/>
        </w:trPr>
        <w:tc>
          <w:tcPr>
            <w:tcW w:w="58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dated June 27, 2003</w:t>
            </w:r>
          </w:p>
        </w:tc>
      </w:tr>
    </w:tbl>
    <w:p>
      <w:pPr>
        <w:spacing w:after="0" w:line="229" w:lineRule="exact"/>
        <w:rPr>
          <w:sz w:val="20"/>
          <w:szCs w:val="20"/>
          <w:color w:val="auto"/>
        </w:rPr>
      </w:pPr>
    </w:p>
    <w:p>
      <w:pPr>
        <w:ind w:left="920" w:hanging="912"/>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12.1</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by the Chief Executive Officer Pursuant to Section 302 of the U.S. Sarbanes-Oxley Act of 2002</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12.2</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by the Chief Financial and Accounting Officer Pursuant to Section 302 of the U.S. Sarbanes-Oxley Act of 2002</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13.1</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by the Chief Executive Officer Pursuant to Section 906 of the U.S. Sarbanes-Oxley Act of 2002</w:t>
            </w:r>
          </w:p>
        </w:tc>
      </w:tr>
      <w:tr>
        <w:trPr>
          <w:trHeight w:val="459"/>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13.2</w:t>
            </w:r>
          </w:p>
        </w:tc>
        <w:tc>
          <w:tcPr>
            <w:tcW w:w="10800" w:type="dxa"/>
            <w:vAlign w:val="bottom"/>
          </w:tcPr>
          <w:p>
            <w:pPr>
              <w:ind w:left="300"/>
              <w:spacing w:after="0"/>
              <w:rPr>
                <w:sz w:val="20"/>
                <w:szCs w:val="20"/>
                <w:color w:val="auto"/>
              </w:rPr>
            </w:pPr>
            <w:r>
              <w:rPr>
                <w:rFonts w:ascii="Arial" w:cs="Arial" w:eastAsia="Arial" w:hAnsi="Arial"/>
                <w:sz w:val="18"/>
                <w:szCs w:val="18"/>
                <w:color w:val="auto"/>
              </w:rPr>
              <w:t>Certification by the Chief Financial and Accounting Officer Pursuant to Section 906 of the U.S. Sarbanes-Oxley Act of 2002</w:t>
            </w:r>
          </w:p>
        </w:tc>
      </w:tr>
      <w:tr>
        <w:trPr>
          <w:trHeight w:val="467"/>
        </w:trPr>
        <w:tc>
          <w:tcPr>
            <w:tcW w:w="620" w:type="dxa"/>
            <w:vAlign w:val="bottom"/>
          </w:tcPr>
          <w:p>
            <w:pPr>
              <w:spacing w:after="0"/>
              <w:rPr>
                <w:sz w:val="24"/>
                <w:szCs w:val="24"/>
                <w:color w:val="auto"/>
              </w:rPr>
            </w:pPr>
          </w:p>
        </w:tc>
        <w:tc>
          <w:tcPr>
            <w:tcW w:w="10800" w:type="dxa"/>
            <w:vAlign w:val="bottom"/>
          </w:tcPr>
          <w:p>
            <w:pPr>
              <w:ind w:left="4980"/>
              <w:spacing w:after="0"/>
              <w:rPr>
                <w:sz w:val="20"/>
                <w:szCs w:val="20"/>
                <w:color w:val="auto"/>
              </w:rPr>
            </w:pPr>
            <w:r>
              <w:rPr>
                <w:rFonts w:ascii="Arial" w:cs="Arial" w:eastAsia="Arial" w:hAnsi="Arial"/>
                <w:sz w:val="16"/>
                <w:szCs w:val="16"/>
                <w:color w:val="auto"/>
              </w:rPr>
              <w:t>150</w:t>
            </w:r>
          </w:p>
        </w:tc>
      </w:tr>
      <w:tr>
        <w:trPr>
          <w:trHeight w:val="124"/>
        </w:trPr>
        <w:tc>
          <w:tcPr>
            <w:tcW w:w="620" w:type="dxa"/>
            <w:vAlign w:val="bottom"/>
            <w:tcBorders>
              <w:bottom w:val="single" w:sz="8" w:color="808080"/>
            </w:tcBorders>
          </w:tcPr>
          <w:p>
            <w:pPr>
              <w:spacing w:after="0"/>
              <w:rPr>
                <w:sz w:val="10"/>
                <w:szCs w:val="10"/>
                <w:color w:val="auto"/>
              </w:rPr>
            </w:pPr>
          </w:p>
        </w:tc>
        <w:tc>
          <w:tcPr>
            <w:tcW w:w="10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Alvaro Correa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2008</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260350</wp:posOffset>
            </wp:positionV>
            <wp:extent cx="7250430" cy="77971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statements as of December 31, 2007 and 2006</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04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6360" w:type="dxa"/>
            <w:vAlign w:val="bottom"/>
            <w:shd w:val="clear" w:color="auto" w:fill="CCFFCC"/>
          </w:tcPr>
          <w:p>
            <w:pPr>
              <w:ind w:left="52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360" w:type="dxa"/>
            <w:vAlign w:val="bottom"/>
            <w:shd w:val="clear" w:color="auto" w:fill="CCFFCC"/>
          </w:tcPr>
          <w:p>
            <w:pPr>
              <w:ind w:left="52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6360" w:type="dxa"/>
            <w:vAlign w:val="bottom"/>
            <w:shd w:val="clear" w:color="auto" w:fill="CCFFCC"/>
          </w:tcPr>
          <w:p>
            <w:pPr>
              <w:ind w:left="52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Consolidated income statements</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equity</w:t>
            </w:r>
          </w:p>
        </w:tc>
        <w:tc>
          <w:tcPr>
            <w:tcW w:w="6360" w:type="dxa"/>
            <w:vAlign w:val="bottom"/>
            <w:shd w:val="clear" w:color="auto" w:fill="CCFFCC"/>
          </w:tcPr>
          <w:p>
            <w:pPr>
              <w:ind w:left="52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Consolidated cash flows statements</w:t>
            </w: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6360" w:type="dxa"/>
            <w:vAlign w:val="bottom"/>
            <w:shd w:val="clear" w:color="auto" w:fill="CCFFCC"/>
          </w:tcPr>
          <w:p>
            <w:pPr>
              <w:ind w:left="52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360" w:type="dxa"/>
            <w:vAlign w:val="bottom"/>
          </w:tcPr>
          <w:p>
            <w:pPr>
              <w:ind w:left="5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260350</wp:posOffset>
            </wp:positionV>
            <wp:extent cx="6980555" cy="102825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980555" cy="10282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243205</wp:posOffset>
            </wp:positionV>
            <wp:extent cx="6980555" cy="56686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6980555"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b w:val="1"/>
          <w:bCs w:val="1"/>
          <w:color w:val="auto"/>
        </w:rPr>
        <w:t>Credicorp Ltd. and Subsidiaries</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Consolidated balance sheets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due from banks: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Non-interest bearing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r>
      <w:tr>
        <w:trPr>
          <w:trHeight w:val="243"/>
        </w:trPr>
        <w:tc>
          <w:tcPr>
            <w:tcW w:w="9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160" w:type="dxa"/>
            <w:vAlign w:val="bottom"/>
          </w:tcPr>
          <w:p>
            <w:pPr>
              <w:jc w:val="center"/>
              <w:ind w:left="350"/>
              <w:spacing w:after="0"/>
              <w:rPr>
                <w:sz w:val="20"/>
                <w:szCs w:val="20"/>
                <w:color w:val="auto"/>
              </w:rPr>
            </w:pPr>
            <w:r>
              <w:rPr>
                <w:rFonts w:ascii="Arial" w:cs="Arial" w:eastAsia="Arial" w:hAnsi="Arial"/>
                <w:sz w:val="18"/>
                <w:szCs w:val="18"/>
                <w:color w:val="auto"/>
                <w:w w:val="93"/>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154305</wp:posOffset>
            </wp:positionV>
            <wp:extent cx="72466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14605</wp:posOffset>
            </wp:positionV>
            <wp:extent cx="72466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jc w:val="both"/>
        <w:ind w:left="1880"/>
        <w:spacing w:after="0"/>
        <w:tabs>
          <w:tab w:leader="none" w:pos="3440" w:val="left"/>
        </w:tabs>
        <w:rPr>
          <w:sz w:val="20"/>
          <w:szCs w:val="20"/>
          <w:color w:val="auto"/>
        </w:rPr>
      </w:pPr>
      <w:r>
        <w:rPr>
          <w:rFonts w:ascii="Arial" w:cs="Arial" w:eastAsia="Arial" w:hAnsi="Arial"/>
          <w:sz w:val="18"/>
          <w:szCs w:val="18"/>
          <w:color w:val="auto"/>
        </w:rPr>
        <w:t>620,918</w:t>
      </w:r>
      <w:r>
        <w:rPr>
          <w:sz w:val="20"/>
          <w:szCs w:val="20"/>
          <w:color w:val="auto"/>
        </w:rPr>
        <w:tab/>
      </w:r>
      <w:r>
        <w:rPr>
          <w:rFonts w:ascii="Arial" w:cs="Arial" w:eastAsia="Arial" w:hAnsi="Arial"/>
          <w:sz w:val="18"/>
          <w:szCs w:val="18"/>
          <w:color w:val="auto"/>
        </w:rPr>
        <w:t>474,859</w:t>
      </w:r>
    </w:p>
    <w:p>
      <w:pPr>
        <w:spacing w:after="0" w:line="36" w:lineRule="exact"/>
        <w:rPr>
          <w:sz w:val="20"/>
          <w:szCs w:val="20"/>
          <w:color w:val="auto"/>
        </w:rPr>
      </w:pPr>
    </w:p>
    <w:p>
      <w:pPr>
        <w:jc w:val="both"/>
        <w:ind w:left="1760"/>
        <w:spacing w:after="0"/>
        <w:tabs>
          <w:tab w:leader="none" w:pos="3320" w:val="left"/>
        </w:tabs>
        <w:rPr>
          <w:sz w:val="20"/>
          <w:szCs w:val="20"/>
          <w:color w:val="auto"/>
        </w:rPr>
      </w:pPr>
      <w:r>
        <w:rPr>
          <w:rFonts w:ascii="Arial" w:cs="Arial" w:eastAsia="Arial" w:hAnsi="Arial"/>
          <w:sz w:val="18"/>
          <w:szCs w:val="18"/>
          <w:color w:val="auto"/>
        </w:rPr>
        <w:t>2,452,947</w:t>
      </w:r>
      <w:r>
        <w:rPr>
          <w:sz w:val="20"/>
          <w:szCs w:val="20"/>
          <w:color w:val="auto"/>
        </w:rPr>
        <w:tab/>
      </w:r>
      <w:r>
        <w:rPr>
          <w:rFonts w:ascii="Arial" w:cs="Arial" w:eastAsia="Arial" w:hAnsi="Arial"/>
          <w:sz w:val="18"/>
          <w:szCs w:val="18"/>
          <w:color w:val="auto"/>
        </w:rPr>
        <w:t>2,258,671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14605</wp:posOffset>
            </wp:positionV>
            <wp:extent cx="724662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both"/>
        <w:ind w:left="1760"/>
        <w:spacing w:after="0"/>
        <w:tabs>
          <w:tab w:leader="none" w:pos="3320" w:val="left"/>
        </w:tabs>
        <w:rPr>
          <w:sz w:val="20"/>
          <w:szCs w:val="20"/>
          <w:color w:val="auto"/>
        </w:rPr>
      </w:pPr>
      <w:r>
        <w:rPr>
          <w:rFonts w:ascii="Arial" w:cs="Arial" w:eastAsia="Arial" w:hAnsi="Arial"/>
          <w:sz w:val="18"/>
          <w:szCs w:val="18"/>
          <w:color w:val="auto"/>
        </w:rPr>
        <w:t>3,073,865</w:t>
      </w:r>
      <w:r>
        <w:rPr>
          <w:sz w:val="20"/>
          <w:szCs w:val="20"/>
          <w:color w:val="auto"/>
        </w:rPr>
        <w:tab/>
      </w:r>
      <w:r>
        <w:rPr>
          <w:rFonts w:ascii="Arial" w:cs="Arial" w:eastAsia="Arial" w:hAnsi="Arial"/>
          <w:sz w:val="18"/>
          <w:szCs w:val="18"/>
          <w:color w:val="auto"/>
        </w:rPr>
        <w:t>2,733,530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169545</wp:posOffset>
            </wp:positionV>
            <wp:extent cx="72466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22" w:lineRule="exact"/>
        <w:rPr>
          <w:sz w:val="20"/>
          <w:szCs w:val="20"/>
          <w:color w:val="auto"/>
        </w:rPr>
      </w:pPr>
    </w:p>
    <w:p>
      <w:pPr>
        <w:sectPr>
          <w:pgSz w:w="11900" w:h="16838" w:orient="portrait"/>
          <w:cols w:equalWidth="0" w:num="2">
            <w:col w:w="6540" w:space="720"/>
            <w:col w:w="4160"/>
          </w:cols>
          <w:pgMar w:left="240" w:top="364"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Trading securities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50,995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45,136</w:t>
            </w:r>
          </w:p>
        </w:tc>
      </w:tr>
      <w:tr>
        <w:trPr>
          <w:trHeight w:val="243"/>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1840" w:type="dxa"/>
            <w:vAlign w:val="bottom"/>
            <w:tcBorders>
              <w:bottom w:val="single" w:sz="8" w:color="CCFFCC"/>
            </w:tcBorders>
            <w:shd w:val="clear" w:color="auto" w:fill="CCFFCC"/>
          </w:tcPr>
          <w:p>
            <w:pPr>
              <w:jc w:val="right"/>
              <w:ind w:right="730"/>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5,228,641</w:t>
            </w:r>
          </w:p>
        </w:tc>
        <w:tc>
          <w:tcPr>
            <w:tcW w:w="2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3,450,711</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5,279,636</w:t>
            </w: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3,495,847</w:t>
            </w:r>
          </w:p>
        </w:tc>
      </w:tr>
      <w:tr>
        <w:trPr>
          <w:trHeight w:val="243"/>
        </w:trPr>
        <w:tc>
          <w:tcPr>
            <w:tcW w:w="6520" w:type="dxa"/>
            <w:vAlign w:val="bottom"/>
            <w:shd w:val="clear" w:color="auto" w:fill="CCFFCC"/>
          </w:tcPr>
          <w:p>
            <w:pPr>
              <w:spacing w:after="0"/>
              <w:rPr>
                <w:sz w:val="21"/>
                <w:szCs w:val="21"/>
                <w:color w:val="auto"/>
              </w:rPr>
            </w:pPr>
          </w:p>
        </w:tc>
        <w:tc>
          <w:tcPr>
            <w:tcW w:w="18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bl>
    <w:p>
      <w:pPr>
        <w:spacing w:after="0" w:line="9" w:lineRule="exact"/>
        <w:rPr>
          <w:sz w:val="20"/>
          <w:szCs w:val="20"/>
          <w:color w:val="auto"/>
        </w:rPr>
      </w:pPr>
    </w:p>
    <w:p>
      <w:pPr>
        <w:sectPr>
          <w:pgSz w:w="11900" w:h="16838" w:orient="portrait"/>
          <w:cols w:equalWidth="0" w:num="1">
            <w:col w:w="1142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33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Loans, net of unearned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color w:val="auto"/>
        </w:rPr>
        <w:t>8,250,819</w:t>
      </w:r>
      <w:r>
        <w:rPr>
          <w:sz w:val="20"/>
          <w:szCs w:val="20"/>
          <w:color w:val="auto"/>
        </w:rPr>
        <w:tab/>
      </w:r>
      <w:r>
        <w:rPr>
          <w:rFonts w:ascii="Arial" w:cs="Arial" w:eastAsia="Arial" w:hAnsi="Arial"/>
          <w:sz w:val="17"/>
          <w:szCs w:val="17"/>
          <w:color w:val="auto"/>
        </w:rPr>
        <w:t>5,927,101</w:t>
      </w:r>
    </w:p>
    <w:p>
      <w:pPr>
        <w:spacing w:after="0" w:line="48"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color w:val="auto"/>
        </w:rPr>
        <w:t>(211,319)</w:t>
      </w:r>
      <w:r>
        <w:rPr>
          <w:sz w:val="20"/>
          <w:szCs w:val="20"/>
          <w:color w:val="auto"/>
        </w:rPr>
        <w:tab/>
      </w:r>
      <w:r>
        <w:rPr>
          <w:rFonts w:ascii="Arial" w:cs="Arial" w:eastAsia="Arial" w:hAnsi="Arial"/>
          <w:sz w:val="16"/>
          <w:szCs w:val="16"/>
          <w:color w:val="auto"/>
        </w:rPr>
        <w:t>(190,278)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29210</wp:posOffset>
            </wp:positionV>
            <wp:extent cx="18783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3"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color w:val="auto"/>
        </w:rPr>
        <w:t>8,039,500</w:t>
      </w:r>
      <w:r>
        <w:rPr>
          <w:sz w:val="20"/>
          <w:szCs w:val="20"/>
          <w:color w:val="auto"/>
        </w:rPr>
        <w:tab/>
      </w:r>
      <w:r>
        <w:rPr>
          <w:rFonts w:ascii="Arial" w:cs="Arial" w:eastAsia="Arial" w:hAnsi="Arial"/>
          <w:sz w:val="17"/>
          <w:szCs w:val="17"/>
          <w:color w:val="auto"/>
        </w:rPr>
        <w:t>5,736,823</w:t>
      </w:r>
    </w:p>
    <w:p>
      <w:pPr>
        <w:spacing w:after="0" w:line="200" w:lineRule="exact"/>
        <w:rPr>
          <w:sz w:val="20"/>
          <w:szCs w:val="20"/>
          <w:color w:val="auto"/>
        </w:rPr>
      </w:pPr>
    </w:p>
    <w:p>
      <w:pPr>
        <w:sectPr>
          <w:pgSz w:w="11900" w:h="16838" w:orient="portrait"/>
          <w:cols w:equalWidth="0" w:num="2">
            <w:col w:w="8300" w:space="720"/>
            <w:col w:w="2400"/>
          </w:cols>
          <w:pgMar w:left="240" w:top="364" w:right="239" w:bottom="1440" w:gutter="0" w:footer="0" w:header="0"/>
          <w:type w:val="continuous"/>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3340" w:type="dxa"/>
            <w:vAlign w:val="bottom"/>
            <w:shd w:val="clear" w:color="auto" w:fill="CCFFCC"/>
          </w:tcPr>
          <w:p>
            <w:pPr>
              <w:jc w:val="center"/>
              <w:ind w:left="1530"/>
              <w:spacing w:after="0"/>
              <w:rPr>
                <w:sz w:val="20"/>
                <w:szCs w:val="20"/>
                <w:color w:val="auto"/>
              </w:rPr>
            </w:pPr>
            <w:r>
              <w:rPr>
                <w:rFonts w:ascii="Arial" w:cs="Arial" w:eastAsia="Arial" w:hAnsi="Arial"/>
                <w:sz w:val="18"/>
                <w:szCs w:val="18"/>
                <w:color w:val="auto"/>
                <w:w w:val="79"/>
              </w:rPr>
              <w:t>8</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213,153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53,116</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3340" w:type="dxa"/>
            <w:vAlign w:val="bottom"/>
          </w:tcPr>
          <w:p>
            <w:pPr>
              <w:jc w:val="center"/>
              <w:ind w:left="1530"/>
              <w:spacing w:after="0"/>
              <w:rPr>
                <w:sz w:val="20"/>
                <w:szCs w:val="20"/>
                <w:color w:val="auto"/>
              </w:rPr>
            </w:pPr>
            <w:r>
              <w:rPr>
                <w:rFonts w:ascii="Arial" w:cs="Arial" w:eastAsia="Arial" w:hAnsi="Arial"/>
                <w:sz w:val="18"/>
                <w:szCs w:val="18"/>
                <w:color w:val="auto"/>
                <w:w w:val="79"/>
              </w:rPr>
              <w:t>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85,495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43"/>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3340" w:type="dxa"/>
            <w:vAlign w:val="bottom"/>
            <w:shd w:val="clear" w:color="auto" w:fill="CCFFCC"/>
          </w:tcPr>
          <w:p>
            <w:pPr>
              <w:jc w:val="center"/>
              <w:ind w:left="1530"/>
              <w:spacing w:after="0"/>
              <w:rPr>
                <w:sz w:val="20"/>
                <w:szCs w:val="20"/>
                <w:color w:val="auto"/>
              </w:rPr>
            </w:pPr>
            <w:r>
              <w:rPr>
                <w:rFonts w:ascii="Arial" w:cs="Arial" w:eastAsia="Arial" w:hAnsi="Arial"/>
                <w:sz w:val="18"/>
                <w:szCs w:val="18"/>
                <w:color w:val="auto"/>
                <w:w w:val="79"/>
              </w:rPr>
              <w:t>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116,141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35,181</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3340" w:type="dxa"/>
            <w:vAlign w:val="bottom"/>
          </w:tcPr>
          <w:p>
            <w:pPr>
              <w:jc w:val="center"/>
              <w:ind w:left="1510"/>
              <w:spacing w:after="0"/>
              <w:rPr>
                <w:sz w:val="20"/>
                <w:szCs w:val="20"/>
                <w:color w:val="auto"/>
              </w:rPr>
            </w:pPr>
            <w:r>
              <w:rPr>
                <w:rFonts w:ascii="Arial" w:cs="Arial" w:eastAsia="Arial" w:hAnsi="Arial"/>
                <w:sz w:val="18"/>
                <w:szCs w:val="18"/>
                <w:color w:val="auto"/>
                <w:w w:val="89"/>
              </w:rPr>
              <w:t>10</w:t>
            </w:r>
          </w:p>
        </w:tc>
        <w:tc>
          <w:tcPr>
            <w:tcW w:w="1380" w:type="dxa"/>
            <w:vAlign w:val="bottom"/>
          </w:tcPr>
          <w:p>
            <w:pPr>
              <w:jc w:val="right"/>
              <w:spacing w:after="0"/>
              <w:rPr>
                <w:sz w:val="20"/>
                <w:szCs w:val="20"/>
                <w:color w:val="auto"/>
              </w:rPr>
            </w:pPr>
            <w:r>
              <w:rPr>
                <w:rFonts w:ascii="Arial" w:cs="Arial" w:eastAsia="Arial" w:hAnsi="Arial"/>
                <w:sz w:val="18"/>
                <w:szCs w:val="18"/>
                <w:color w:val="auto"/>
              </w:rPr>
              <w:t>274,935</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255,478</w:t>
            </w:r>
          </w:p>
        </w:tc>
        <w:tc>
          <w:tcPr>
            <w:tcW w:w="0" w:type="dxa"/>
            <w:vAlign w:val="bottom"/>
          </w:tcPr>
          <w:p>
            <w:pPr>
              <w:spacing w:after="0"/>
              <w:rPr>
                <w:sz w:val="1"/>
                <w:szCs w:val="1"/>
                <w:color w:val="auto"/>
              </w:rPr>
            </w:pPr>
          </w:p>
        </w:tc>
      </w:tr>
      <w:tr>
        <w:trPr>
          <w:trHeight w:val="243"/>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33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35,901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45,129</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Assets seized, net</w:t>
            </w:r>
          </w:p>
        </w:tc>
        <w:tc>
          <w:tcPr>
            <w:tcW w:w="3340" w:type="dxa"/>
            <w:vAlign w:val="bottom"/>
          </w:tcPr>
          <w:p>
            <w:pPr>
              <w:jc w:val="center"/>
              <w:ind w:left="1530"/>
              <w:spacing w:after="0"/>
              <w:rPr>
                <w:sz w:val="20"/>
                <w:szCs w:val="20"/>
                <w:color w:val="auto"/>
              </w:rPr>
            </w:pPr>
            <w:r>
              <w:rPr>
                <w:rFonts w:ascii="Arial" w:cs="Arial" w:eastAsia="Arial" w:hAnsi="Arial"/>
                <w:sz w:val="18"/>
                <w:szCs w:val="18"/>
                <w:color w:val="auto"/>
                <w:w w:val="79"/>
              </w:rPr>
              <w:t>11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19,615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29,427</w:t>
            </w:r>
          </w:p>
        </w:tc>
        <w:tc>
          <w:tcPr>
            <w:tcW w:w="0" w:type="dxa"/>
            <w:vAlign w:val="bottom"/>
          </w:tcPr>
          <w:p>
            <w:pPr>
              <w:spacing w:after="0"/>
              <w:rPr>
                <w:sz w:val="1"/>
                <w:szCs w:val="1"/>
                <w:color w:val="auto"/>
              </w:rPr>
            </w:pPr>
          </w:p>
        </w:tc>
      </w:tr>
      <w:tr>
        <w:trPr>
          <w:trHeight w:val="243"/>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and goodwill, net</w:t>
            </w:r>
          </w:p>
        </w:tc>
        <w:tc>
          <w:tcPr>
            <w:tcW w:w="3340" w:type="dxa"/>
            <w:vAlign w:val="bottom"/>
            <w:shd w:val="clear" w:color="auto" w:fill="CCFFCC"/>
          </w:tcPr>
          <w:p>
            <w:pPr>
              <w:jc w:val="center"/>
              <w:ind w:left="1510"/>
              <w:spacing w:after="0"/>
              <w:rPr>
                <w:sz w:val="20"/>
                <w:szCs w:val="20"/>
                <w:color w:val="auto"/>
              </w:rPr>
            </w:pPr>
            <w:r>
              <w:rPr>
                <w:rFonts w:ascii="Arial" w:cs="Arial" w:eastAsia="Arial" w:hAnsi="Arial"/>
                <w:sz w:val="18"/>
                <w:szCs w:val="18"/>
                <w:color w:val="auto"/>
                <w:w w:val="89"/>
              </w:rPr>
              <w:t>12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227,272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215,647</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Other assets</w:t>
            </w:r>
          </w:p>
        </w:tc>
        <w:tc>
          <w:tcPr>
            <w:tcW w:w="3340" w:type="dxa"/>
            <w:vAlign w:val="bottom"/>
          </w:tcPr>
          <w:p>
            <w:pPr>
              <w:jc w:val="center"/>
              <w:ind w:left="1510"/>
              <w:spacing w:after="0"/>
              <w:rPr>
                <w:sz w:val="20"/>
                <w:szCs w:val="20"/>
                <w:color w:val="auto"/>
              </w:rPr>
            </w:pPr>
            <w:r>
              <w:rPr>
                <w:rFonts w:ascii="Arial" w:cs="Arial" w:eastAsia="Arial" w:hAnsi="Arial"/>
                <w:sz w:val="18"/>
                <w:szCs w:val="18"/>
                <w:color w:val="auto"/>
                <w:w w:val="89"/>
              </w:rPr>
              <w:t>13</w:t>
            </w:r>
          </w:p>
        </w:tc>
        <w:tc>
          <w:tcPr>
            <w:tcW w:w="1380" w:type="dxa"/>
            <w:vAlign w:val="bottom"/>
          </w:tcPr>
          <w:p>
            <w:pPr>
              <w:jc w:val="right"/>
              <w:spacing w:after="0"/>
              <w:rPr>
                <w:sz w:val="20"/>
                <w:szCs w:val="20"/>
                <w:color w:val="auto"/>
              </w:rPr>
            </w:pPr>
            <w:r>
              <w:rPr>
                <w:rFonts w:ascii="Arial" w:cs="Arial" w:eastAsia="Arial" w:hAnsi="Arial"/>
                <w:sz w:val="18"/>
                <w:szCs w:val="18"/>
                <w:color w:val="auto"/>
              </w:rPr>
              <w:t>340,385</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220,072</w:t>
            </w:r>
          </w:p>
        </w:tc>
        <w:tc>
          <w:tcPr>
            <w:tcW w:w="0" w:type="dxa"/>
            <w:vAlign w:val="bottom"/>
          </w:tcPr>
          <w:p>
            <w:pPr>
              <w:spacing w:after="0"/>
              <w:rPr>
                <w:sz w:val="1"/>
                <w:szCs w:val="1"/>
                <w:color w:val="auto"/>
              </w:rPr>
            </w:pPr>
          </w:p>
        </w:tc>
      </w:tr>
      <w:tr>
        <w:trPr>
          <w:trHeight w:val="237"/>
        </w:trPr>
        <w:tc>
          <w:tcPr>
            <w:tcW w:w="5020" w:type="dxa"/>
            <w:vAlign w:val="bottom"/>
            <w:shd w:val="clear" w:color="auto" w:fill="CCFFCC"/>
          </w:tcPr>
          <w:p>
            <w:pPr>
              <w:spacing w:after="0"/>
              <w:rPr>
                <w:sz w:val="20"/>
                <w:szCs w:val="20"/>
                <w:color w:val="auto"/>
              </w:rPr>
            </w:pPr>
          </w:p>
        </w:tc>
        <w:tc>
          <w:tcPr>
            <w:tcW w:w="3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17,705,898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12,881,529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340" w:type="dxa"/>
            <w:vAlign w:val="bottom"/>
            <w:vMerge w:val="restart"/>
          </w:tcPr>
          <w:p>
            <w:pPr>
              <w:ind w:left="560"/>
              <w:spacing w:after="0"/>
              <w:rPr>
                <w:sz w:val="20"/>
                <w:szCs w:val="20"/>
                <w:color w:val="auto"/>
              </w:rPr>
            </w:pPr>
            <w:r>
              <w:rPr>
                <w:rFonts w:ascii="Arial" w:cs="Arial" w:eastAsia="Arial" w:hAnsi="Arial"/>
                <w:sz w:val="18"/>
                <w:szCs w:val="18"/>
                <w:color w:val="auto"/>
              </w:rPr>
              <w:t>F-5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2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and 2006</w:t>
      </w:r>
    </w:p>
    <w:p>
      <w:pPr>
        <w:spacing w:after="0" w:line="291" w:lineRule="exact"/>
        <w:rPr>
          <w:sz w:val="20"/>
          <w:szCs w:val="20"/>
          <w:color w:val="auto"/>
        </w:rPr>
      </w:pPr>
    </w:p>
    <w:tbl>
      <w:tblPr>
        <w:tblLayout w:type="fixed"/>
        <w:tblInd w:w="726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r>
      <w:tr>
        <w:trPr>
          <w:trHeight w:val="243"/>
        </w:trPr>
        <w:tc>
          <w:tcPr>
            <w:tcW w:w="9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160" w:type="dxa"/>
            <w:vAlign w:val="bottom"/>
          </w:tcPr>
          <w:p>
            <w:pPr>
              <w:jc w:val="center"/>
              <w:ind w:left="350"/>
              <w:spacing w:after="0"/>
              <w:rPr>
                <w:sz w:val="20"/>
                <w:szCs w:val="20"/>
                <w:color w:val="auto"/>
              </w:rPr>
            </w:pPr>
            <w:r>
              <w:rPr>
                <w:rFonts w:ascii="Arial" w:cs="Arial" w:eastAsia="Arial" w:hAnsi="Arial"/>
                <w:sz w:val="18"/>
                <w:szCs w:val="18"/>
                <w:color w:val="auto"/>
                <w:w w:val="93"/>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Deposits and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Non-interest bearing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14605</wp:posOffset>
            </wp:positionV>
            <wp:extent cx="72466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jc w:val="both"/>
        <w:ind w:left="1620"/>
        <w:spacing w:after="0"/>
        <w:tabs>
          <w:tab w:leader="none" w:pos="3180" w:val="left"/>
        </w:tabs>
        <w:rPr>
          <w:sz w:val="20"/>
          <w:szCs w:val="20"/>
          <w:color w:val="auto"/>
        </w:rPr>
      </w:pPr>
      <w:r>
        <w:rPr>
          <w:rFonts w:ascii="Arial" w:cs="Arial" w:eastAsia="Arial" w:hAnsi="Arial"/>
          <w:sz w:val="18"/>
          <w:szCs w:val="18"/>
          <w:color w:val="auto"/>
        </w:rPr>
        <w:t>2,926,308</w:t>
      </w:r>
      <w:r>
        <w:rPr>
          <w:sz w:val="20"/>
          <w:szCs w:val="20"/>
          <w:color w:val="auto"/>
        </w:rPr>
        <w:tab/>
      </w:r>
      <w:r>
        <w:rPr>
          <w:rFonts w:ascii="Arial" w:cs="Arial" w:eastAsia="Arial" w:hAnsi="Arial"/>
          <w:sz w:val="18"/>
          <w:szCs w:val="18"/>
          <w:color w:val="auto"/>
        </w:rPr>
        <w:t>1,989,564</w:t>
      </w:r>
    </w:p>
    <w:p>
      <w:pPr>
        <w:spacing w:after="0" w:line="36" w:lineRule="exact"/>
        <w:rPr>
          <w:sz w:val="20"/>
          <w:szCs w:val="20"/>
          <w:color w:val="auto"/>
        </w:rPr>
      </w:pPr>
    </w:p>
    <w:p>
      <w:pPr>
        <w:jc w:val="both"/>
        <w:ind w:left="1620"/>
        <w:spacing w:after="0"/>
        <w:tabs>
          <w:tab w:leader="none" w:pos="3180" w:val="left"/>
        </w:tabs>
        <w:rPr>
          <w:sz w:val="20"/>
          <w:szCs w:val="20"/>
          <w:color w:val="auto"/>
        </w:rPr>
      </w:pPr>
      <w:r>
        <w:rPr>
          <w:rFonts w:ascii="Arial" w:cs="Arial" w:eastAsia="Arial" w:hAnsi="Arial"/>
          <w:sz w:val="18"/>
          <w:szCs w:val="18"/>
          <w:color w:val="auto"/>
        </w:rPr>
        <w:t>8,424,406</w:t>
      </w:r>
      <w:r>
        <w:rPr>
          <w:sz w:val="20"/>
          <w:szCs w:val="20"/>
          <w:color w:val="auto"/>
        </w:rPr>
        <w:tab/>
      </w:r>
      <w:r>
        <w:rPr>
          <w:rFonts w:ascii="Arial" w:cs="Arial" w:eastAsia="Arial" w:hAnsi="Arial"/>
          <w:sz w:val="18"/>
          <w:szCs w:val="18"/>
          <w:color w:val="auto"/>
        </w:rPr>
        <w:t>6,849,427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14605</wp:posOffset>
            </wp:positionV>
            <wp:extent cx="724662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both"/>
        <w:ind w:left="1520"/>
        <w:spacing w:after="0"/>
        <w:tabs>
          <w:tab w:leader="none" w:pos="3180" w:val="left"/>
        </w:tabs>
        <w:rPr>
          <w:sz w:val="20"/>
          <w:szCs w:val="20"/>
          <w:color w:val="auto"/>
        </w:rPr>
      </w:pPr>
      <w:r>
        <w:rPr>
          <w:rFonts w:ascii="Arial" w:cs="Arial" w:eastAsia="Arial" w:hAnsi="Arial"/>
          <w:sz w:val="18"/>
          <w:szCs w:val="18"/>
          <w:color w:val="auto"/>
        </w:rPr>
        <w:t>11,350,714</w:t>
      </w:r>
      <w:r>
        <w:rPr>
          <w:sz w:val="20"/>
          <w:szCs w:val="20"/>
          <w:color w:val="auto"/>
        </w:rPr>
        <w:tab/>
      </w:r>
      <w:r>
        <w:rPr>
          <w:rFonts w:ascii="Arial" w:cs="Arial" w:eastAsia="Arial" w:hAnsi="Arial"/>
          <w:sz w:val="18"/>
          <w:szCs w:val="18"/>
          <w:color w:val="auto"/>
        </w:rPr>
        <w:t>8,838,991</w:t>
      </w:r>
    </w:p>
    <w:p>
      <w:pPr>
        <w:spacing w:after="0" w:line="200" w:lineRule="exact"/>
        <w:rPr>
          <w:sz w:val="20"/>
          <w:szCs w:val="20"/>
          <w:color w:val="auto"/>
        </w:rPr>
      </w:pPr>
    </w:p>
    <w:p>
      <w:pPr>
        <w:sectPr>
          <w:pgSz w:w="11900" w:h="16838" w:orient="portrait"/>
          <w:cols w:equalWidth="0" w:num="2">
            <w:col w:w="6680" w:space="720"/>
            <w:col w:w="4020"/>
          </w:cols>
          <w:pgMar w:left="240" w:top="364" w:right="23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Financial liabilities designated at fair value through profit or loss</w:t>
            </w:r>
          </w:p>
        </w:tc>
        <w:tc>
          <w:tcPr>
            <w:tcW w:w="2920" w:type="dxa"/>
            <w:vAlign w:val="bottom"/>
            <w:shd w:val="clear" w:color="auto" w:fill="CCFFCC"/>
          </w:tcPr>
          <w:p>
            <w:pPr>
              <w:jc w:val="center"/>
              <w:ind w:left="1110"/>
              <w:spacing w:after="0"/>
              <w:rPr>
                <w:sz w:val="20"/>
                <w:szCs w:val="20"/>
                <w:color w:val="auto"/>
              </w:rPr>
            </w:pPr>
            <w:r>
              <w:rPr>
                <w:rFonts w:ascii="Arial" w:cs="Arial" w:eastAsia="Arial" w:hAnsi="Arial"/>
                <w:sz w:val="18"/>
                <w:szCs w:val="18"/>
                <w:color w:val="auto"/>
                <w:w w:val="79"/>
              </w:rPr>
              <w:t>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50,561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89"/>
              </w:rPr>
              <w:t>15</w:t>
            </w:r>
          </w:p>
        </w:tc>
        <w:tc>
          <w:tcPr>
            <w:tcW w:w="1380" w:type="dxa"/>
            <w:vAlign w:val="bottom"/>
          </w:tcPr>
          <w:p>
            <w:pPr>
              <w:jc w:val="right"/>
              <w:spacing w:after="0"/>
              <w:rPr>
                <w:sz w:val="20"/>
                <w:szCs w:val="20"/>
                <w:color w:val="auto"/>
              </w:rPr>
            </w:pPr>
            <w:r>
              <w:rPr>
                <w:rFonts w:ascii="Arial" w:cs="Arial" w:eastAsia="Arial" w:hAnsi="Arial"/>
                <w:sz w:val="18"/>
                <w:szCs w:val="18"/>
                <w:color w:val="auto"/>
              </w:rPr>
              <w:t>1,453,261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570,989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Bankers’ acceptances outstanding</w:t>
            </w:r>
          </w:p>
        </w:tc>
        <w:tc>
          <w:tcPr>
            <w:tcW w:w="29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35,901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45,129</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Accounts payable to re-insurers and co-insurers</w:t>
            </w:r>
          </w:p>
        </w:tc>
        <w:tc>
          <w:tcPr>
            <w:tcW w:w="2920" w:type="dxa"/>
            <w:vAlign w:val="bottom"/>
          </w:tcPr>
          <w:p>
            <w:pPr>
              <w:jc w:val="center"/>
              <w:ind w:left="1110"/>
              <w:spacing w:after="0"/>
              <w:rPr>
                <w:sz w:val="20"/>
                <w:szCs w:val="20"/>
                <w:color w:val="auto"/>
              </w:rPr>
            </w:pPr>
            <w:r>
              <w:rPr>
                <w:rFonts w:ascii="Arial" w:cs="Arial" w:eastAsia="Arial" w:hAnsi="Arial"/>
                <w:sz w:val="18"/>
                <w:szCs w:val="18"/>
                <w:color w:val="auto"/>
                <w:w w:val="79"/>
              </w:rPr>
              <w:t>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21,914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25,134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w w:val="90"/>
              </w:rPr>
              <w:t>Technical, insurance claims reserves and reserves for unearned premiums</w:t>
            </w:r>
          </w:p>
        </w:tc>
        <w:tc>
          <w:tcPr>
            <w:tcW w:w="2920" w:type="dxa"/>
            <w:vAlign w:val="bottom"/>
            <w:shd w:val="clear" w:color="auto" w:fill="CCFFCC"/>
          </w:tcPr>
          <w:p>
            <w:pPr>
              <w:jc w:val="center"/>
              <w:ind w:left="1090"/>
              <w:spacing w:after="0"/>
              <w:rPr>
                <w:sz w:val="20"/>
                <w:szCs w:val="20"/>
                <w:color w:val="auto"/>
              </w:rPr>
            </w:pPr>
            <w:r>
              <w:rPr>
                <w:rFonts w:ascii="Arial" w:cs="Arial" w:eastAsia="Arial" w:hAnsi="Arial"/>
                <w:sz w:val="18"/>
                <w:szCs w:val="18"/>
                <w:color w:val="auto"/>
                <w:w w:val="89"/>
              </w:rPr>
              <w:t>16</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815,527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628,221</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89"/>
              </w:rPr>
              <w:t>15</w:t>
            </w:r>
          </w:p>
        </w:tc>
        <w:tc>
          <w:tcPr>
            <w:tcW w:w="1380" w:type="dxa"/>
            <w:vAlign w:val="bottom"/>
          </w:tcPr>
          <w:p>
            <w:pPr>
              <w:jc w:val="right"/>
              <w:spacing w:after="0"/>
              <w:rPr>
                <w:sz w:val="20"/>
                <w:szCs w:val="20"/>
                <w:color w:val="auto"/>
              </w:rPr>
            </w:pPr>
            <w:r>
              <w:rPr>
                <w:rFonts w:ascii="Arial" w:cs="Arial" w:eastAsia="Arial" w:hAnsi="Arial"/>
                <w:sz w:val="18"/>
                <w:szCs w:val="18"/>
                <w:color w:val="auto"/>
              </w:rPr>
              <w:t>870,404</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370,612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2920" w:type="dxa"/>
            <w:vAlign w:val="bottom"/>
            <w:shd w:val="clear" w:color="auto" w:fill="CCFFCC"/>
          </w:tcPr>
          <w:p>
            <w:pPr>
              <w:jc w:val="center"/>
              <w:ind w:left="1090"/>
              <w:spacing w:after="0"/>
              <w:rPr>
                <w:sz w:val="20"/>
                <w:szCs w:val="20"/>
                <w:color w:val="auto"/>
              </w:rPr>
            </w:pPr>
            <w:r>
              <w:rPr>
                <w:rFonts w:ascii="Arial" w:cs="Arial" w:eastAsia="Arial" w:hAnsi="Arial"/>
                <w:sz w:val="18"/>
                <w:szCs w:val="18"/>
                <w:color w:val="auto"/>
                <w:w w:val="89"/>
              </w:rPr>
              <w:t>17</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702,298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512,572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liabilities</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89"/>
              </w:rPr>
              <w:t>13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590,045</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29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15,890,625</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11,347,761</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920" w:type="dxa"/>
            <w:vAlign w:val="bottom"/>
          </w:tcPr>
          <w:p>
            <w:pPr>
              <w:jc w:val="center"/>
              <w:ind w:left="1090"/>
              <w:spacing w:after="0"/>
              <w:rPr>
                <w:sz w:val="20"/>
                <w:szCs w:val="20"/>
                <w:color w:val="auto"/>
              </w:rPr>
            </w:pPr>
            <w:r>
              <w:rPr>
                <w:rFonts w:ascii="Arial" w:cs="Arial" w:eastAsia="Arial" w:hAnsi="Arial"/>
                <w:sz w:val="18"/>
                <w:szCs w:val="18"/>
                <w:color w:val="auto"/>
                <w:w w:val="89"/>
              </w:rPr>
              <w:t>18</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9"/>
              </w:rPr>
              <w:t>Capital and reserves attributable to Credicorp’s equity holders:</w:t>
            </w:r>
          </w:p>
        </w:tc>
        <w:tc>
          <w:tcPr>
            <w:tcW w:w="29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Capital stock</w:t>
            </w:r>
          </w:p>
        </w:tc>
        <w:tc>
          <w:tcPr>
            <w:tcW w:w="29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29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(73,107)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(73,107)</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Capital surplus</w:t>
            </w:r>
          </w:p>
        </w:tc>
        <w:tc>
          <w:tcPr>
            <w:tcW w:w="29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140,693</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140,693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292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587,218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479,902</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29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179,550</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147,409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29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369,743</w:t>
            </w:r>
          </w:p>
        </w:tc>
        <w:tc>
          <w:tcPr>
            <w:tcW w:w="2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230,013</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1,676,009</w:t>
            </w: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1,396,822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20" w:type="dxa"/>
            <w:vAlign w:val="bottom"/>
            <w:shd w:val="clear" w:color="auto" w:fill="CCFFCC"/>
          </w:tcPr>
          <w:p>
            <w:pPr>
              <w:spacing w:after="0"/>
              <w:rPr>
                <w:sz w:val="21"/>
                <w:szCs w:val="21"/>
                <w:color w:val="auto"/>
              </w:rPr>
            </w:pPr>
          </w:p>
        </w:tc>
        <w:tc>
          <w:tcPr>
            <w:tcW w:w="29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Minority interest</w:t>
            </w:r>
          </w:p>
        </w:tc>
        <w:tc>
          <w:tcPr>
            <w:tcW w:w="29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139,264</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292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1,815,273</w:t>
            </w:r>
          </w:p>
        </w:tc>
        <w:tc>
          <w:tcPr>
            <w:tcW w:w="220" w:type="dxa"/>
            <w:vAlign w:val="bottom"/>
            <w:tcBorders>
              <w:bottom w:val="single" w:sz="8" w:color="CCFFCC"/>
            </w:tcBorders>
            <w:shd w:val="clear" w:color="auto" w:fill="CCFFCC"/>
          </w:tcPr>
          <w:p>
            <w:pPr>
              <w:spacing w:after="0"/>
              <w:rPr>
                <w:sz w:val="20"/>
                <w:szCs w:val="20"/>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1,533,768</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spacing w:after="0"/>
              <w:rPr>
                <w:sz w:val="20"/>
                <w:szCs w:val="20"/>
                <w:color w:val="auto"/>
              </w:rPr>
            </w:pPr>
          </w:p>
        </w:tc>
        <w:tc>
          <w:tcPr>
            <w:tcW w:w="2920" w:type="dxa"/>
            <w:vAlign w:val="bottom"/>
          </w:tcPr>
          <w:p>
            <w:pPr>
              <w:spacing w:after="0"/>
              <w:rPr>
                <w:sz w:val="20"/>
                <w:szCs w:val="20"/>
                <w:color w:val="auto"/>
              </w:rPr>
            </w:pPr>
          </w:p>
        </w:tc>
        <w:tc>
          <w:tcPr>
            <w:tcW w:w="1600" w:type="dxa"/>
            <w:vAlign w:val="bottom"/>
            <w:gridSpan w:val="2"/>
          </w:tcPr>
          <w:p>
            <w:pPr>
              <w:spacing w:after="0"/>
              <w:rPr>
                <w:sz w:val="20"/>
                <w:szCs w:val="20"/>
                <w:color w:val="auto"/>
              </w:rPr>
            </w:pPr>
          </w:p>
        </w:tc>
        <w:tc>
          <w:tcPr>
            <w:tcW w:w="14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equity</w:t>
            </w:r>
          </w:p>
        </w:tc>
        <w:tc>
          <w:tcPr>
            <w:tcW w:w="292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17,705,898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12,881,529</w:t>
            </w: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20" w:type="dxa"/>
            <w:vAlign w:val="bottom"/>
            <w:tcBorders>
              <w:top w:val="single" w:sz="8" w:color="CCFFCC"/>
            </w:tcBorders>
          </w:tcPr>
          <w:p>
            <w:pPr>
              <w:spacing w:after="0"/>
              <w:rPr>
                <w:sz w:val="24"/>
                <w:szCs w:val="24"/>
                <w:color w:val="auto"/>
              </w:rPr>
            </w:pPr>
          </w:p>
        </w:tc>
        <w:tc>
          <w:tcPr>
            <w:tcW w:w="2920" w:type="dxa"/>
            <w:vAlign w:val="bottom"/>
            <w:tcBorders>
              <w:top w:val="single" w:sz="8" w:color="CCFFCC"/>
            </w:tcBorders>
          </w:tcPr>
          <w:p>
            <w:pPr>
              <w:ind w:left="140"/>
              <w:spacing w:after="0"/>
              <w:rPr>
                <w:sz w:val="20"/>
                <w:szCs w:val="20"/>
                <w:color w:val="auto"/>
              </w:rPr>
            </w:pPr>
            <w:r>
              <w:rPr>
                <w:rFonts w:ascii="Arial" w:cs="Arial" w:eastAsia="Arial" w:hAnsi="Arial"/>
                <w:sz w:val="18"/>
                <w:szCs w:val="18"/>
                <w:color w:val="auto"/>
              </w:rPr>
              <w:t>F-6</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c>
          <w:tcPr>
            <w:tcW w:w="29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income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2007, 2006 and 2005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40" w:type="dxa"/>
            <w:vAlign w:val="bottom"/>
          </w:tcPr>
          <w:p>
            <w:pPr>
              <w:ind w:left="740"/>
              <w:spacing w:after="0"/>
              <w:rPr>
                <w:sz w:val="20"/>
                <w:szCs w:val="20"/>
                <w:color w:val="auto"/>
              </w:rPr>
            </w:pPr>
            <w:r>
              <w:rPr>
                <w:rFonts w:ascii="Arial" w:cs="Arial" w:eastAsia="Arial" w:hAnsi="Arial"/>
                <w:sz w:val="18"/>
                <w:szCs w:val="18"/>
                <w:b w:val="1"/>
                <w:bCs w:val="1"/>
                <w:color w:val="auto"/>
              </w:rPr>
              <w:t>Note</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4920" w:type="dxa"/>
            <w:vAlign w:val="bottom"/>
            <w:gridSpan w:val="2"/>
          </w:tcPr>
          <w:p>
            <w:pPr>
              <w:spacing w:after="0"/>
              <w:rPr>
                <w:sz w:val="21"/>
                <w:szCs w:val="21"/>
                <w:color w:val="auto"/>
              </w:rPr>
            </w:pPr>
          </w:p>
        </w:tc>
        <w:tc>
          <w:tcPr>
            <w:tcW w:w="18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8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9"/>
              </w:rPr>
              <w:t>22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1,065,974</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782,002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612,432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22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(432,000)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(283,478)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8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220" w:type="dxa"/>
            <w:vAlign w:val="bottom"/>
            <w:shd w:val="clear" w:color="auto" w:fill="CCFFCC"/>
          </w:tcPr>
          <w:p>
            <w:pPr>
              <w:spacing w:after="0"/>
              <w:rPr>
                <w:sz w:val="20"/>
                <w:szCs w:val="20"/>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498,524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439,273</w:t>
            </w:r>
          </w:p>
        </w:tc>
        <w:tc>
          <w:tcPr>
            <w:tcW w:w="0" w:type="dxa"/>
            <w:vAlign w:val="bottom"/>
          </w:tcPr>
          <w:p>
            <w:pPr>
              <w:spacing w:after="0"/>
              <w:rPr>
                <w:sz w:val="1"/>
                <w:szCs w:val="1"/>
                <w:color w:val="auto"/>
              </w:rPr>
            </w:pPr>
          </w:p>
        </w:tc>
      </w:tr>
      <w:tr>
        <w:trPr>
          <w:trHeight w:val="243"/>
        </w:trPr>
        <w:tc>
          <w:tcPr>
            <w:tcW w:w="4920" w:type="dxa"/>
            <w:vAlign w:val="bottom"/>
            <w:gridSpan w:val="2"/>
          </w:tcPr>
          <w:p>
            <w:pPr>
              <w:spacing w:after="0"/>
              <w:rPr>
                <w:sz w:val="21"/>
                <w:szCs w:val="21"/>
                <w:color w:val="auto"/>
              </w:rPr>
            </w:pPr>
          </w:p>
        </w:tc>
        <w:tc>
          <w:tcPr>
            <w:tcW w:w="18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loan losses</w:t>
            </w:r>
          </w:p>
        </w:tc>
        <w:tc>
          <w:tcPr>
            <w:tcW w:w="18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3"/>
              </w:rPr>
              <w:t>7(d)</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(28,439)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4,243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w w:val="89"/>
              </w:rPr>
              <w:t>Net interest and dividend income after provision for loan losses</w:t>
            </w:r>
          </w:p>
        </w:tc>
        <w:tc>
          <w:tcPr>
            <w:tcW w:w="18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605,535</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502,767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445,629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18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Banking services commissions</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23</w:t>
            </w:r>
          </w:p>
        </w:tc>
        <w:tc>
          <w:tcPr>
            <w:tcW w:w="1380" w:type="dxa"/>
            <w:vAlign w:val="bottom"/>
          </w:tcPr>
          <w:p>
            <w:pPr>
              <w:jc w:val="right"/>
              <w:spacing w:after="0"/>
              <w:rPr>
                <w:sz w:val="20"/>
                <w:szCs w:val="20"/>
                <w:color w:val="auto"/>
              </w:rPr>
            </w:pPr>
            <w:r>
              <w:rPr>
                <w:rFonts w:ascii="Arial" w:cs="Arial" w:eastAsia="Arial" w:hAnsi="Arial"/>
                <w:sz w:val="18"/>
                <w:szCs w:val="18"/>
                <w:color w:val="auto"/>
              </w:rPr>
              <w:t>324,761</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243,778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206,163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8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61,778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41,638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29,286</w:t>
            </w:r>
          </w:p>
        </w:tc>
        <w:tc>
          <w:tcPr>
            <w:tcW w:w="0" w:type="dxa"/>
            <w:vAlign w:val="bottom"/>
          </w:tcPr>
          <w:p>
            <w:pPr>
              <w:spacing w:after="0"/>
              <w:rPr>
                <w:sz w:val="1"/>
                <w:szCs w:val="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Net gain on sales of securities</w:t>
            </w:r>
          </w:p>
        </w:tc>
        <w:tc>
          <w:tcPr>
            <w:tcW w:w="18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41,359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27,281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Net gain on financial assets and liabilities designated at fair value</w:t>
            </w:r>
          </w:p>
        </w:tc>
        <w:tc>
          <w:tcPr>
            <w:tcW w:w="18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through profit and loss</w:t>
            </w:r>
          </w:p>
        </w:tc>
        <w:tc>
          <w:tcPr>
            <w:tcW w:w="18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3"/>
              </w:rPr>
              <w:t>8(b)</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65,088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3,521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26</w:t>
            </w:r>
          </w:p>
        </w:tc>
        <w:tc>
          <w:tcPr>
            <w:tcW w:w="1380" w:type="dxa"/>
            <w:vAlign w:val="bottom"/>
          </w:tcPr>
          <w:p>
            <w:pPr>
              <w:jc w:val="right"/>
              <w:spacing w:after="0"/>
              <w:rPr>
                <w:sz w:val="20"/>
                <w:szCs w:val="20"/>
                <w:color w:val="auto"/>
              </w:rPr>
            </w:pPr>
            <w:r>
              <w:rPr>
                <w:rFonts w:ascii="Arial" w:cs="Arial" w:eastAsia="Arial" w:hAnsi="Arial"/>
                <w:sz w:val="18"/>
                <w:szCs w:val="18"/>
                <w:color w:val="auto"/>
              </w:rPr>
              <w:t>24,934</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22,676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517,920</w:t>
            </w:r>
          </w:p>
        </w:tc>
        <w:tc>
          <w:tcPr>
            <w:tcW w:w="220" w:type="dxa"/>
            <w:vAlign w:val="bottom"/>
            <w:shd w:val="clear" w:color="auto" w:fill="CCFFCC"/>
          </w:tcPr>
          <w:p>
            <w:pPr>
              <w:spacing w:after="0"/>
              <w:rPr>
                <w:sz w:val="20"/>
                <w:szCs w:val="20"/>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338,894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265,985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premiums and claims</w:t>
      </w:r>
    </w:p>
    <w:p>
      <w:pPr>
        <w:sectPr>
          <w:pgSz w:w="11900" w:h="16838" w:orient="portrait"/>
          <w:cols w:equalWidth="0" w:num="1">
            <w:col w:w="11420"/>
          </w:cols>
          <w:pgMar w:left="240" w:top="364"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Net premiums earned</w:t>
      </w:r>
    </w:p>
    <w:p>
      <w:pPr>
        <w:spacing w:after="0" w:line="3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Net claims incurred for property and casualty insurance contracts Net claims incurred for life and health insurance contracts</w:t>
      </w:r>
    </w:p>
    <w:p>
      <w:pPr>
        <w:spacing w:after="0"/>
        <w:rPr>
          <w:sz w:val="20"/>
          <w:szCs w:val="20"/>
          <w:color w:val="auto"/>
        </w:rPr>
      </w:pPr>
      <w:r>
        <w:rPr>
          <w:rFonts w:ascii="Arial" w:cs="Arial" w:eastAsia="Arial" w:hAnsi="Arial"/>
          <w:sz w:val="18"/>
          <w:szCs w:val="18"/>
          <w:b w:val="1"/>
          <w:bCs w:val="1"/>
          <w:color w:val="auto"/>
        </w:rPr>
        <w:t>Total premiums earned less claims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ind w:right="670"/>
              <w:spacing w:after="0"/>
              <w:rPr>
                <w:sz w:val="20"/>
                <w:szCs w:val="20"/>
                <w:color w:val="auto"/>
              </w:rPr>
            </w:pPr>
            <w:r>
              <w:rPr>
                <w:rFonts w:ascii="Arial" w:cs="Arial" w:eastAsia="Arial" w:hAnsi="Arial"/>
                <w:sz w:val="18"/>
                <w:szCs w:val="18"/>
                <w:color w:val="auto"/>
              </w:rPr>
              <w:t>24</w:t>
            </w:r>
          </w:p>
        </w:tc>
        <w:tc>
          <w:tcPr>
            <w:tcW w:w="1400" w:type="dxa"/>
            <w:vAlign w:val="bottom"/>
          </w:tcPr>
          <w:p>
            <w:pPr>
              <w:jc w:val="right"/>
              <w:spacing w:after="0"/>
              <w:rPr>
                <w:sz w:val="20"/>
                <w:szCs w:val="20"/>
                <w:color w:val="auto"/>
              </w:rPr>
            </w:pPr>
            <w:r>
              <w:rPr>
                <w:rFonts w:ascii="Arial" w:cs="Arial" w:eastAsia="Arial" w:hAnsi="Arial"/>
                <w:sz w:val="18"/>
                <w:szCs w:val="18"/>
                <w:color w:val="auto"/>
              </w:rPr>
              <w:t>297,272</w:t>
            </w: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251,261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218,955</w:t>
            </w:r>
          </w:p>
        </w:tc>
      </w:tr>
      <w:tr>
        <w:trPr>
          <w:trHeight w:val="243"/>
        </w:trPr>
        <w:tc>
          <w:tcPr>
            <w:tcW w:w="1480" w:type="dxa"/>
            <w:vAlign w:val="bottom"/>
          </w:tcPr>
          <w:p>
            <w:pPr>
              <w:jc w:val="right"/>
              <w:ind w:right="670"/>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(67,689)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(46,587)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(42,569)</w:t>
            </w:r>
          </w:p>
        </w:tc>
      </w:tr>
      <w:tr>
        <w:trPr>
          <w:trHeight w:val="243"/>
        </w:trPr>
        <w:tc>
          <w:tcPr>
            <w:tcW w:w="1480" w:type="dxa"/>
            <w:vAlign w:val="bottom"/>
          </w:tcPr>
          <w:p>
            <w:pPr>
              <w:jc w:val="right"/>
              <w:ind w:right="670"/>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(170,911)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(139,935)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(132,931)</w:t>
            </w:r>
          </w:p>
        </w:tc>
      </w:tr>
      <w:tr>
        <w:trPr>
          <w:trHeight w:val="20"/>
        </w:trPr>
        <w:tc>
          <w:tcPr>
            <w:tcW w:w="148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4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58,672</w:t>
            </w:r>
          </w:p>
        </w:tc>
        <w:tc>
          <w:tcPr>
            <w:tcW w:w="20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64,739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43,455</w:t>
            </w:r>
          </w:p>
        </w:tc>
      </w:tr>
      <w:tr>
        <w:trPr>
          <w:trHeight w:val="20"/>
        </w:trPr>
        <w:tc>
          <w:tcPr>
            <w:tcW w:w="1480" w:type="dxa"/>
            <w:vAlign w:val="bottom"/>
            <w:shd w:val="clear" w:color="auto" w:fill="CCFFCC"/>
          </w:tcPr>
          <w:p>
            <w:pPr>
              <w:spacing w:after="0" w:line="20" w:lineRule="exact"/>
              <w:rPr>
                <w:sz w:val="1"/>
                <w:szCs w:val="1"/>
                <w:color w:val="auto"/>
              </w:rPr>
            </w:pPr>
          </w:p>
        </w:tc>
        <w:tc>
          <w:tcPr>
            <w:tcW w:w="14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-496570</wp:posOffset>
            </wp:positionV>
            <wp:extent cx="72466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-179705</wp:posOffset>
            </wp:positionV>
            <wp:extent cx="7246620"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580"/>
            <w:col w:w="6140"/>
          </w:cols>
          <w:pgMar w:left="240" w:top="364"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22"/>
          <w:szCs w:val="22"/>
          <w:color w:val="auto"/>
        </w:rPr>
        <w:t xml:space="preserve">Consolidated income statements </w:t>
      </w:r>
      <w:r>
        <w:rPr>
          <w:rFonts w:ascii="Arial" w:cs="Arial" w:eastAsia="Arial" w:hAnsi="Arial"/>
          <w:sz w:val="18"/>
          <w:szCs w:val="18"/>
          <w:color w:val="auto"/>
        </w:rPr>
        <w:t>(continued)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300" w:type="dxa"/>
            <w:vAlign w:val="bottom"/>
          </w:tcPr>
          <w:p>
            <w:pPr>
              <w:ind w:left="980"/>
              <w:spacing w:after="0"/>
              <w:rPr>
                <w:sz w:val="20"/>
                <w:szCs w:val="20"/>
                <w:color w:val="auto"/>
              </w:rPr>
            </w:pPr>
            <w:r>
              <w:rPr>
                <w:rFonts w:ascii="Arial" w:cs="Arial" w:eastAsia="Arial" w:hAnsi="Arial"/>
                <w:sz w:val="18"/>
                <w:szCs w:val="18"/>
                <w:b w:val="1"/>
                <w:bCs w:val="1"/>
                <w:color w:val="auto"/>
              </w:rPr>
              <w:t>Note</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1"/>
                <w:szCs w:val="21"/>
                <w:color w:val="auto"/>
              </w:rPr>
            </w:pPr>
          </w:p>
        </w:tc>
        <w:tc>
          <w:tcPr>
            <w:tcW w:w="2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23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8"/>
                <w:szCs w:val="18"/>
                <w:color w:val="auto"/>
              </w:rPr>
              <w:t>Salaries and employees benefits</w:t>
            </w:r>
          </w:p>
        </w:tc>
        <w:tc>
          <w:tcPr>
            <w:tcW w:w="230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(409,037)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(303,332)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(236,347)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23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(206,966)</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(172,304)</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(138,294)</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ind w:left="660"/>
              <w:spacing w:after="0"/>
              <w:rPr>
                <w:sz w:val="20"/>
                <w:szCs w:val="20"/>
                <w:color w:val="auto"/>
              </w:rPr>
            </w:pPr>
            <w:r>
              <w:rPr>
                <w:rFonts w:ascii="Arial" w:cs="Arial" w:eastAsia="Arial" w:hAnsi="Arial"/>
                <w:sz w:val="18"/>
                <w:szCs w:val="18"/>
                <w:color w:val="auto"/>
              </w:rPr>
              <w:t>10(a) and 12(a)</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(51,013)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(50,317)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assets seized</w:t>
            </w:r>
          </w:p>
        </w:tc>
        <w:tc>
          <w:tcPr>
            <w:tcW w:w="230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90"/>
              </w:rPr>
              <w:t>11(b)</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(3,057)</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(6,387)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(16,959)</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8"/>
                <w:szCs w:val="18"/>
                <w:color w:val="auto"/>
              </w:rPr>
              <w:t>Merger expenses</w:t>
            </w:r>
          </w:p>
        </w:tc>
        <w:tc>
          <w:tcPr>
            <w:tcW w:w="2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(5,706)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26</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(71,999)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(52,718)</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(46,745)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CCFFCC"/>
          </w:tcPr>
          <w:p>
            <w:pPr>
              <w:spacing w:after="0" w:line="20" w:lineRule="exact"/>
              <w:rPr>
                <w:sz w:val="1"/>
                <w:szCs w:val="1"/>
                <w:color w:val="auto"/>
              </w:rPr>
            </w:pPr>
          </w:p>
        </w:tc>
        <w:tc>
          <w:tcPr>
            <w:tcW w:w="23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230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(742,072)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(590,764)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(477,073)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shd w:val="clear" w:color="auto" w:fill="CCFFCC"/>
          </w:tcPr>
          <w:p>
            <w:pPr>
              <w:spacing w:after="0"/>
              <w:rPr>
                <w:sz w:val="20"/>
                <w:szCs w:val="20"/>
                <w:color w:val="auto"/>
              </w:rPr>
            </w:pPr>
          </w:p>
        </w:tc>
        <w:tc>
          <w:tcPr>
            <w:tcW w:w="23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2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440,055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315,636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277,996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FFCC"/>
          </w:tcPr>
          <w:p>
            <w:pPr>
              <w:spacing w:after="0"/>
              <w:rPr>
                <w:sz w:val="21"/>
                <w:szCs w:val="21"/>
                <w:color w:val="auto"/>
              </w:rPr>
            </w:pPr>
          </w:p>
        </w:tc>
        <w:tc>
          <w:tcPr>
            <w:tcW w:w="23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2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34,627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15,216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230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90"/>
              </w:rPr>
              <w:t>19(b)</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(102,287)</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(83,587)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(73,546)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CCFFCC"/>
          </w:tcPr>
          <w:p>
            <w:pPr>
              <w:spacing w:after="0" w:line="20" w:lineRule="exact"/>
              <w:rPr>
                <w:sz w:val="1"/>
                <w:szCs w:val="1"/>
                <w:color w:val="auto"/>
              </w:rPr>
            </w:pPr>
          </w:p>
        </w:tc>
        <w:tc>
          <w:tcPr>
            <w:tcW w:w="23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372,395</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247,265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Attributable to:</w:t>
            </w:r>
          </w:p>
        </w:tc>
        <w:tc>
          <w:tcPr>
            <w:tcW w:w="23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Arial" w:cs="Arial" w:eastAsia="Arial" w:hAnsi="Arial"/>
                <w:sz w:val="18"/>
                <w:szCs w:val="18"/>
                <w:color w:val="auto"/>
              </w:rPr>
              <w:t>Equityholders of Credicorp Ltd.</w:t>
            </w:r>
          </w:p>
        </w:tc>
        <w:tc>
          <w:tcPr>
            <w:tcW w:w="2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350,735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230,013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181,885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230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21,660</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17,252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CCFFCC"/>
          </w:tcPr>
          <w:p>
            <w:pPr>
              <w:spacing w:after="0" w:line="20" w:lineRule="exact"/>
              <w:rPr>
                <w:sz w:val="1"/>
                <w:szCs w:val="1"/>
                <w:color w:val="auto"/>
              </w:rPr>
            </w:pPr>
          </w:p>
        </w:tc>
        <w:tc>
          <w:tcPr>
            <w:tcW w:w="23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372,395</w:t>
            </w: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247,265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40" w:type="dxa"/>
            <w:vAlign w:val="bottom"/>
            <w:shd w:val="clear" w:color="auto" w:fill="CCFFCC"/>
          </w:tcPr>
          <w:p>
            <w:pPr>
              <w:spacing w:after="0" w:line="191" w:lineRule="exact"/>
              <w:rPr>
                <w:sz w:val="20"/>
                <w:szCs w:val="20"/>
                <w:color w:val="auto"/>
              </w:rPr>
            </w:pPr>
            <w:r>
              <w:rPr>
                <w:rFonts w:ascii="Arial" w:cs="Arial" w:eastAsia="Arial" w:hAnsi="Arial"/>
                <w:sz w:val="18"/>
                <w:szCs w:val="18"/>
                <w:b w:val="1"/>
                <w:bCs w:val="1"/>
                <w:color w:val="auto"/>
                <w:w w:val="99"/>
              </w:rPr>
              <w:t>Basic and diluted earnings per share for net income</w:t>
            </w:r>
          </w:p>
        </w:tc>
        <w:tc>
          <w:tcPr>
            <w:tcW w:w="2300" w:type="dxa"/>
            <w:vAlign w:val="bottom"/>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attributable to equity holders of Credicorp Ltd. (in</w:t>
            </w:r>
          </w:p>
        </w:tc>
        <w:tc>
          <w:tcPr>
            <w:tcW w:w="23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4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United States dollars)</w:t>
            </w:r>
          </w:p>
        </w:tc>
        <w:tc>
          <w:tcPr>
            <w:tcW w:w="230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27</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FFCC"/>
            </w:tcBorders>
            <w:shd w:val="clear" w:color="auto" w:fill="CCFFCC"/>
          </w:tcPr>
          <w:p>
            <w:pPr>
              <w:spacing w:after="0" w:line="20" w:lineRule="exact"/>
              <w:rPr>
                <w:sz w:val="1"/>
                <w:szCs w:val="1"/>
                <w:color w:val="auto"/>
              </w:rPr>
            </w:pPr>
          </w:p>
        </w:tc>
        <w:tc>
          <w:tcPr>
            <w:tcW w:w="230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2007, 2006 and 2005</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1"/>
                <w:szCs w:val="11"/>
                <w:b w:val="1"/>
                <w:bCs w:val="1"/>
                <w:color w:val="auto"/>
                <w:w w:val="89"/>
              </w:rPr>
              <w:t>Attributable to the equity holders of Credicorp</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shares issued,</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Capital</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Treasury</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Other</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Retained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Minority</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note 27</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stock</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stock</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surplus</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Reserves</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9"/>
              </w:rPr>
              <w:t>reserves</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earnings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interest</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net 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w w:val="86"/>
              </w:rPr>
              <w:t>(In thousands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1"/>
                <w:szCs w:val="11"/>
                <w:color w:val="auto"/>
                <w:w w:val="96"/>
              </w:rPr>
              <w:t>units)</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1"/>
                <w:szCs w:val="11"/>
                <w:b w:val="1"/>
                <w:bCs w:val="1"/>
                <w:color w:val="auto"/>
              </w:rPr>
              <w:t>Balances as of January 1</w:t>
            </w:r>
            <w:r>
              <w:rPr>
                <w:rFonts w:ascii="Arial" w:cs="Arial" w:eastAsia="Arial" w:hAnsi="Arial"/>
                <w:sz w:val="17"/>
                <w:szCs w:val="17"/>
                <w:b w:val="1"/>
                <w:bCs w:val="1"/>
                <w:color w:val="auto"/>
                <w:vertAlign w:val="superscript"/>
              </w:rPr>
              <w:t>st</w:t>
            </w:r>
            <w:r>
              <w:rPr>
                <w:rFonts w:ascii="Arial" w:cs="Arial" w:eastAsia="Arial" w:hAnsi="Arial"/>
                <w:sz w:val="11"/>
                <w:szCs w:val="11"/>
                <w:b w:val="1"/>
                <w:bCs w:val="1"/>
                <w:color w:val="auto"/>
              </w:rPr>
              <w:t>, 2005</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94,382</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471,912</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(73,107)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140,693</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269,527</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76,131</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180,041</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1,065,197</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85,253</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1,150,450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20"/>
                <w:szCs w:val="20"/>
                <w:color w:val="auto"/>
              </w:rPr>
            </w:pPr>
            <w:r>
              <w:rPr>
                <w:rFonts w:ascii="Arial" w:cs="Arial" w:eastAsia="Arial" w:hAnsi="Arial"/>
                <w:sz w:val="11"/>
                <w:szCs w:val="11"/>
                <w:b w:val="1"/>
                <w:bCs w:val="1"/>
                <w:color w:val="auto"/>
              </w:rPr>
              <w:t>Changes in equity for 2005 -</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w w:val="89"/>
              </w:rPr>
              <w:t>Net unrealized gain from investments available-for-sale, note 6(c) and 18(c)</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7,121</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7,121</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4,764</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11,885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20" w:type="dxa"/>
            <w:vAlign w:val="bottom"/>
          </w:tcPr>
          <w:p>
            <w:pPr>
              <w:spacing w:after="0" w:line="125" w:lineRule="exact"/>
              <w:rPr>
                <w:sz w:val="20"/>
                <w:szCs w:val="20"/>
                <w:color w:val="auto"/>
              </w:rPr>
            </w:pPr>
            <w:r>
              <w:rPr>
                <w:rFonts w:ascii="Arial" w:cs="Arial" w:eastAsia="Arial" w:hAnsi="Arial"/>
                <w:sz w:val="11"/>
                <w:szCs w:val="11"/>
                <w:color w:val="auto"/>
                <w:w w:val="96"/>
              </w:rPr>
              <w:t>Transfer of net realized gain from investments available-for-sale to the</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ind w:left="160"/>
              <w:spacing w:after="0"/>
              <w:rPr>
                <w:sz w:val="20"/>
                <w:szCs w:val="20"/>
                <w:color w:val="auto"/>
              </w:rPr>
            </w:pPr>
            <w:r>
              <w:rPr>
                <w:rFonts w:ascii="Arial" w:cs="Arial" w:eastAsia="Arial" w:hAnsi="Arial"/>
                <w:sz w:val="11"/>
                <w:szCs w:val="11"/>
                <w:color w:val="auto"/>
              </w:rPr>
              <w:t>income statement, net of realized loss, note 6(c) and 18(c)</w:t>
            </w: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(1,572)</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(1,572)</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(165)</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(1,737)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rPr>
              <w:t>Net gain on cash flow hedge, note 18(c) and note 21(d)</w:t>
            </w:r>
          </w:p>
        </w:tc>
        <w:tc>
          <w:tcPr>
            <w:tcW w:w="1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1,622</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1,622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1,622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20" w:type="dxa"/>
            <w:vAlign w:val="bottom"/>
          </w:tcPr>
          <w:p>
            <w:pPr>
              <w:spacing w:after="0"/>
              <w:rPr>
                <w:sz w:val="20"/>
                <w:szCs w:val="20"/>
                <w:color w:val="auto"/>
              </w:rPr>
            </w:pPr>
            <w:r>
              <w:rPr>
                <w:rFonts w:ascii="Arial" w:cs="Arial" w:eastAsia="Arial" w:hAnsi="Arial"/>
                <w:sz w:val="11"/>
                <w:szCs w:val="11"/>
                <w:color w:val="auto"/>
              </w:rPr>
              <w:t>Income for the year recognized directly in equity</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7,171</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7,171</w:t>
            </w:r>
          </w:p>
        </w:tc>
        <w:tc>
          <w:tcPr>
            <w:tcW w:w="660" w:type="dxa"/>
            <w:vAlign w:val="bottom"/>
          </w:tcPr>
          <w:p>
            <w:pPr>
              <w:jc w:val="right"/>
              <w:spacing w:after="0"/>
              <w:rPr>
                <w:sz w:val="20"/>
                <w:szCs w:val="20"/>
                <w:color w:val="auto"/>
              </w:rPr>
            </w:pPr>
            <w:r>
              <w:rPr>
                <w:rFonts w:ascii="Arial" w:cs="Arial" w:eastAsia="Arial" w:hAnsi="Arial"/>
                <w:sz w:val="11"/>
                <w:szCs w:val="11"/>
                <w:color w:val="auto"/>
              </w:rPr>
              <w:t>4,599</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11,770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rPr>
              <w:t>Net income</w:t>
            </w:r>
          </w:p>
        </w:tc>
        <w:tc>
          <w:tcPr>
            <w:tcW w:w="120" w:type="dxa"/>
            <w:vAlign w:val="bottom"/>
            <w:shd w:val="clear" w:color="auto" w:fill="CCFFCC"/>
          </w:tcPr>
          <w:p>
            <w:pPr>
              <w:spacing w:after="0"/>
              <w:rPr>
                <w:sz w:val="13"/>
                <w:szCs w:val="13"/>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181,885</w:t>
            </w:r>
          </w:p>
        </w:tc>
        <w:tc>
          <w:tcPr>
            <w:tcW w:w="12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181,885</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12,968</w:t>
            </w:r>
          </w:p>
        </w:tc>
        <w:tc>
          <w:tcPr>
            <w:tcW w:w="12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194,853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20" w:type="dxa"/>
            <w:vAlign w:val="bottom"/>
          </w:tcPr>
          <w:p>
            <w:pPr>
              <w:spacing w:after="0"/>
              <w:rPr>
                <w:sz w:val="20"/>
                <w:szCs w:val="20"/>
                <w:color w:val="auto"/>
              </w:rPr>
            </w:pPr>
            <w:r>
              <w:rPr>
                <w:rFonts w:ascii="Arial" w:cs="Arial" w:eastAsia="Arial" w:hAnsi="Arial"/>
                <w:sz w:val="11"/>
                <w:szCs w:val="11"/>
                <w:color w:val="auto"/>
              </w:rPr>
              <w:t>Total recognized income for the period</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7,171</w:t>
            </w:r>
          </w:p>
        </w:tc>
        <w:tc>
          <w:tcPr>
            <w:tcW w:w="680" w:type="dxa"/>
            <w:vAlign w:val="bottom"/>
          </w:tcPr>
          <w:p>
            <w:pPr>
              <w:jc w:val="right"/>
              <w:spacing w:after="0"/>
              <w:rPr>
                <w:sz w:val="20"/>
                <w:szCs w:val="20"/>
                <w:color w:val="auto"/>
              </w:rPr>
            </w:pPr>
            <w:r>
              <w:rPr>
                <w:rFonts w:ascii="Arial" w:cs="Arial" w:eastAsia="Arial" w:hAnsi="Arial"/>
                <w:sz w:val="11"/>
                <w:szCs w:val="11"/>
                <w:color w:val="auto"/>
              </w:rPr>
              <w:t>181,885</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189,056</w:t>
            </w:r>
          </w:p>
        </w:tc>
        <w:tc>
          <w:tcPr>
            <w:tcW w:w="660" w:type="dxa"/>
            <w:vAlign w:val="bottom"/>
          </w:tcPr>
          <w:p>
            <w:pPr>
              <w:jc w:val="right"/>
              <w:spacing w:after="0"/>
              <w:rPr>
                <w:sz w:val="20"/>
                <w:szCs w:val="20"/>
                <w:color w:val="auto"/>
              </w:rPr>
            </w:pPr>
            <w:r>
              <w:rPr>
                <w:rFonts w:ascii="Arial" w:cs="Arial" w:eastAsia="Arial" w:hAnsi="Arial"/>
                <w:sz w:val="11"/>
                <w:szCs w:val="11"/>
                <w:color w:val="auto"/>
              </w:rPr>
              <w:t>17,567</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206,623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rPr>
              <w:t>Cash dividends, note 18(d)</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(63,810)</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(63,810)</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(63,810)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1"/>
                <w:szCs w:val="11"/>
                <w:color w:val="auto"/>
              </w:rPr>
              <w:t>Dividends of subsidiaries and other</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(1,305)</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(1,308)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Balances as of December 31, 2005 carried forward</w:t>
            </w:r>
          </w:p>
        </w:tc>
        <w:tc>
          <w:tcPr>
            <w:tcW w:w="12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94,382</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471,912</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(73,107)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140,693</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269,527</w:t>
            </w: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83,302</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298,113</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1,190,440</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101,515</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1,291,955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spacing w:after="0"/>
              <w:rPr>
                <w:sz w:val="20"/>
                <w:szCs w:val="20"/>
                <w:color w:val="auto"/>
              </w:rPr>
            </w:pPr>
            <w:r>
              <w:rPr>
                <w:rFonts w:ascii="Arial" w:cs="Arial" w:eastAsia="Arial" w:hAnsi="Arial"/>
                <w:sz w:val="11"/>
                <w:szCs w:val="11"/>
                <w:b w:val="1"/>
                <w:bCs w:val="1"/>
                <w:color w:val="auto"/>
              </w:rPr>
              <w:t>Changes in equity for 2006 -</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w w:val="89"/>
              </w:rPr>
              <w:t>Net unrealized gain from investments available-for-sale, note 6(c) and 18(c)</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69,411</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69,411</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20,728</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90,139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20" w:type="dxa"/>
            <w:vAlign w:val="bottom"/>
          </w:tcPr>
          <w:p>
            <w:pPr>
              <w:spacing w:after="0" w:line="125" w:lineRule="exact"/>
              <w:rPr>
                <w:sz w:val="20"/>
                <w:szCs w:val="20"/>
                <w:color w:val="auto"/>
              </w:rPr>
            </w:pPr>
            <w:r>
              <w:rPr>
                <w:rFonts w:ascii="Arial" w:cs="Arial" w:eastAsia="Arial" w:hAnsi="Arial"/>
                <w:sz w:val="11"/>
                <w:szCs w:val="11"/>
                <w:color w:val="auto"/>
                <w:w w:val="96"/>
              </w:rPr>
              <w:t>Transfer of net realized gain from investments available-for-sale to the</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ind w:left="160"/>
              <w:spacing w:after="0"/>
              <w:rPr>
                <w:sz w:val="20"/>
                <w:szCs w:val="20"/>
                <w:color w:val="auto"/>
              </w:rPr>
            </w:pPr>
            <w:r>
              <w:rPr>
                <w:rFonts w:ascii="Arial" w:cs="Arial" w:eastAsia="Arial" w:hAnsi="Arial"/>
                <w:sz w:val="11"/>
                <w:szCs w:val="11"/>
                <w:color w:val="auto"/>
              </w:rPr>
              <w:t>income statement, net of realized loss, note 6(c) and 18(c)</w:t>
            </w: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(6,620)</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(6,620)</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(379)</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(6,999)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rPr>
              <w:t>Net gain on cash flow hedge, note 18(c) and 21(d)</w:t>
            </w:r>
          </w:p>
        </w:tc>
        <w:tc>
          <w:tcPr>
            <w:tcW w:w="12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1,316</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1,316</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320" w:type="dxa"/>
            <w:vAlign w:val="bottom"/>
          </w:tcPr>
          <w:p>
            <w:pPr>
              <w:spacing w:after="0"/>
              <w:rPr>
                <w:sz w:val="20"/>
                <w:szCs w:val="20"/>
                <w:color w:val="auto"/>
              </w:rPr>
            </w:pPr>
            <w:r>
              <w:rPr>
                <w:rFonts w:ascii="Arial" w:cs="Arial" w:eastAsia="Arial" w:hAnsi="Arial"/>
                <w:sz w:val="11"/>
                <w:szCs w:val="11"/>
                <w:color w:val="auto"/>
              </w:rPr>
              <w:t>Income for the year recognized directly in equity</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64,107</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64,107</w:t>
            </w:r>
          </w:p>
        </w:tc>
        <w:tc>
          <w:tcPr>
            <w:tcW w:w="660" w:type="dxa"/>
            <w:vAlign w:val="bottom"/>
          </w:tcPr>
          <w:p>
            <w:pPr>
              <w:jc w:val="right"/>
              <w:spacing w:after="0"/>
              <w:rPr>
                <w:sz w:val="20"/>
                <w:szCs w:val="20"/>
                <w:color w:val="auto"/>
              </w:rPr>
            </w:pPr>
            <w:r>
              <w:rPr>
                <w:rFonts w:ascii="Arial" w:cs="Arial" w:eastAsia="Arial" w:hAnsi="Arial"/>
                <w:sz w:val="11"/>
                <w:szCs w:val="11"/>
                <w:color w:val="auto"/>
              </w:rPr>
              <w:t>20,349</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84,456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rPr>
              <w:t>Net income</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230,013</w:t>
            </w:r>
          </w:p>
        </w:tc>
        <w:tc>
          <w:tcPr>
            <w:tcW w:w="12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230,013</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17,252</w:t>
            </w:r>
          </w:p>
        </w:tc>
        <w:tc>
          <w:tcPr>
            <w:tcW w:w="12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247,265</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332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1"/>
                <w:szCs w:val="11"/>
                <w:color w:val="auto"/>
              </w:rPr>
              <w:t>Total recognized income for the period</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64,107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230,013</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294,120</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37,601</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331,721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20" w:type="dxa"/>
            <w:vAlign w:val="bottom"/>
          </w:tcPr>
          <w:p>
            <w:pPr>
              <w:spacing w:after="0"/>
              <w:rPr>
                <w:sz w:val="20"/>
                <w:szCs w:val="20"/>
                <w:color w:val="auto"/>
              </w:rPr>
            </w:pPr>
            <w:r>
              <w:rPr>
                <w:rFonts w:ascii="Arial" w:cs="Arial" w:eastAsia="Arial" w:hAnsi="Arial"/>
                <w:sz w:val="11"/>
                <w:szCs w:val="11"/>
                <w:color w:val="auto"/>
              </w:rPr>
              <w:t>Transfer of retained earnings to reserves, note 18(c)</w:t>
            </w: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210,375</w:t>
            </w:r>
          </w:p>
        </w:tc>
        <w:tc>
          <w:tcPr>
            <w:tcW w:w="10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(210,375)</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 xml:space="preserve">Consolidated statements of changes in equity </w:t>
      </w:r>
      <w:r>
        <w:rPr>
          <w:rFonts w:ascii="Arial" w:cs="Arial" w:eastAsia="Arial" w:hAnsi="Arial"/>
          <w:sz w:val="18"/>
          <w:szCs w:val="18"/>
          <w:color w:val="auto"/>
        </w:rPr>
        <w:t>(continue)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1"/>
                <w:szCs w:val="11"/>
                <w:color w:val="auto"/>
                <w:w w:val="90"/>
              </w:rPr>
              <w:t>Attributable to the equity holders of Credicorp</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shares issued,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Treasury</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Other</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Retained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Minority</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note 27</w:t>
            </w: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3"/>
              </w:rPr>
              <w:t>stock</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stock</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surplus</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Reserves</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9"/>
              </w:rPr>
              <w:t>reserves</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earnings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interest</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net 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1"/>
                <w:szCs w:val="11"/>
                <w:color w:val="auto"/>
                <w:w w:val="89"/>
              </w:rPr>
              <w:t>(In thousands of units)</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color w:val="auto"/>
              </w:rPr>
              <w:t>Cash dividends, note 18(d)</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(87,738)</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(87,738)</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(87,738)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1"/>
                <w:szCs w:val="11"/>
                <w:color w:val="auto"/>
              </w:rPr>
              <w:t>Dividends of subsidiaries and other</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(2,170)</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(2,170)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Balances as of December 31, 2006 carried forward</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94,382</w:t>
            </w: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(73,107)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140,693</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479,902</w:t>
            </w: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147,409</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230,013</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1,396,822</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136,946</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1,533,768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Changes in equity for 2007-</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60" w:type="dxa"/>
            <w:vAlign w:val="bottom"/>
          </w:tcPr>
          <w:p>
            <w:pPr>
              <w:spacing w:after="0" w:line="125" w:lineRule="exact"/>
              <w:rPr>
                <w:sz w:val="20"/>
                <w:szCs w:val="20"/>
                <w:color w:val="auto"/>
              </w:rPr>
            </w:pPr>
            <w:r>
              <w:rPr>
                <w:rFonts w:ascii="Arial" w:cs="Arial" w:eastAsia="Arial" w:hAnsi="Arial"/>
                <w:sz w:val="11"/>
                <w:szCs w:val="11"/>
                <w:color w:val="auto"/>
                <w:w w:val="92"/>
              </w:rPr>
              <w:t>Net unrealized gain from investments available-for-sale, note 6(c) and</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60" w:type="dxa"/>
            <w:vAlign w:val="bottom"/>
          </w:tcPr>
          <w:p>
            <w:pPr>
              <w:ind w:left="160"/>
              <w:spacing w:after="0"/>
              <w:rPr>
                <w:sz w:val="20"/>
                <w:szCs w:val="20"/>
                <w:color w:val="auto"/>
              </w:rPr>
            </w:pPr>
            <w:r>
              <w:rPr>
                <w:rFonts w:ascii="Arial" w:cs="Arial" w:eastAsia="Arial" w:hAnsi="Arial"/>
                <w:sz w:val="11"/>
                <w:szCs w:val="11"/>
                <w:color w:val="auto"/>
              </w:rPr>
              <w:t>18(c)</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85,129</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85,129</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(426)</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84,703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color w:val="auto"/>
                <w:w w:val="92"/>
              </w:rPr>
              <w:t>Transfer of net realized gain from investments available-for-sale to the</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1"/>
                <w:szCs w:val="11"/>
                <w:color w:val="auto"/>
                <w:w w:val="89"/>
              </w:rPr>
              <w:t>income statement, net of realized loss and impairment, note 6(c) and</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18(c)</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(12,617)</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(12,617)</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(12,617)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1"/>
                <w:szCs w:val="11"/>
                <w:color w:val="auto"/>
              </w:rPr>
              <w:t>Net loss on cash flow hedge, note 18(c) and 21(d)</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(40,371)</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(40,371)</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(40,371)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color w:val="auto"/>
              </w:rPr>
              <w:t>Income for the year recognized directly in equity</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32,141</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32,141</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(426)</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31,715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350,735</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350,735</w:t>
            </w:r>
          </w:p>
        </w:tc>
        <w:tc>
          <w:tcPr>
            <w:tcW w:w="660" w:type="dxa"/>
            <w:vAlign w:val="bottom"/>
          </w:tcPr>
          <w:p>
            <w:pPr>
              <w:jc w:val="right"/>
              <w:spacing w:after="0"/>
              <w:rPr>
                <w:sz w:val="20"/>
                <w:szCs w:val="20"/>
                <w:color w:val="auto"/>
              </w:rPr>
            </w:pPr>
            <w:r>
              <w:rPr>
                <w:rFonts w:ascii="Arial" w:cs="Arial" w:eastAsia="Arial" w:hAnsi="Arial"/>
                <w:sz w:val="11"/>
                <w:szCs w:val="11"/>
                <w:color w:val="auto"/>
              </w:rPr>
              <w:t>21,660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372,395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color w:val="auto"/>
              </w:rPr>
              <w:t>Total recognized income for the period</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32,141</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350,735</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382,876</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21,234</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404,110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20"/>
                <w:szCs w:val="20"/>
                <w:color w:val="auto"/>
              </w:rPr>
            </w:pPr>
            <w:r>
              <w:rPr>
                <w:rFonts w:ascii="Arial" w:cs="Arial" w:eastAsia="Arial" w:hAnsi="Arial"/>
                <w:sz w:val="11"/>
                <w:szCs w:val="11"/>
                <w:color w:val="auto"/>
              </w:rPr>
              <w:t>Transfers of retained earnings to reserves, note 18(c)</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107,316</w:t>
            </w:r>
          </w:p>
        </w:tc>
        <w:tc>
          <w:tcPr>
            <w:tcW w:w="10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(107,316)</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color w:val="auto"/>
              </w:rPr>
              <w:t>Cash dividends, note 18(d)</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(103,690)</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(103,690)</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(103,690)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1"/>
                <w:szCs w:val="11"/>
                <w:color w:val="auto"/>
              </w:rPr>
              <w:t>Dividends of subsidiaries and other</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(18,916)</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(18,915)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Balances as of December 31, 2007</w:t>
            </w:r>
          </w:p>
        </w:tc>
        <w:tc>
          <w:tcPr>
            <w:tcW w:w="100" w:type="dxa"/>
            <w:vAlign w:val="bottom"/>
            <w:shd w:val="clear" w:color="auto" w:fill="CCFFCC"/>
          </w:tcPr>
          <w:p>
            <w:pPr>
              <w:spacing w:after="0"/>
              <w:rPr>
                <w:sz w:val="13"/>
                <w:szCs w:val="13"/>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94,382</w:t>
            </w: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12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(73,107)</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140,693</w:t>
            </w: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587,218</w:t>
            </w:r>
          </w:p>
        </w:tc>
        <w:tc>
          <w:tcPr>
            <w:tcW w:w="10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179,550</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369,743</w:t>
            </w:r>
          </w:p>
        </w:tc>
        <w:tc>
          <w:tcPr>
            <w:tcW w:w="12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1,676,009</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139,264</w:t>
            </w:r>
          </w:p>
        </w:tc>
        <w:tc>
          <w:tcPr>
            <w:tcW w:w="120" w:type="dxa"/>
            <w:vAlign w:val="bottom"/>
            <w:shd w:val="clear" w:color="auto" w:fill="CCFFCC"/>
          </w:tcPr>
          <w:p>
            <w:pPr>
              <w:spacing w:after="0"/>
              <w:rPr>
                <w:sz w:val="13"/>
                <w:szCs w:val="13"/>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1,815,273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cash flows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2007, 2006 and 2005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372,395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247,265</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194,853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(recoveries) for loan losses</w:t>
            </w:r>
          </w:p>
        </w:tc>
        <w:tc>
          <w:tcPr>
            <w:tcW w:w="1380" w:type="dxa"/>
            <w:vAlign w:val="bottom"/>
          </w:tcPr>
          <w:p>
            <w:pPr>
              <w:jc w:val="right"/>
              <w:spacing w:after="0"/>
              <w:rPr>
                <w:sz w:val="20"/>
                <w:szCs w:val="20"/>
                <w:color w:val="auto"/>
              </w:rPr>
            </w:pPr>
            <w:r>
              <w:rPr>
                <w:rFonts w:ascii="Arial" w:cs="Arial" w:eastAsia="Arial" w:hAnsi="Arial"/>
                <w:sz w:val="18"/>
                <w:szCs w:val="18"/>
                <w:color w:val="auto"/>
              </w:rPr>
              <w:t>28,439</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(6,356)</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51,013</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50,317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38,728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380" w:type="dxa"/>
            <w:vAlign w:val="bottom"/>
          </w:tcPr>
          <w:p>
            <w:pPr>
              <w:jc w:val="right"/>
              <w:spacing w:after="0"/>
              <w:rPr>
                <w:sz w:val="20"/>
                <w:szCs w:val="20"/>
                <w:color w:val="auto"/>
              </w:rPr>
            </w:pPr>
            <w:r>
              <w:rPr>
                <w:rFonts w:ascii="Arial" w:cs="Arial" w:eastAsia="Arial" w:hAnsi="Arial"/>
                <w:sz w:val="18"/>
                <w:szCs w:val="18"/>
                <w:color w:val="auto"/>
              </w:rPr>
              <w:t>3,057</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16,959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26</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8,096</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6,461</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5,567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 income tax, note 19(b)</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(14,921)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(4,786)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(11,502)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 available-for-sale</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(41,359)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(27,281)</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(8,965)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w w:val="95"/>
              </w:rPr>
              <w:t>Net gain on financial assets and liabilities designated at fair value through profit and loss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(65,088)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(3,521)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Gain on sales of property, furniture and equipment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Translation result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(34,627)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(15,216)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9,597</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Purchase (sale) of trading securities, net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(5,859)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15,649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22,843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Purchase of loan portfolio, note 2(b)</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(353,769)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(Increase) decrease in loans, net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(2,172,418)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(871,970)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90,521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in other assets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(404,175)</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(100,570)</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(15,062)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Increase in deposits and obligations, net</w:t>
            </w:r>
          </w:p>
        </w:tc>
        <w:tc>
          <w:tcPr>
            <w:tcW w:w="1380" w:type="dxa"/>
            <w:vAlign w:val="bottom"/>
          </w:tcPr>
          <w:p>
            <w:pPr>
              <w:jc w:val="right"/>
              <w:spacing w:after="0"/>
              <w:rPr>
                <w:sz w:val="20"/>
                <w:szCs w:val="20"/>
                <w:color w:val="auto"/>
              </w:rPr>
            </w:pPr>
            <w:r>
              <w:rPr>
                <w:rFonts w:ascii="Arial" w:cs="Arial" w:eastAsia="Arial" w:hAnsi="Arial"/>
                <w:sz w:val="18"/>
                <w:szCs w:val="18"/>
                <w:color w:val="auto"/>
              </w:rPr>
              <w:t>2,269,568</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1,632,960</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648,648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due to banks and correspondents,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875,447</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(455,381)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540,824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Increase in other liabilities,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470,963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114,717</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149,920</w:t>
            </w:r>
          </w:p>
        </w:tc>
        <w:tc>
          <w:tcPr>
            <w:tcW w:w="100" w:type="dxa"/>
            <w:vAlign w:val="bottom"/>
          </w:tcPr>
          <w:p>
            <w:pPr>
              <w:spacing w:after="0"/>
              <w:rPr>
                <w:sz w:val="21"/>
                <w:szCs w:val="21"/>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1,340,489</w:t>
            </w:r>
          </w:p>
        </w:tc>
        <w:tc>
          <w:tcPr>
            <w:tcW w:w="2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590,619</w:t>
            </w: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1,320,931</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Acquisition of subsidiaries net of cash received, note 2(a)</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(140,085)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Disposal of subsidiaries, net of cash disposed, note 2(c)</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17,977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purchase of investments available-for-sale</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(1,541,621)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(433,702)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(712,879)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furniture and equipment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(53,901)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(43,973)</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(48,769)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Pr>
          <w:p>
            <w:pPr>
              <w:spacing w:after="0"/>
              <w:rPr>
                <w:sz w:val="21"/>
                <w:szCs w:val="21"/>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(1,594,571)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(610,214)</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(724,223)</w:t>
            </w:r>
          </w:p>
        </w:tc>
      </w:tr>
      <w:tr>
        <w:trPr>
          <w:trHeight w:val="480"/>
        </w:trPr>
        <w:tc>
          <w:tcPr>
            <w:tcW w:w="6740" w:type="dxa"/>
            <w:vAlign w:val="bottom"/>
            <w:tcBorders>
              <w:top w:val="single" w:sz="8" w:color="CCFFCC"/>
            </w:tcBorders>
          </w:tcPr>
          <w:p>
            <w:pPr>
              <w:ind w:left="5540"/>
              <w:spacing w:after="0"/>
              <w:rPr>
                <w:sz w:val="20"/>
                <w:szCs w:val="20"/>
                <w:color w:val="auto"/>
              </w:rPr>
            </w:pPr>
            <w:r>
              <w:rPr>
                <w:rFonts w:ascii="Arial" w:cs="Arial" w:eastAsia="Arial" w:hAnsi="Arial"/>
                <w:sz w:val="18"/>
                <w:szCs w:val="18"/>
                <w:color w:val="auto"/>
              </w:rPr>
              <w:t>F-11</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67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Consolidated cash flow statements </w:t>
      </w:r>
      <w:r>
        <w:rPr>
          <w:rFonts w:ascii="Arial" w:cs="Arial" w:eastAsia="Arial" w:hAnsi="Arial"/>
          <w:sz w:val="18"/>
          <w:szCs w:val="18"/>
          <w:color w:val="auto"/>
        </w:rPr>
        <w:t>(continued)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Issuance of bonds and subordinated debt</w:t>
            </w:r>
          </w:p>
        </w:tc>
        <w:tc>
          <w:tcPr>
            <w:tcW w:w="1380" w:type="dxa"/>
            <w:vAlign w:val="bottom"/>
          </w:tcPr>
          <w:p>
            <w:pPr>
              <w:jc w:val="right"/>
              <w:spacing w:after="0"/>
              <w:rPr>
                <w:sz w:val="20"/>
                <w:szCs w:val="20"/>
                <w:color w:val="auto"/>
              </w:rPr>
            </w:pPr>
            <w:r>
              <w:rPr>
                <w:rFonts w:ascii="Arial" w:cs="Arial" w:eastAsia="Arial" w:hAnsi="Arial"/>
                <w:sz w:val="18"/>
                <w:szCs w:val="18"/>
                <w:color w:val="auto"/>
              </w:rPr>
              <w:t>256,014</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167,247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74,985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Redemption of bonds and subordinated debt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(75,728)</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(91,925)</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(57,469)</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Increase in borrowed funds</w:t>
            </w:r>
          </w:p>
        </w:tc>
        <w:tc>
          <w:tcPr>
            <w:tcW w:w="1380" w:type="dxa"/>
            <w:vAlign w:val="bottom"/>
          </w:tcPr>
          <w:p>
            <w:pPr>
              <w:jc w:val="right"/>
              <w:spacing w:after="0"/>
              <w:rPr>
                <w:sz w:val="20"/>
                <w:szCs w:val="20"/>
                <w:color w:val="auto"/>
              </w:rPr>
            </w:pPr>
            <w:r>
              <w:rPr>
                <w:rFonts w:ascii="Arial" w:cs="Arial" w:eastAsia="Arial" w:hAnsi="Arial"/>
                <w:sz w:val="18"/>
                <w:szCs w:val="18"/>
                <w:color w:val="auto"/>
              </w:rPr>
              <w:t>499,792</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90,612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348,500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Payments of borrowed funds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dividends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(103,690)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(87,738)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(63,810)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576,388</w:t>
            </w:r>
          </w:p>
        </w:tc>
        <w:tc>
          <w:tcPr>
            <w:tcW w:w="2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78,196</w:t>
            </w:r>
          </w:p>
        </w:tc>
        <w:tc>
          <w:tcPr>
            <w:tcW w:w="220" w:type="dxa"/>
            <w:vAlign w:val="bottom"/>
            <w:tcBorders>
              <w:bottom w:val="single" w:sz="8" w:color="CCFFCC"/>
            </w:tcBorders>
            <w:shd w:val="clear" w:color="auto" w:fill="CCFFCC"/>
          </w:tcPr>
          <w:p>
            <w:pPr>
              <w:spacing w:after="0"/>
              <w:rPr>
                <w:sz w:val="20"/>
                <w:szCs w:val="20"/>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233,706</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Translation gain (loss) on cash and cash equivalents</w:t>
            </w:r>
          </w:p>
        </w:tc>
        <w:tc>
          <w:tcPr>
            <w:tcW w:w="1380" w:type="dxa"/>
            <w:vAlign w:val="bottom"/>
          </w:tcPr>
          <w:p>
            <w:pPr>
              <w:jc w:val="right"/>
              <w:spacing w:after="0"/>
              <w:rPr>
                <w:sz w:val="20"/>
                <w:szCs w:val="20"/>
                <w:color w:val="auto"/>
              </w:rPr>
            </w:pPr>
            <w:r>
              <w:rPr>
                <w:rFonts w:ascii="Arial" w:cs="Arial" w:eastAsia="Arial" w:hAnsi="Arial"/>
                <w:sz w:val="18"/>
                <w:szCs w:val="18"/>
                <w:color w:val="auto"/>
              </w:rPr>
              <w:t>18,029</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14,114</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(15,060)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tcPr>
          <w:p>
            <w:pPr>
              <w:jc w:val="right"/>
              <w:spacing w:after="0"/>
              <w:rPr>
                <w:sz w:val="20"/>
                <w:szCs w:val="20"/>
                <w:color w:val="auto"/>
              </w:rPr>
            </w:pPr>
            <w:r>
              <w:rPr>
                <w:rFonts w:ascii="Arial" w:cs="Arial" w:eastAsia="Arial" w:hAnsi="Arial"/>
                <w:sz w:val="18"/>
                <w:szCs w:val="18"/>
                <w:color w:val="auto"/>
              </w:rPr>
              <w:t>340,335</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72,715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815,354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tcPr>
          <w:p>
            <w:pPr>
              <w:jc w:val="right"/>
              <w:spacing w:after="0"/>
              <w:rPr>
                <w:sz w:val="20"/>
                <w:szCs w:val="20"/>
                <w:color w:val="auto"/>
              </w:rPr>
            </w:pPr>
            <w:r>
              <w:rPr>
                <w:rFonts w:ascii="Arial" w:cs="Arial" w:eastAsia="Arial" w:hAnsi="Arial"/>
                <w:sz w:val="18"/>
                <w:szCs w:val="18"/>
                <w:color w:val="auto"/>
              </w:rPr>
              <w:t>2,733,530</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2,660,815</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1,845,461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tcPr>
          <w:p>
            <w:pPr>
              <w:jc w:val="right"/>
              <w:spacing w:after="0"/>
              <w:rPr>
                <w:sz w:val="20"/>
                <w:szCs w:val="20"/>
                <w:color w:val="auto"/>
              </w:rPr>
            </w:pPr>
            <w:r>
              <w:rPr>
                <w:rFonts w:ascii="Arial" w:cs="Arial" w:eastAsia="Arial" w:hAnsi="Arial"/>
                <w:sz w:val="18"/>
                <w:szCs w:val="18"/>
                <w:color w:val="auto"/>
              </w:rPr>
              <w:t>3,073,865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2,733,530</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2,660,815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415,157</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265,838</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171,495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86,754</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96,284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47,760</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1,106,972</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810,266</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628,508</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and 2006</w:t>
      </w:r>
    </w:p>
    <w:p>
      <w:pPr>
        <w:spacing w:after="0" w:line="264"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66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policy and administration of its subsidiaries. It is also engaged in investing activities.</w:t>
      </w:r>
    </w:p>
    <w:p>
      <w:pPr>
        <w:spacing w:after="0" w:line="237" w:lineRule="exact"/>
        <w:rPr>
          <w:rFonts w:ascii="Arial" w:cs="Arial" w:eastAsia="Arial" w:hAnsi="Arial"/>
          <w:sz w:val="18"/>
          <w:szCs w:val="18"/>
          <w:b w:val="1"/>
          <w:bCs w:val="1"/>
          <w:color w:val="auto"/>
        </w:rPr>
      </w:pPr>
    </w:p>
    <w:p>
      <w:pPr>
        <w:ind w:left="66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Credicorp Ltd., through its banking and non-banking subsidiaries, provides a wide range of financial services and products throughout Peru and in selected international markets. The major subsidiary of the Group is Banco de Crédito del Perú (hereinafter “BCP” or the “Bank”), a Peruvian universal bank. The address of Credicorp’s main office is Claredon House 2 Church Street Hamilton, Bermuda; likewise, the Management and its administration offices are located in Calle Centenario Nº156, La Molina, Lima, Peru.</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both Lima and the New York Stock Exchanges.</w:t>
      </w:r>
    </w:p>
    <w:p>
      <w:pPr>
        <w:spacing w:after="0" w:line="2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as of and for the year ended December 31, 2006 have been</w:t>
      </w:r>
    </w:p>
    <w:p>
      <w:pPr>
        <w:spacing w:after="0" w:line="23"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approved in the General Shareholders’ Meeting of March 30, 2007. The accompanying consolidated financial statements as of and for the year ended December 31, 2007, have been approved by the Board of Directors Meeting of February 27, 2008 and by the General Shareholders’ Meeting of March 28, 2008, without modifications.</w:t>
      </w:r>
    </w:p>
    <w:p>
      <w:pPr>
        <w:spacing w:after="0" w:line="240" w:lineRule="exact"/>
        <w:rPr>
          <w:rFonts w:ascii="Arial" w:cs="Arial" w:eastAsia="Arial" w:hAnsi="Arial"/>
          <w:sz w:val="18"/>
          <w:szCs w:val="18"/>
          <w:b w:val="1"/>
          <w:bCs w:val="1"/>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developments</w:t>
      </w:r>
    </w:p>
    <w:p>
      <w:pPr>
        <w:spacing w:after="0" w:line="27" w:lineRule="exact"/>
        <w:rPr>
          <w:rFonts w:ascii="Arial" w:cs="Arial" w:eastAsia="Arial" w:hAnsi="Arial"/>
          <w:sz w:val="18"/>
          <w:szCs w:val="18"/>
          <w:b w:val="1"/>
          <w:bCs w:val="1"/>
          <w:color w:val="auto"/>
        </w:rPr>
      </w:pPr>
    </w:p>
    <w:p>
      <w:pPr>
        <w:ind w:left="66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During 2007, 2006 and 2005, the Group acquired subsidiaries recorded as business combinations, according to the guidelines of IFRS 3, and sold subsidiary. The descriptions of such transactions are described below:</w:t>
      </w:r>
    </w:p>
    <w:p>
      <w:pPr>
        <w:spacing w:after="0" w:line="23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Acquisition of AFP Unión Vida S.A.-</w:t>
      </w:r>
    </w:p>
    <w:p>
      <w:pPr>
        <w:spacing w:after="0" w:line="23" w:lineRule="exact"/>
        <w:rPr>
          <w:rFonts w:ascii="Arial" w:cs="Arial" w:eastAsia="Arial" w:hAnsi="Arial"/>
          <w:sz w:val="18"/>
          <w:szCs w:val="18"/>
          <w:color w:val="auto"/>
        </w:rPr>
      </w:pPr>
    </w:p>
    <w:p>
      <w:pPr>
        <w:ind w:left="1140" w:right="120"/>
        <w:spacing w:after="0" w:line="254" w:lineRule="auto"/>
        <w:rPr>
          <w:rFonts w:ascii="Arial" w:cs="Arial" w:eastAsia="Arial" w:hAnsi="Arial"/>
          <w:sz w:val="18"/>
          <w:szCs w:val="18"/>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which represented 99.97 of its capital stock and made a Public Offering for the minority shareholders in order to acquire the remaining 0.03 percent of the capital stock. The amount paid for the purchase amounted to approximately US$ 141.5 million.</w:t>
      </w:r>
    </w:p>
    <w:p>
      <w:pPr>
        <w:spacing w:after="0" w:line="244" w:lineRule="exact"/>
        <w:rPr>
          <w:sz w:val="20"/>
          <w:szCs w:val="20"/>
          <w:color w:val="auto"/>
        </w:rPr>
      </w:pPr>
    </w:p>
    <w:p>
      <w:pPr>
        <w:ind w:left="1140" w:right="160"/>
        <w:spacing w:after="0" w:line="280" w:lineRule="auto"/>
        <w:rPr>
          <w:sz w:val="20"/>
          <w:szCs w:val="20"/>
          <w:color w:val="auto"/>
        </w:rPr>
      </w:pPr>
      <w:r>
        <w:rPr>
          <w:rFonts w:ascii="Arial" w:cs="Arial" w:eastAsia="Arial" w:hAnsi="Arial"/>
          <w:sz w:val="18"/>
          <w:szCs w:val="18"/>
          <w:color w:val="auto"/>
        </w:rPr>
        <w:t>At the General Shareholder’s Meeting of Prima AFP, held on September 6, 2006, the merger with AFP Unión Vida S.A. was approved, with effective date of December 1</w:t>
      </w:r>
      <w:r>
        <w:rPr>
          <w:rFonts w:ascii="Arial" w:cs="Arial" w:eastAsia="Arial" w:hAnsi="Arial"/>
          <w:sz w:val="30"/>
          <w:szCs w:val="30"/>
          <w:color w:val="auto"/>
          <w:vertAlign w:val="superscript"/>
        </w:rPr>
        <w:t>st</w:t>
      </w:r>
      <w:r>
        <w:rPr>
          <w:rFonts w:ascii="Arial" w:cs="Arial" w:eastAsia="Arial" w:hAnsi="Arial"/>
          <w:sz w:val="18"/>
          <w:szCs w:val="18"/>
          <w:color w:val="auto"/>
        </w:rPr>
        <w:t>, 2006.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line="286" w:lineRule="auto"/>
        <w:rPr>
          <w:sz w:val="20"/>
          <w:szCs w:val="20"/>
          <w:color w:val="auto"/>
        </w:rPr>
      </w:pPr>
      <w:r>
        <w:rPr>
          <w:rFonts w:ascii="Arial" w:cs="Arial" w:eastAsia="Arial" w:hAnsi="Arial"/>
          <w:sz w:val="17"/>
          <w:szCs w:val="17"/>
          <w:color w:val="auto"/>
        </w:rPr>
        <w:t>The acquisition of AFP Unión Vida S.A. was recorded using the purchase method, as required by IFRS 3, Business Combinations. The assets and liabilities were recorded at their estimated market values at the acquisition date, including the identified intangible assets acquired. The book value and the fair values for the identified assets and liabilities of the entity at acquisition date were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Book value of the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 value</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 of the</w:t>
            </w:r>
          </w:p>
        </w:tc>
      </w:tr>
      <w:tr>
        <w:trPr>
          <w:trHeight w:val="234"/>
        </w:trPr>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entity acquired</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recognition</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entity acquired</w:t>
            </w:r>
          </w:p>
        </w:tc>
      </w:tr>
      <w:tr>
        <w:trPr>
          <w:trHeight w:val="243"/>
        </w:trPr>
        <w:tc>
          <w:tcPr>
            <w:tcW w:w="3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US$(000)</w:t>
            </w:r>
          </w:p>
        </w:tc>
      </w:tr>
      <w:tr>
        <w:trPr>
          <w:trHeight w:val="243"/>
        </w:trPr>
        <w:tc>
          <w:tcPr>
            <w:tcW w:w="3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3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 -</w:t>
            </w:r>
          </w:p>
        </w:tc>
        <w:tc>
          <w:tcPr>
            <w:tcW w:w="180" w:type="dxa"/>
            <w:vAlign w:val="bottom"/>
            <w:shd w:val="clear" w:color="auto" w:fill="CCFFCC"/>
          </w:tcPr>
          <w:p>
            <w:pPr>
              <w:spacing w:after="0"/>
              <w:rPr>
                <w:sz w:val="21"/>
                <w:szCs w:val="21"/>
                <w:color w:val="auto"/>
              </w:rPr>
            </w:pPr>
          </w:p>
        </w:tc>
        <w:tc>
          <w:tcPr>
            <w:tcW w:w="15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1,428</w:t>
            </w:r>
          </w:p>
        </w:tc>
      </w:tr>
      <w:tr>
        <w:trPr>
          <w:trHeight w:val="243"/>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Restricted mutual fund</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32,265</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32,265</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Client relationships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88,378</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88,378</w:t>
            </w:r>
          </w:p>
        </w:tc>
      </w:tr>
      <w:tr>
        <w:trPr>
          <w:trHeight w:val="243"/>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Other Intangibles</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3,424</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9,603</w:t>
            </w:r>
          </w:p>
        </w:tc>
        <w:tc>
          <w:tcPr>
            <w:tcW w:w="1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13,027</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Property, furniture and equipment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2,060</w:t>
            </w:r>
          </w:p>
        </w:tc>
      </w:tr>
      <w:tr>
        <w:trPr>
          <w:trHeight w:val="243"/>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49,047</w:t>
            </w:r>
          </w:p>
        </w:tc>
        <w:tc>
          <w:tcPr>
            <w:tcW w:w="1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49,047</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Other assets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5,605</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5,605</w:t>
            </w:r>
          </w:p>
        </w:tc>
      </w:tr>
      <w:tr>
        <w:trPr>
          <w:trHeight w:val="243"/>
        </w:trPr>
        <w:tc>
          <w:tcPr>
            <w:tcW w:w="34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5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b w:val="1"/>
                <w:bCs w:val="1"/>
                <w:color w:val="auto"/>
              </w:rPr>
              <w:t>Liabilities -</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Trade accounts payable</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4,688</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4,688</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Other accounts payable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5,352</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5,352</w:t>
            </w:r>
          </w:p>
        </w:tc>
      </w:tr>
      <w:tr>
        <w:trPr>
          <w:trHeight w:val="243"/>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FFCC"/>
          </w:tcPr>
          <w:p>
            <w:pPr>
              <w:spacing w:after="0"/>
              <w:rPr>
                <w:sz w:val="21"/>
                <w:szCs w:val="21"/>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7,433</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32,824</w:t>
            </w:r>
          </w:p>
        </w:tc>
        <w:tc>
          <w:tcPr>
            <w:tcW w:w="1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40,257</w:t>
            </w:r>
          </w:p>
        </w:tc>
      </w:tr>
      <w:tr>
        <w:trPr>
          <w:trHeight w:val="20"/>
        </w:trPr>
        <w:tc>
          <w:tcPr>
            <w:tcW w:w="34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Net acquired assets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27,309</w:t>
            </w: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114,204</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141,513(*)</w:t>
            </w:r>
          </w:p>
        </w:tc>
      </w:tr>
      <w:tr>
        <w:trPr>
          <w:trHeight w:val="20"/>
        </w:trPr>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56" w:lineRule="exact"/>
        <w:rPr>
          <w:sz w:val="20"/>
          <w:szCs w:val="20"/>
          <w:color w:val="auto"/>
        </w:rPr>
      </w:pPr>
    </w:p>
    <w:p>
      <w:pPr>
        <w:ind w:left="1620" w:hanging="478"/>
        <w:spacing w:after="0"/>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Cash paid for the acquisition and related direct cost</w:t>
      </w:r>
    </w:p>
    <w:p>
      <w:pPr>
        <w:spacing w:after="0" w:line="333"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The intangible assets recognized correspond mainly to “client relationships” and it has an assigned useful life of 20 years. Management of the Group has valued these intangible assets using the method of “Multiple Excess Earnings Method”. The goodwill generated is attributed to the high profitability of the acquired business and the significant synergies that are expected to be obtained after the acquisition of AFP Unión Vida by the Group, note 12(b).</w:t>
      </w:r>
    </w:p>
    <w:p>
      <w:pPr>
        <w:spacing w:after="0" w:line="241" w:lineRule="exact"/>
        <w:rPr>
          <w:sz w:val="20"/>
          <w:szCs w:val="20"/>
          <w:color w:val="auto"/>
        </w:rPr>
      </w:pPr>
    </w:p>
    <w:p>
      <w:pPr>
        <w:ind w:left="1140" w:right="100"/>
        <w:spacing w:after="0" w:line="342" w:lineRule="auto"/>
        <w:rPr>
          <w:sz w:val="20"/>
          <w:szCs w:val="20"/>
          <w:color w:val="auto"/>
        </w:rPr>
      </w:pPr>
      <w:r>
        <w:rPr>
          <w:rFonts w:ascii="Arial" w:cs="Arial" w:eastAsia="Arial" w:hAnsi="Arial"/>
          <w:sz w:val="16"/>
          <w:szCs w:val="16"/>
          <w:color w:val="auto"/>
        </w:rPr>
        <w:t>In January 2007, the final purchase price determination was completed with the result of the arbitration proceeding between both parties. As result the Group received a reimbursement of approximately US$4.5 million, which has been record as a reduction of the goodwill.</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acquired business (AFP Unión Vida S.A.) has contributed gross revenues to the Group of approximately US$8.0 million and a net loss of</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approximately US$0.4 million for the period between the acquisition date (August 24, 2006) and December 31, 2006. If this acquisition had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been completed at January 1, 2006 and 2005, respectively, the gross revenues (pro-forma) of the Group would have been increased by</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US$27.5 and US$49.9 million, respectively, the net income attributable to Credicorp’s shareholders (pro-forma) would have been increased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by approximately US$2.7 and US$15.6 million, respectively, and the net earning per share (pro-forma), basic and diluted attributable to</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Credicorp’s shareholders would have been increased by US$0.04 and US$0.20, respectively. This information is presented solely for</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comparison purposes and it does not mean to be an indicator of the results that would have been produced in the case the acquisition had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occurred at the beginning of the period or be an indicator of future possible consolidated results.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5" w:right="31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jc w:val="both"/>
        <w:ind w:left="1140" w:right="40"/>
        <w:spacing w:after="0" w:line="342" w:lineRule="auto"/>
        <w:rPr>
          <w:sz w:val="20"/>
          <w:szCs w:val="20"/>
          <w:color w:val="auto"/>
        </w:rPr>
      </w:pPr>
      <w:r>
        <w:rPr>
          <w:rFonts w:ascii="Arial" w:cs="Arial" w:eastAsia="Arial" w:hAnsi="Arial"/>
          <w:sz w:val="16"/>
          <w:szCs w:val="16"/>
          <w:color w:val="auto"/>
        </w:rPr>
        <w:t>As of December 31, 2007, the number of participants in the funds managed by Prima is 1,023,482 (997,963 as December of 31, 2006) and the fair value of the funds under its administration amounts to approximately US$6,405.1 million (US$4,163.4 million as December of 31, 2006).</w:t>
      </w:r>
    </w:p>
    <w:p>
      <w:pPr>
        <w:spacing w:after="0" w:line="178" w:lineRule="exact"/>
        <w:rPr>
          <w:sz w:val="20"/>
          <w:szCs w:val="20"/>
          <w:color w:val="auto"/>
        </w:rPr>
      </w:pPr>
    </w:p>
    <w:p>
      <w:pPr>
        <w:ind w:left="1140" w:hanging="484"/>
        <w:spacing w:after="0"/>
        <w:tabs>
          <w:tab w:leader="none" w:pos="11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Acquisition of the loan portfolio of Bank Boston N.A. Peru Subsidiary -</w:t>
      </w:r>
    </w:p>
    <w:p>
      <w:pPr>
        <w:spacing w:after="0" w:line="23" w:lineRule="exact"/>
        <w:rPr>
          <w:rFonts w:ascii="Arial" w:cs="Arial" w:eastAsia="Arial" w:hAnsi="Arial"/>
          <w:sz w:val="18"/>
          <w:szCs w:val="18"/>
          <w:color w:val="auto"/>
        </w:rPr>
      </w:pPr>
    </w:p>
    <w:p>
      <w:pPr>
        <w:ind w:left="1140" w:right="60"/>
        <w:spacing w:after="0" w:line="273" w:lineRule="auto"/>
        <w:rPr>
          <w:rFonts w:ascii="Arial" w:cs="Arial" w:eastAsia="Arial" w:hAnsi="Arial"/>
          <w:sz w:val="18"/>
          <w:szCs w:val="18"/>
          <w:color w:val="auto"/>
        </w:rPr>
      </w:pPr>
      <w:r>
        <w:rPr>
          <w:rFonts w:ascii="Arial" w:cs="Arial" w:eastAsia="Arial" w:hAnsi="Arial"/>
          <w:sz w:val="17"/>
          <w:szCs w:val="17"/>
          <w:color w:val="auto"/>
        </w:rPr>
        <w:t>On January 2005, the BCP and the Bank of America, principal shareholders of United States Fleet Boston agreed to sell the loans portfolio of the Bank Boston N.A. Peruvian branch and the loan portfolio of Peruvians in United States Fleet Boston N.A. The Group recorded this transaction at the acquisition cost. BCP paid in cash approximately US$353.8 million for the loan portfolio, which comprised commercial loans, mortgage and leasing operations. The acquisition date of the portfolio was January 24, 2005.</w:t>
      </w:r>
    </w:p>
    <w:p>
      <w:pPr>
        <w:spacing w:after="0" w:line="230" w:lineRule="exact"/>
        <w:rPr>
          <w:rFonts w:ascii="Arial" w:cs="Arial" w:eastAsia="Arial" w:hAnsi="Arial"/>
          <w:sz w:val="18"/>
          <w:szCs w:val="18"/>
          <w:color w:val="auto"/>
        </w:rPr>
      </w:pPr>
    </w:p>
    <w:p>
      <w:pPr>
        <w:ind w:left="1140" w:hanging="484"/>
        <w:spacing w:after="0"/>
        <w:tabs>
          <w:tab w:leader="none" w:pos="11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Sale of Banco Tequendama S.A. -</w:t>
      </w:r>
    </w:p>
    <w:p>
      <w:pPr>
        <w:spacing w:after="0" w:line="23" w:lineRule="exact"/>
        <w:rPr>
          <w:rFonts w:ascii="Arial" w:cs="Arial" w:eastAsia="Arial" w:hAnsi="Arial"/>
          <w:sz w:val="18"/>
          <w:szCs w:val="18"/>
          <w:color w:val="auto"/>
        </w:rPr>
      </w:pPr>
    </w:p>
    <w:p>
      <w:pPr>
        <w:ind w:left="1140" w:right="160"/>
        <w:spacing w:after="0" w:line="217" w:lineRule="auto"/>
        <w:rPr>
          <w:rFonts w:ascii="Arial" w:cs="Arial" w:eastAsia="Arial" w:hAnsi="Arial"/>
          <w:sz w:val="18"/>
          <w:szCs w:val="18"/>
          <w:color w:val="auto"/>
        </w:rPr>
      </w:pPr>
      <w:r>
        <w:rPr>
          <w:rFonts w:ascii="Arial" w:cs="Arial" w:eastAsia="Arial" w:hAnsi="Arial"/>
          <w:sz w:val="18"/>
          <w:szCs w:val="18"/>
          <w:color w:val="auto"/>
        </w:rPr>
        <w:t>In March 2005, after the approval of the Colombian authorities, the Group completed the sale transaction of its 99.99 percent interest in its subsidiary Banco Tequendama S.A., for approximately US$32.5 million. The effective date for this transaction was January 1</w:t>
      </w:r>
      <w:r>
        <w:rPr>
          <w:rFonts w:ascii="Arial" w:cs="Arial" w:eastAsia="Arial" w:hAnsi="Arial"/>
          <w:sz w:val="30"/>
          <w:szCs w:val="30"/>
          <w:color w:val="auto"/>
          <w:vertAlign w:val="superscript"/>
        </w:rPr>
        <w:t>st</w:t>
      </w:r>
      <w:r>
        <w:rPr>
          <w:rFonts w:ascii="Arial" w:cs="Arial" w:eastAsia="Arial" w:hAnsi="Arial"/>
          <w:sz w:val="18"/>
          <w:szCs w:val="18"/>
          <w:color w:val="auto"/>
        </w:rPr>
        <w:t>, 2005 and as result of the transaction, the Group did not record any significant gain.</w:t>
      </w:r>
    </w:p>
    <w:p>
      <w:pPr>
        <w:spacing w:after="0" w:line="254"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7" w:lineRule="exact"/>
        <w:rPr>
          <w:rFonts w:ascii="Arial" w:cs="Arial" w:eastAsia="Arial" w:hAnsi="Arial"/>
          <w:sz w:val="18"/>
          <w:szCs w:val="18"/>
          <w:b w:val="1"/>
          <w:bCs w:val="1"/>
          <w:color w:val="auto"/>
        </w:rPr>
      </w:pPr>
    </w:p>
    <w:p>
      <w:pPr>
        <w:ind w:lef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These policies have been consistently applied to all the years presented, unless otherwise stated.</w:t>
      </w:r>
    </w:p>
    <w:p>
      <w:pPr>
        <w:spacing w:after="0" w:line="23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3" w:lineRule="exact"/>
        <w:rPr>
          <w:rFonts w:ascii="Arial" w:cs="Arial" w:eastAsia="Arial" w:hAnsi="Arial"/>
          <w:sz w:val="18"/>
          <w:szCs w:val="18"/>
          <w:color w:val="auto"/>
        </w:rPr>
      </w:pPr>
    </w:p>
    <w:p>
      <w:pPr>
        <w:ind w:left="1140" w:right="40"/>
        <w:spacing w:after="0" w:line="292" w:lineRule="auto"/>
        <w:rPr>
          <w:rFonts w:ascii="Arial" w:cs="Arial" w:eastAsia="Arial" w:hAnsi="Arial"/>
          <w:sz w:val="18"/>
          <w:szCs w:val="18"/>
          <w:color w:val="auto"/>
        </w:rPr>
      </w:pPr>
      <w:r>
        <w:rPr>
          <w:rFonts w:ascii="Arial" w:cs="Arial" w:eastAsia="Arial" w:hAnsi="Arial"/>
          <w:sz w:val="16"/>
          <w:szCs w:val="16"/>
          <w:color w:val="auto"/>
        </w:rPr>
        <w:t>The consolidated financial statements have been prepared in accordance with International Financial Reporting Standards (IFRS) as issued by the International Accounting Standards Board (IASB). The consolidated financial statements have been prepared on a historical cost basis, except for available-for-sale investments, derivative financial instruments and financial assets and financial liabilities designated at fair value through profit or loss, that have been measured at fair value. The consolidated financial statements are presented in United States dollar (U.S. Dollar or US$), and all values are rounded to the nearest US$ thousand, except when otherwise indicated.</w:t>
      </w:r>
    </w:p>
    <w:p>
      <w:pPr>
        <w:spacing w:after="0" w:line="216" w:lineRule="exact"/>
        <w:rPr>
          <w:rFonts w:ascii="Arial" w:cs="Arial" w:eastAsia="Arial" w:hAnsi="Arial"/>
          <w:sz w:val="18"/>
          <w:szCs w:val="18"/>
          <w:color w:val="auto"/>
        </w:rPr>
      </w:pPr>
    </w:p>
    <w:p>
      <w:pPr>
        <w:ind w:left="1140" w:right="240"/>
        <w:spacing w:after="0" w:line="264"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w:t>
      </w:r>
    </w:p>
    <w:p>
      <w:pPr>
        <w:spacing w:after="0" w:line="235" w:lineRule="exact"/>
        <w:rPr>
          <w:rFonts w:ascii="Arial" w:cs="Arial" w:eastAsia="Arial" w:hAnsi="Arial"/>
          <w:sz w:val="18"/>
          <w:szCs w:val="18"/>
          <w:color w:val="auto"/>
        </w:rPr>
      </w:pPr>
    </w:p>
    <w:p>
      <w:pPr>
        <w:ind w:left="1140" w:right="100"/>
        <w:spacing w:after="0" w:line="297" w:lineRule="auto"/>
        <w:rPr>
          <w:rFonts w:ascii="Arial" w:cs="Arial" w:eastAsia="Arial" w:hAnsi="Arial"/>
          <w:sz w:val="18"/>
          <w:szCs w:val="18"/>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assets seized and the valuation of derivatives. The accounting criteria used for each of these items are described somewhere in this note.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accounting policies adopted are consistent with those of the previous year, except that the Group has adopted those new IFRS and revised</w:t>
      </w:r>
    </w:p>
    <w:p>
      <w:pPr>
        <w:spacing w:after="0" w:line="46" w:lineRule="exact"/>
        <w:rPr>
          <w:sz w:val="20"/>
          <w:szCs w:val="20"/>
          <w:color w:val="auto"/>
        </w:rPr>
      </w:pPr>
    </w:p>
    <w:p>
      <w:pPr>
        <w:ind w:left="1140" w:right="340"/>
        <w:spacing w:after="0" w:line="217" w:lineRule="auto"/>
        <w:rPr>
          <w:sz w:val="20"/>
          <w:szCs w:val="20"/>
          <w:color w:val="auto"/>
        </w:rPr>
      </w:pPr>
      <w:r>
        <w:rPr>
          <w:rFonts w:ascii="Arial" w:cs="Arial" w:eastAsia="Arial" w:hAnsi="Arial"/>
          <w:sz w:val="18"/>
          <w:szCs w:val="18"/>
          <w:color w:val="auto"/>
        </w:rPr>
        <w:t>IAS mandatory for years beginning on or after January 1</w:t>
      </w:r>
      <w:r>
        <w:rPr>
          <w:rFonts w:ascii="Arial" w:cs="Arial" w:eastAsia="Arial" w:hAnsi="Arial"/>
          <w:sz w:val="30"/>
          <w:szCs w:val="30"/>
          <w:color w:val="auto"/>
          <w:vertAlign w:val="superscript"/>
        </w:rPr>
        <w:t>st</w:t>
      </w:r>
      <w:r>
        <w:rPr>
          <w:rFonts w:ascii="Arial" w:cs="Arial" w:eastAsia="Arial" w:hAnsi="Arial"/>
          <w:sz w:val="18"/>
          <w:szCs w:val="18"/>
          <w:color w:val="auto"/>
        </w:rPr>
        <w:t>, 2007. The adoption of the new and revised standards did not have a significant effect in the consolidated financial statements of Credicorp and, as result, it has not been necessary to amend the comparative figures. In summary:</w:t>
      </w:r>
    </w:p>
    <w:p>
      <w:pPr>
        <w:spacing w:after="0" w:line="258" w:lineRule="exact"/>
        <w:rPr>
          <w:sz w:val="20"/>
          <w:szCs w:val="20"/>
          <w:color w:val="auto"/>
        </w:rPr>
      </w:pPr>
    </w:p>
    <w:p>
      <w:pPr>
        <w:ind w:left="1620" w:hanging="479"/>
        <w:spacing w:after="0" w:line="257" w:lineRule="auto"/>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IFRS 7, “Financial instruments: Disclosures”, and the complementary amendment to IAS 1, “Presentation of financial statements - Capital disclosures”, introduces new disclosures relating to financial instruments and does not have any impact on the classification and valuation of the group’s financial instruments, or any effect on the net income and the equity of Credicorp and its Subsidiaries. The significant new disclosures required by IFRS 7 have been included in notes 30 and 31; the new disclosures of IAS 1 have been included in note 31.</w:t>
      </w:r>
    </w:p>
    <w:p>
      <w:pPr>
        <w:spacing w:after="0" w:line="242" w:lineRule="exact"/>
        <w:rPr>
          <w:sz w:val="20"/>
          <w:szCs w:val="20"/>
          <w:color w:val="auto"/>
        </w:rPr>
      </w:pPr>
    </w:p>
    <w:p>
      <w:pPr>
        <w:ind w:left="1620" w:right="20" w:hanging="478"/>
        <w:spacing w:after="0" w:line="259" w:lineRule="auto"/>
        <w:tabs>
          <w:tab w:leader="none" w:pos="1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IFRIC 8, “Scope of IFRS 2”, requires IFRS 2 to be applied to any arrangements in which the entity cannot identify specifically some or all of the goods received, in particular where equity instruments are issued for consideration which appears to be less than fair value. Due to the fact that Credicorp does not have this type of transactions, this standard does not have any impact on the Group’s financial statements.</w:t>
      </w:r>
    </w:p>
    <w:p>
      <w:pPr>
        <w:spacing w:after="0" w:line="240" w:lineRule="exact"/>
        <w:rPr>
          <w:rFonts w:ascii="Arial" w:cs="Arial" w:eastAsia="Arial" w:hAnsi="Arial"/>
          <w:sz w:val="18"/>
          <w:szCs w:val="18"/>
          <w:color w:val="auto"/>
        </w:rPr>
      </w:pPr>
    </w:p>
    <w:p>
      <w:pPr>
        <w:ind w:left="1620" w:right="40" w:hanging="478"/>
        <w:spacing w:after="0" w:line="279" w:lineRule="auto"/>
        <w:tabs>
          <w:tab w:leader="none" w:pos="16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IFRIC 9 “Reassessment of Embedded Derivatives”, states that the date to assess the existence of an embedded derivative is the date that an entity first becomes a party to the contract, with reassessment only if there is a change to the contract that significantly modifies the cash flows. As the Group has designated its embedded derivatives as “Financial assets and liabilities at fair value through profit and lost”, the interpretation had no impact on the financial position or performance of the Group.</w:t>
      </w:r>
    </w:p>
    <w:p>
      <w:pPr>
        <w:spacing w:after="0" w:line="225" w:lineRule="exact"/>
        <w:rPr>
          <w:rFonts w:ascii="Arial" w:cs="Arial" w:eastAsia="Arial" w:hAnsi="Arial"/>
          <w:sz w:val="17"/>
          <w:szCs w:val="17"/>
          <w:color w:val="auto"/>
        </w:rPr>
      </w:pPr>
    </w:p>
    <w:p>
      <w:pPr>
        <w:ind w:left="1620" w:right="180" w:hanging="478"/>
        <w:spacing w:after="0" w:line="264" w:lineRule="auto"/>
        <w:tabs>
          <w:tab w:leader="none" w:pos="16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IFRIC 10, “Interim financial reporting and impairment”, prohibits the impairment losses recognized in an interim period for goodwill and investments in equity instruments and in financial assets carried at cost to be reversed at a subsequent interim or annual balance sheet date. This standard does not have any impact on the Group’s financial statements.</w:t>
      </w:r>
    </w:p>
    <w:p>
      <w:pPr>
        <w:spacing w:after="0" w:line="235" w:lineRule="exact"/>
        <w:rPr>
          <w:rFonts w:ascii="Arial" w:cs="Arial" w:eastAsia="Arial" w:hAnsi="Arial"/>
          <w:sz w:val="18"/>
          <w:szCs w:val="18"/>
          <w:color w:val="auto"/>
        </w:rPr>
      </w:pPr>
    </w:p>
    <w:p>
      <w:pPr>
        <w:ind w:left="1140" w:right="9160" w:hanging="484"/>
        <w:spacing w:after="0" w:line="274" w:lineRule="auto"/>
        <w:tabs>
          <w:tab w:leader="none" w:pos="11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Consolidation - Subsidiaries:</w:t>
      </w:r>
    </w:p>
    <w:p>
      <w:pPr>
        <w:ind w:left="1140" w:right="420"/>
        <w:spacing w:after="0" w:line="261" w:lineRule="auto"/>
        <w:rPr>
          <w:rFonts w:ascii="Arial" w:cs="Arial" w:eastAsia="Arial" w:hAnsi="Arial"/>
          <w:sz w:val="17"/>
          <w:szCs w:val="17"/>
          <w:color w:val="auto"/>
        </w:rPr>
      </w:pPr>
      <w:r>
        <w:rPr>
          <w:rFonts w:ascii="Arial" w:cs="Arial" w:eastAsia="Arial" w:hAnsi="Arial"/>
          <w:sz w:val="18"/>
          <w:szCs w:val="18"/>
          <w:color w:val="auto"/>
        </w:rPr>
        <w:t>Subsidiaries are all entities (including special purpose entities) over which the Group has the power to govern the financial and operating policies. This is generally evidenced by a shareholding of more than one half of the voting rights.</w:t>
      </w:r>
    </w:p>
    <w:p>
      <w:pPr>
        <w:spacing w:after="0" w:line="237" w:lineRule="exact"/>
        <w:rPr>
          <w:rFonts w:ascii="Arial" w:cs="Arial" w:eastAsia="Arial" w:hAnsi="Arial"/>
          <w:sz w:val="17"/>
          <w:szCs w:val="17"/>
          <w:color w:val="auto"/>
        </w:rPr>
      </w:pPr>
    </w:p>
    <w:p>
      <w:pPr>
        <w:ind w:left="1140" w:right="260"/>
        <w:spacing w:after="0" w:line="257" w:lineRule="auto"/>
        <w:rPr>
          <w:rFonts w:ascii="Arial" w:cs="Arial" w:eastAsia="Arial" w:hAnsi="Arial"/>
          <w:sz w:val="17"/>
          <w:szCs w:val="17"/>
          <w:color w:val="auto"/>
        </w:rPr>
      </w:pPr>
      <w:r>
        <w:rPr>
          <w:rFonts w:ascii="Arial" w:cs="Arial" w:eastAsia="Arial" w:hAnsi="Arial"/>
          <w:sz w:val="18"/>
          <w:szCs w:val="18"/>
          <w:color w:val="auto"/>
        </w:rPr>
        <w:t>Subsidiaries are fully consolidated from the date on which effective control is transferred to the Group and are no longer consolidated from the date that control ceases. The consolidated financial statements include the assets, liabilities, income and expenses of Credicorp and its Subsidiaries. Inter-company transactions between Group Companies as balances, gains or losses are eliminated. The unrealized gains and losses between companies from the Group are eliminated, except for the losses that indicate an impairment in the value of the asset transferred.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60"/>
        <w:spacing w:after="0" w:line="277" w:lineRule="auto"/>
        <w:rPr>
          <w:sz w:val="20"/>
          <w:szCs w:val="20"/>
          <w:color w:val="auto"/>
        </w:rPr>
      </w:pPr>
      <w:r>
        <w:rPr>
          <w:rFonts w:ascii="Arial" w:cs="Arial" w:eastAsia="Arial" w:hAnsi="Arial"/>
          <w:sz w:val="18"/>
          <w:szCs w:val="18"/>
          <w:color w:val="auto"/>
        </w:rPr>
        <w:t>Accounting policies of subsidiaries have been changed when necessary to ensure consistency with the policies adopted by the Group and the IFRS.</w:t>
      </w:r>
    </w:p>
    <w:p>
      <w:pPr>
        <w:spacing w:after="0" w:line="224" w:lineRule="exact"/>
        <w:rPr>
          <w:sz w:val="20"/>
          <w:szCs w:val="20"/>
          <w:color w:val="auto"/>
        </w:rPr>
      </w:pPr>
    </w:p>
    <w:p>
      <w:pPr>
        <w:ind w:left="1140"/>
        <w:spacing w:after="0" w:line="276" w:lineRule="auto"/>
        <w:rPr>
          <w:sz w:val="20"/>
          <w:szCs w:val="20"/>
          <w:color w:val="auto"/>
        </w:rPr>
      </w:pPr>
      <w:r>
        <w:rPr>
          <w:rFonts w:ascii="Arial" w:cs="Arial" w:eastAsia="Arial" w:hAnsi="Arial"/>
          <w:sz w:val="17"/>
          <w:szCs w:val="17"/>
          <w:color w:val="auto"/>
        </w:rPr>
        <w:t>The Group uses the purchase method of accounting to record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and intangible assets acquired is recorded as goodwill. If the acquisition cost is lower than the fair value of the net asset of the acquired subsidiary, the difference is recognized directly in the consolidated income statement.</w:t>
      </w:r>
    </w:p>
    <w:p>
      <w:pPr>
        <w:spacing w:after="0" w:line="227" w:lineRule="exact"/>
        <w:rPr>
          <w:sz w:val="20"/>
          <w:szCs w:val="20"/>
          <w:color w:val="auto"/>
        </w:rPr>
      </w:pPr>
    </w:p>
    <w:p>
      <w:pPr>
        <w:ind w:left="1140" w:right="760"/>
        <w:spacing w:after="0" w:line="277" w:lineRule="auto"/>
        <w:rPr>
          <w:sz w:val="20"/>
          <w:szCs w:val="20"/>
          <w:color w:val="auto"/>
        </w:rPr>
      </w:pPr>
      <w:r>
        <w:rPr>
          <w:rFonts w:ascii="Arial" w:cs="Arial" w:eastAsia="Arial" w:hAnsi="Arial"/>
          <w:sz w:val="18"/>
          <w:szCs w:val="18"/>
          <w:color w:val="auto"/>
        </w:rPr>
        <w:t>Assets in custody or managed by the Group, the investment funds and the pension funds managed by the Group, are not part of the consolidated financial statement of the Group, note 3(z).</w:t>
      </w:r>
    </w:p>
    <w:p>
      <w:pPr>
        <w:spacing w:after="0" w:line="224" w:lineRule="exact"/>
        <w:rPr>
          <w:sz w:val="20"/>
          <w:szCs w:val="20"/>
          <w:color w:val="auto"/>
        </w:rPr>
      </w:pPr>
    </w:p>
    <w:p>
      <w:pPr>
        <w:ind w:left="1140" w:right="800"/>
        <w:spacing w:after="0" w:line="277" w:lineRule="auto"/>
        <w:rPr>
          <w:sz w:val="20"/>
          <w:szCs w:val="20"/>
          <w:color w:val="auto"/>
        </w:rPr>
      </w:pPr>
      <w:r>
        <w:rPr>
          <w:rFonts w:ascii="Arial" w:cs="Arial" w:eastAsia="Arial" w:hAnsi="Arial"/>
          <w:sz w:val="18"/>
          <w:szCs w:val="18"/>
          <w:color w:val="auto"/>
        </w:rPr>
        <w:t>The net equity and the net income attributable to the minority interest are shown separately on the consolidated balance sheets and consolidated income statements.</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75"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Associates:</w:t>
      </w:r>
    </w:p>
    <w:p>
      <w:pPr>
        <w:spacing w:after="0" w:line="279" w:lineRule="exact"/>
        <w:rPr>
          <w:sz w:val="20"/>
          <w:szCs w:val="20"/>
          <w:color w:val="auto"/>
        </w:rPr>
      </w:pPr>
    </w:p>
    <w:p>
      <w:pPr>
        <w:ind w:left="1140"/>
        <w:spacing w:after="0" w:line="257" w:lineRule="auto"/>
        <w:rPr>
          <w:sz w:val="20"/>
          <w:szCs w:val="20"/>
          <w:color w:val="auto"/>
        </w:rPr>
      </w:pPr>
      <w:r>
        <w:rPr>
          <w:rFonts w:ascii="Arial" w:cs="Arial" w:eastAsia="Arial" w:hAnsi="Arial"/>
          <w:sz w:val="18"/>
          <w:szCs w:val="18"/>
          <w:color w:val="auto"/>
        </w:rPr>
        <w:t>Associates are all the entities over which the Group has significant influence but not control. Generally investment in these entities represents shareholding between 20 and 50 percent of the voting rights. The investments in associates are recognized initially at cost and then are accounted for by the equity method. The Group does not maintain a significant investment in associates; therefore these investments are recorded in the caption “Other assets” in the consolidated balance sheets and in the caption “Other income” of the consolidated income statements.</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Minority interest:</w:t>
      </w:r>
    </w:p>
    <w:p>
      <w:pPr>
        <w:spacing w:after="0" w:line="279" w:lineRule="exact"/>
        <w:rPr>
          <w:sz w:val="20"/>
          <w:szCs w:val="20"/>
          <w:color w:val="auto"/>
        </w:rPr>
      </w:pPr>
    </w:p>
    <w:p>
      <w:pPr>
        <w:jc w:val="both"/>
        <w:ind w:left="1140" w:right="160"/>
        <w:spacing w:after="0" w:line="259" w:lineRule="auto"/>
        <w:rPr>
          <w:sz w:val="20"/>
          <w:szCs w:val="20"/>
          <w:color w:val="auto"/>
        </w:rPr>
      </w:pPr>
      <w:r>
        <w:rPr>
          <w:rFonts w:ascii="Arial" w:cs="Arial" w:eastAsia="Arial" w:hAnsi="Arial"/>
          <w:sz w:val="18"/>
          <w:szCs w:val="18"/>
          <w:color w:val="auto"/>
        </w:rPr>
        <w:t>The Group applies a policy of treating transactions with minority interests as transactions with parties external to the Group. Disposals to minority interests result in gains and losses for the Group that are recorded in the consolidated income statement. Purchases from minority interests result in goodwill, being the difference between any consideration paid and the relevant share acquired of the carrying value of net assets of the subsidiary.</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5" w:right="31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260"/>
        <w:spacing w:after="0" w:line="312" w:lineRule="auto"/>
        <w:rPr>
          <w:sz w:val="20"/>
          <w:szCs w:val="20"/>
          <w:color w:val="auto"/>
        </w:rPr>
      </w:pPr>
      <w:r>
        <w:rPr>
          <w:rFonts w:ascii="Arial" w:cs="Arial" w:eastAsia="Arial" w:hAnsi="Arial"/>
          <w:sz w:val="16"/>
          <w:szCs w:val="16"/>
          <w:color w:val="auto"/>
        </w:rPr>
        <w:t>The companies that comprise the Group as of December 31, 2007 and 2006, with an indication of the percentage owned directly and indirectly by Credicorp as of those dates, as well as other relevant information, based on the financial statements in accordance with IFRS and before the eliminations for consolidation, except for the elimination of Credicorp´s treasury shares and the related dividends,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540" w:type="dxa"/>
            <w:vAlign w:val="bottom"/>
            <w:gridSpan w:val="2"/>
          </w:tcPr>
          <w:p>
            <w:pPr>
              <w:jc w:val="right"/>
              <w:ind w:right="1740"/>
              <w:spacing w:after="0"/>
              <w:rPr>
                <w:sz w:val="20"/>
                <w:szCs w:val="20"/>
                <w:color w:val="auto"/>
              </w:rPr>
            </w:pPr>
            <w:r>
              <w:rPr>
                <w:rFonts w:ascii="Arial" w:cs="Arial" w:eastAsia="Arial" w:hAnsi="Arial"/>
                <w:sz w:val="11"/>
                <w:szCs w:val="11"/>
                <w:b w:val="1"/>
                <w:bCs w:val="1"/>
                <w:color w:val="auto"/>
              </w:rPr>
              <w:t>Entity</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Percentage of participation</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Assets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500"/>
              <w:spacing w:after="0"/>
              <w:rPr>
                <w:sz w:val="20"/>
                <w:szCs w:val="20"/>
                <w:color w:val="auto"/>
              </w:rPr>
            </w:pPr>
            <w:r>
              <w:rPr>
                <w:rFonts w:ascii="Arial" w:cs="Arial" w:eastAsia="Arial" w:hAnsi="Arial"/>
                <w:sz w:val="11"/>
                <w:szCs w:val="11"/>
                <w:b w:val="1"/>
                <w:bCs w:val="1"/>
                <w:color w:val="auto"/>
              </w:rPr>
              <w:t>Liabilities</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Equity</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1"/>
                <w:szCs w:val="11"/>
                <w:b w:val="1"/>
                <w:bCs w:val="1"/>
                <w:color w:val="auto"/>
              </w:rPr>
              <w:t>Net income (loss)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2007</w:t>
            </w:r>
          </w:p>
        </w:tc>
        <w:tc>
          <w:tcPr>
            <w:tcW w:w="760" w:type="dxa"/>
            <w:vAlign w:val="bottom"/>
            <w:tcBorders>
              <w:top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12"/>
                <w:szCs w:val="12"/>
                <w:color w:val="auto"/>
              </w:rPr>
            </w:pPr>
          </w:p>
        </w:tc>
        <w:tc>
          <w:tcPr>
            <w:tcW w:w="920" w:type="dxa"/>
            <w:vAlign w:val="bottom"/>
            <w:tcBorders>
              <w:top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2007</w:t>
            </w:r>
          </w:p>
        </w:tc>
        <w:tc>
          <w:tcPr>
            <w:tcW w:w="600" w:type="dxa"/>
            <w:vAlign w:val="bottom"/>
            <w:tcBorders>
              <w:top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2007</w:t>
            </w:r>
          </w:p>
        </w:tc>
        <w:tc>
          <w:tcPr>
            <w:tcW w:w="660" w:type="dxa"/>
            <w:vAlign w:val="bottom"/>
            <w:tcBorders>
              <w:top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12"/>
                <w:szCs w:val="12"/>
                <w:color w:val="auto"/>
              </w:rPr>
            </w:pPr>
          </w:p>
        </w:tc>
        <w:tc>
          <w:tcPr>
            <w:tcW w:w="900" w:type="dxa"/>
            <w:vAlign w:val="bottom"/>
            <w:tcBorders>
              <w:top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2007</w:t>
            </w:r>
          </w:p>
        </w:tc>
        <w:tc>
          <w:tcPr>
            <w:tcW w:w="56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12"/>
                <w:szCs w:val="12"/>
                <w:color w:val="auto"/>
              </w:rPr>
            </w:pPr>
          </w:p>
        </w:tc>
        <w:tc>
          <w:tcPr>
            <w:tcW w:w="800" w:type="dxa"/>
            <w:vAlign w:val="bottom"/>
            <w:tcBorders>
              <w:top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2007</w:t>
            </w:r>
          </w:p>
        </w:tc>
        <w:tc>
          <w:tcPr>
            <w:tcW w:w="660" w:type="dxa"/>
            <w:vAlign w:val="bottom"/>
            <w:tcBorders>
              <w:top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5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21"/>
                <w:szCs w:val="21"/>
                <w:color w:val="auto"/>
              </w:rPr>
            </w:pPr>
          </w:p>
        </w:tc>
        <w:tc>
          <w:tcPr>
            <w:tcW w:w="760" w:type="dxa"/>
            <w:vAlign w:val="bottom"/>
          </w:tcPr>
          <w:p>
            <w:pPr>
              <w:jc w:val="right"/>
              <w:ind w:right="5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tcPr>
          <w:p>
            <w:pPr>
              <w:jc w:val="right"/>
              <w:ind w:right="306"/>
              <w:spacing w:after="0"/>
              <w:rPr>
                <w:sz w:val="20"/>
                <w:szCs w:val="20"/>
                <w:color w:val="auto"/>
              </w:rPr>
            </w:pPr>
            <w:r>
              <w:rPr>
                <w:rFonts w:ascii="Arial" w:cs="Arial" w:eastAsia="Arial" w:hAnsi="Arial"/>
                <w:sz w:val="11"/>
                <w:szCs w:val="11"/>
                <w:color w:val="auto"/>
              </w:rPr>
              <w:t>US$(000)</w:t>
            </w:r>
          </w:p>
        </w:tc>
        <w:tc>
          <w:tcPr>
            <w:tcW w:w="600" w:type="dxa"/>
            <w:vAlign w:val="bottom"/>
          </w:tcPr>
          <w:p>
            <w:pPr>
              <w:jc w:val="right"/>
              <w:ind w:right="86"/>
              <w:spacing w:after="0"/>
              <w:rPr>
                <w:sz w:val="20"/>
                <w:szCs w:val="20"/>
                <w:color w:val="auto"/>
              </w:rPr>
            </w:pPr>
            <w:r>
              <w:rPr>
                <w:rFonts w:ascii="Arial" w:cs="Arial" w:eastAsia="Arial" w:hAnsi="Arial"/>
                <w:sz w:val="11"/>
                <w:szCs w:val="11"/>
                <w:color w:val="auto"/>
                <w:w w:val="93"/>
              </w:rPr>
              <w:t>US$(000)</w:t>
            </w:r>
          </w:p>
        </w:tc>
        <w:tc>
          <w:tcPr>
            <w:tcW w:w="100" w:type="dxa"/>
            <w:vAlign w:val="bottom"/>
          </w:tcPr>
          <w:p>
            <w:pPr>
              <w:spacing w:after="0"/>
              <w:rPr>
                <w:sz w:val="21"/>
                <w:szCs w:val="21"/>
                <w:color w:val="auto"/>
              </w:rPr>
            </w:pPr>
          </w:p>
        </w:tc>
        <w:tc>
          <w:tcPr>
            <w:tcW w:w="800" w:type="dxa"/>
            <w:vAlign w:val="bottom"/>
          </w:tcPr>
          <w:p>
            <w:pPr>
              <w:jc w:val="right"/>
              <w:ind w:right="186"/>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ind w:left="100"/>
              <w:spacing w:after="0"/>
              <w:rPr>
                <w:sz w:val="20"/>
                <w:szCs w:val="20"/>
                <w:color w:val="auto"/>
              </w:rPr>
            </w:pPr>
            <w:r>
              <w:rPr>
                <w:rFonts w:ascii="Arial" w:cs="Arial" w:eastAsia="Arial" w:hAnsi="Arial"/>
                <w:sz w:val="11"/>
                <w:szCs w:val="11"/>
                <w:color w:val="auto"/>
              </w:rPr>
              <w:t>US$(000)</w:t>
            </w:r>
          </w:p>
        </w:tc>
        <w:tc>
          <w:tcPr>
            <w:tcW w:w="900" w:type="dxa"/>
            <w:vAlign w:val="bottom"/>
          </w:tcPr>
          <w:p>
            <w:pPr>
              <w:jc w:val="right"/>
              <w:ind w:right="286"/>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800" w:type="dxa"/>
            <w:vAlign w:val="bottom"/>
          </w:tcPr>
          <w:p>
            <w:pPr>
              <w:jc w:val="right"/>
              <w:ind w:right="206"/>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40" w:type="dxa"/>
            <w:vAlign w:val="bottom"/>
            <w:gridSpan w:val="2"/>
            <w:shd w:val="clear" w:color="auto" w:fill="CCFFCC"/>
          </w:tcPr>
          <w:p>
            <w:pPr>
              <w:spacing w:after="0"/>
              <w:rPr>
                <w:sz w:val="20"/>
                <w:szCs w:val="20"/>
                <w:color w:val="auto"/>
              </w:rPr>
            </w:pPr>
            <w:r>
              <w:rPr>
                <w:rFonts w:ascii="Arial" w:cs="Arial" w:eastAsia="Arial" w:hAnsi="Arial"/>
                <w:sz w:val="11"/>
                <w:szCs w:val="11"/>
                <w:color w:val="auto"/>
              </w:rPr>
              <w:t>Banco de Crédito del Perú and Subsidiaries (i)</w:t>
            </w:r>
          </w:p>
        </w:tc>
        <w:tc>
          <w:tcPr>
            <w:tcW w:w="66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97.33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97.24</w:t>
            </w:r>
          </w:p>
        </w:tc>
        <w:tc>
          <w:tcPr>
            <w:tcW w:w="920" w:type="dxa"/>
            <w:vAlign w:val="bottom"/>
            <w:shd w:val="clear" w:color="auto" w:fill="CCFFCC"/>
          </w:tcPr>
          <w:p>
            <w:pPr>
              <w:jc w:val="right"/>
              <w:ind w:right="166"/>
              <w:spacing w:after="0"/>
              <w:rPr>
                <w:sz w:val="20"/>
                <w:szCs w:val="20"/>
                <w:color w:val="auto"/>
              </w:rPr>
            </w:pPr>
            <w:r>
              <w:rPr>
                <w:rFonts w:ascii="Arial" w:cs="Arial" w:eastAsia="Arial" w:hAnsi="Arial"/>
                <w:sz w:val="11"/>
                <w:szCs w:val="11"/>
                <w:color w:val="auto"/>
              </w:rPr>
              <w:t>15,171,338</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10,802,737</w:t>
            </w:r>
          </w:p>
        </w:tc>
        <w:tc>
          <w:tcPr>
            <w:tcW w:w="900" w:type="dxa"/>
            <w:vAlign w:val="bottom"/>
            <w:gridSpan w:val="2"/>
            <w:shd w:val="clear" w:color="auto" w:fill="CCFFCC"/>
          </w:tcPr>
          <w:p>
            <w:pPr>
              <w:jc w:val="right"/>
              <w:ind w:right="66"/>
              <w:spacing w:after="0"/>
              <w:rPr>
                <w:sz w:val="20"/>
                <w:szCs w:val="20"/>
                <w:color w:val="auto"/>
              </w:rPr>
            </w:pPr>
            <w:r>
              <w:rPr>
                <w:rFonts w:ascii="Arial" w:cs="Arial" w:eastAsia="Arial" w:hAnsi="Arial"/>
                <w:sz w:val="11"/>
                <w:szCs w:val="11"/>
                <w:color w:val="auto"/>
              </w:rPr>
              <w:t>14,038,774</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9,838,881</w:t>
            </w:r>
          </w:p>
        </w:tc>
        <w:tc>
          <w:tcPr>
            <w:tcW w:w="900" w:type="dxa"/>
            <w:vAlign w:val="bottom"/>
            <w:shd w:val="clear" w:color="auto" w:fill="CCFFCC"/>
          </w:tcPr>
          <w:p>
            <w:pPr>
              <w:jc w:val="right"/>
              <w:ind w:right="166"/>
              <w:spacing w:after="0"/>
              <w:rPr>
                <w:sz w:val="20"/>
                <w:szCs w:val="20"/>
                <w:color w:val="auto"/>
              </w:rPr>
            </w:pPr>
            <w:r>
              <w:rPr>
                <w:rFonts w:ascii="Arial" w:cs="Arial" w:eastAsia="Arial" w:hAnsi="Arial"/>
                <w:sz w:val="11"/>
                <w:szCs w:val="11"/>
                <w:color w:val="auto"/>
              </w:rPr>
              <w:t>1,132,564</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963,856</w:t>
            </w:r>
          </w:p>
        </w:tc>
        <w:tc>
          <w:tcPr>
            <w:tcW w:w="800" w:type="dxa"/>
            <w:vAlign w:val="bottom"/>
            <w:shd w:val="clear" w:color="auto" w:fill="CCFFCC"/>
          </w:tcPr>
          <w:p>
            <w:pPr>
              <w:jc w:val="right"/>
              <w:ind w:right="86"/>
              <w:spacing w:after="0"/>
              <w:rPr>
                <w:sz w:val="20"/>
                <w:szCs w:val="20"/>
                <w:color w:val="auto"/>
              </w:rPr>
            </w:pPr>
            <w:r>
              <w:rPr>
                <w:rFonts w:ascii="Arial" w:cs="Arial" w:eastAsia="Arial" w:hAnsi="Arial"/>
                <w:sz w:val="11"/>
                <w:szCs w:val="11"/>
                <w:color w:val="auto"/>
              </w:rPr>
              <w:t>331,652</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247,756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tcPr>
          <w:p>
            <w:pPr>
              <w:spacing w:after="0"/>
              <w:rPr>
                <w:sz w:val="20"/>
                <w:szCs w:val="20"/>
                <w:color w:val="auto"/>
              </w:rPr>
            </w:pPr>
            <w:r>
              <w:rPr>
                <w:rFonts w:ascii="Arial" w:cs="Arial" w:eastAsia="Arial" w:hAnsi="Arial"/>
                <w:sz w:val="11"/>
                <w:szCs w:val="11"/>
                <w:color w:val="auto"/>
              </w:rPr>
              <w:t>Atlantic Security Holding Corporation and Subsidiaries (ii)</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100.00</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100.00</w:t>
            </w:r>
          </w:p>
        </w:tc>
        <w:tc>
          <w:tcPr>
            <w:tcW w:w="920" w:type="dxa"/>
            <w:vAlign w:val="bottom"/>
          </w:tcPr>
          <w:p>
            <w:pPr>
              <w:jc w:val="right"/>
              <w:ind w:right="166"/>
              <w:spacing w:after="0"/>
              <w:rPr>
                <w:sz w:val="20"/>
                <w:szCs w:val="20"/>
                <w:color w:val="auto"/>
              </w:rPr>
            </w:pPr>
            <w:r>
              <w:rPr>
                <w:rFonts w:ascii="Arial" w:cs="Arial" w:eastAsia="Arial" w:hAnsi="Arial"/>
                <w:sz w:val="11"/>
                <w:szCs w:val="11"/>
                <w:color w:val="auto"/>
              </w:rPr>
              <w:t>1,738,697</w:t>
            </w:r>
          </w:p>
        </w:tc>
        <w:tc>
          <w:tcPr>
            <w:tcW w:w="600" w:type="dxa"/>
            <w:vAlign w:val="bottom"/>
          </w:tcPr>
          <w:p>
            <w:pPr>
              <w:jc w:val="right"/>
              <w:spacing w:after="0"/>
              <w:rPr>
                <w:sz w:val="20"/>
                <w:szCs w:val="20"/>
                <w:color w:val="auto"/>
              </w:rPr>
            </w:pPr>
            <w:r>
              <w:rPr>
                <w:rFonts w:ascii="Arial" w:cs="Arial" w:eastAsia="Arial" w:hAnsi="Arial"/>
                <w:sz w:val="11"/>
                <w:szCs w:val="11"/>
                <w:color w:val="auto"/>
              </w:rPr>
              <w:t>1,320,535</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1,401,237</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1,200,170</w:t>
            </w:r>
          </w:p>
        </w:tc>
        <w:tc>
          <w:tcPr>
            <w:tcW w:w="900" w:type="dxa"/>
            <w:vAlign w:val="bottom"/>
          </w:tcPr>
          <w:p>
            <w:pPr>
              <w:jc w:val="right"/>
              <w:ind w:right="166"/>
              <w:spacing w:after="0"/>
              <w:rPr>
                <w:sz w:val="20"/>
                <w:szCs w:val="20"/>
                <w:color w:val="auto"/>
              </w:rPr>
            </w:pPr>
            <w:r>
              <w:rPr>
                <w:rFonts w:ascii="Arial" w:cs="Arial" w:eastAsia="Arial" w:hAnsi="Arial"/>
                <w:sz w:val="11"/>
                <w:szCs w:val="11"/>
                <w:color w:val="auto"/>
              </w:rPr>
              <w:t>337,460</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120,365</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20,537</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15,402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40" w:type="dxa"/>
            <w:vAlign w:val="bottom"/>
            <w:gridSpan w:val="2"/>
            <w:shd w:val="clear" w:color="auto" w:fill="CCFFCC"/>
          </w:tcPr>
          <w:p>
            <w:pPr>
              <w:spacing w:after="0" w:line="125" w:lineRule="exact"/>
              <w:rPr>
                <w:sz w:val="20"/>
                <w:szCs w:val="20"/>
                <w:color w:val="auto"/>
              </w:rPr>
            </w:pPr>
            <w:r>
              <w:rPr>
                <w:rFonts w:ascii="Arial" w:cs="Arial" w:eastAsia="Arial" w:hAnsi="Arial"/>
                <w:sz w:val="11"/>
                <w:szCs w:val="11"/>
                <w:color w:val="auto"/>
              </w:rPr>
              <w:t>El Pacífico Peruano-Suiza Compañía de Seguros y Reaseguros and</w:t>
            </w:r>
          </w:p>
        </w:tc>
        <w:tc>
          <w:tcPr>
            <w:tcW w:w="66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gridSpan w:val="2"/>
            <w:shd w:val="clear" w:color="auto" w:fill="CCFFCC"/>
          </w:tcPr>
          <w:p>
            <w:pPr>
              <w:jc w:val="right"/>
              <w:ind w:right="2680"/>
              <w:spacing w:after="0"/>
              <w:rPr>
                <w:sz w:val="20"/>
                <w:szCs w:val="20"/>
                <w:color w:val="auto"/>
              </w:rPr>
            </w:pPr>
            <w:r>
              <w:rPr>
                <w:rFonts w:ascii="Arial" w:cs="Arial" w:eastAsia="Arial" w:hAnsi="Arial"/>
                <w:sz w:val="11"/>
                <w:szCs w:val="11"/>
                <w:color w:val="auto"/>
              </w:rPr>
              <w:t>Subsidiaries (iii)</w:t>
            </w:r>
          </w:p>
        </w:tc>
        <w:tc>
          <w:tcPr>
            <w:tcW w:w="66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75.74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75.72</w:t>
            </w:r>
          </w:p>
        </w:tc>
        <w:tc>
          <w:tcPr>
            <w:tcW w:w="920" w:type="dxa"/>
            <w:vAlign w:val="bottom"/>
            <w:shd w:val="clear" w:color="auto" w:fill="CCFFCC"/>
          </w:tcPr>
          <w:p>
            <w:pPr>
              <w:jc w:val="right"/>
              <w:ind w:right="166"/>
              <w:spacing w:after="0"/>
              <w:rPr>
                <w:sz w:val="20"/>
                <w:szCs w:val="20"/>
                <w:color w:val="auto"/>
              </w:rPr>
            </w:pPr>
            <w:r>
              <w:rPr>
                <w:rFonts w:ascii="Arial" w:cs="Arial" w:eastAsia="Arial" w:hAnsi="Arial"/>
                <w:sz w:val="11"/>
                <w:szCs w:val="11"/>
                <w:color w:val="auto"/>
              </w:rPr>
              <w:t>1,197,943</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1,002,358</w:t>
            </w:r>
          </w:p>
        </w:tc>
        <w:tc>
          <w:tcPr>
            <w:tcW w:w="900" w:type="dxa"/>
            <w:vAlign w:val="bottom"/>
            <w:gridSpan w:val="2"/>
            <w:shd w:val="clear" w:color="auto" w:fill="CCFFCC"/>
          </w:tcPr>
          <w:p>
            <w:pPr>
              <w:jc w:val="right"/>
              <w:ind w:right="66"/>
              <w:spacing w:after="0"/>
              <w:rPr>
                <w:sz w:val="20"/>
                <w:szCs w:val="20"/>
                <w:color w:val="auto"/>
              </w:rPr>
            </w:pPr>
            <w:r>
              <w:rPr>
                <w:rFonts w:ascii="Arial" w:cs="Arial" w:eastAsia="Arial" w:hAnsi="Arial"/>
                <w:sz w:val="11"/>
                <w:szCs w:val="11"/>
                <w:color w:val="auto"/>
              </w:rPr>
              <w:t>932,765</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712,430</w:t>
            </w:r>
          </w:p>
        </w:tc>
        <w:tc>
          <w:tcPr>
            <w:tcW w:w="900" w:type="dxa"/>
            <w:vAlign w:val="bottom"/>
            <w:shd w:val="clear" w:color="auto" w:fill="CCFFCC"/>
          </w:tcPr>
          <w:p>
            <w:pPr>
              <w:jc w:val="right"/>
              <w:ind w:right="166"/>
              <w:spacing w:after="0"/>
              <w:rPr>
                <w:sz w:val="20"/>
                <w:szCs w:val="20"/>
                <w:color w:val="auto"/>
              </w:rPr>
            </w:pPr>
            <w:r>
              <w:rPr>
                <w:rFonts w:ascii="Arial" w:cs="Arial" w:eastAsia="Arial" w:hAnsi="Arial"/>
                <w:sz w:val="11"/>
                <w:szCs w:val="11"/>
                <w:color w:val="auto"/>
              </w:rPr>
              <w:t>265,178</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289,928</w:t>
            </w:r>
          </w:p>
        </w:tc>
        <w:tc>
          <w:tcPr>
            <w:tcW w:w="800" w:type="dxa"/>
            <w:vAlign w:val="bottom"/>
            <w:shd w:val="clear" w:color="auto" w:fill="CCFFCC"/>
          </w:tcPr>
          <w:p>
            <w:pPr>
              <w:jc w:val="right"/>
              <w:ind w:right="86"/>
              <w:spacing w:after="0"/>
              <w:rPr>
                <w:sz w:val="20"/>
                <w:szCs w:val="20"/>
                <w:color w:val="auto"/>
              </w:rPr>
            </w:pPr>
            <w:r>
              <w:rPr>
                <w:rFonts w:ascii="Arial" w:cs="Arial" w:eastAsia="Arial" w:hAnsi="Arial"/>
                <w:sz w:val="11"/>
                <w:szCs w:val="11"/>
                <w:color w:val="auto"/>
              </w:rPr>
              <w:t>21,979</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59,087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tcPr>
          <w:p>
            <w:pPr>
              <w:spacing w:after="0"/>
              <w:rPr>
                <w:sz w:val="20"/>
                <w:szCs w:val="20"/>
                <w:color w:val="auto"/>
              </w:rPr>
            </w:pPr>
            <w:r>
              <w:rPr>
                <w:rFonts w:ascii="Arial" w:cs="Arial" w:eastAsia="Arial" w:hAnsi="Arial"/>
                <w:sz w:val="11"/>
                <w:szCs w:val="11"/>
                <w:color w:val="auto"/>
              </w:rPr>
              <w:t>Grupo Crédito S.A. and Subsidiaries (iv)</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100.00</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100.00</w:t>
            </w:r>
          </w:p>
        </w:tc>
        <w:tc>
          <w:tcPr>
            <w:tcW w:w="920" w:type="dxa"/>
            <w:vAlign w:val="bottom"/>
          </w:tcPr>
          <w:p>
            <w:pPr>
              <w:jc w:val="right"/>
              <w:ind w:right="166"/>
              <w:spacing w:after="0"/>
              <w:rPr>
                <w:sz w:val="20"/>
                <w:szCs w:val="20"/>
                <w:color w:val="auto"/>
              </w:rPr>
            </w:pPr>
            <w:r>
              <w:rPr>
                <w:rFonts w:ascii="Arial" w:cs="Arial" w:eastAsia="Arial" w:hAnsi="Arial"/>
                <w:sz w:val="11"/>
                <w:szCs w:val="11"/>
                <w:color w:val="auto"/>
              </w:rPr>
              <w:t>389,577</w:t>
            </w:r>
          </w:p>
        </w:tc>
        <w:tc>
          <w:tcPr>
            <w:tcW w:w="600" w:type="dxa"/>
            <w:vAlign w:val="bottom"/>
          </w:tcPr>
          <w:p>
            <w:pPr>
              <w:jc w:val="right"/>
              <w:spacing w:after="0"/>
              <w:rPr>
                <w:sz w:val="20"/>
                <w:szCs w:val="20"/>
                <w:color w:val="auto"/>
              </w:rPr>
            </w:pPr>
            <w:r>
              <w:rPr>
                <w:rFonts w:ascii="Arial" w:cs="Arial" w:eastAsia="Arial" w:hAnsi="Arial"/>
                <w:sz w:val="11"/>
                <w:szCs w:val="11"/>
                <w:color w:val="auto"/>
              </w:rPr>
              <w:t>314,540</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125,089</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115,702</w:t>
            </w:r>
          </w:p>
        </w:tc>
        <w:tc>
          <w:tcPr>
            <w:tcW w:w="900" w:type="dxa"/>
            <w:vAlign w:val="bottom"/>
          </w:tcPr>
          <w:p>
            <w:pPr>
              <w:jc w:val="right"/>
              <w:ind w:right="166"/>
              <w:spacing w:after="0"/>
              <w:rPr>
                <w:sz w:val="20"/>
                <w:szCs w:val="20"/>
                <w:color w:val="auto"/>
              </w:rPr>
            </w:pPr>
            <w:r>
              <w:rPr>
                <w:rFonts w:ascii="Arial" w:cs="Arial" w:eastAsia="Arial" w:hAnsi="Arial"/>
                <w:sz w:val="11"/>
                <w:szCs w:val="11"/>
                <w:color w:val="auto"/>
              </w:rPr>
              <w:t>264,488</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198,838</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7,662</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(12,380)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shd w:val="clear" w:color="auto" w:fill="CCFFCC"/>
          </w:tcPr>
          <w:p>
            <w:pPr>
              <w:spacing w:after="0"/>
              <w:rPr>
                <w:sz w:val="20"/>
                <w:szCs w:val="20"/>
                <w:color w:val="auto"/>
              </w:rPr>
            </w:pPr>
            <w:r>
              <w:rPr>
                <w:rFonts w:ascii="Arial" w:cs="Arial" w:eastAsia="Arial" w:hAnsi="Arial"/>
                <w:sz w:val="11"/>
                <w:szCs w:val="11"/>
                <w:color w:val="auto"/>
              </w:rPr>
              <w:t>CCR Inc. (v)</w:t>
            </w:r>
          </w:p>
        </w:tc>
        <w:tc>
          <w:tcPr>
            <w:tcW w:w="660" w:type="dxa"/>
            <w:vAlign w:val="bottom"/>
            <w:shd w:val="clear" w:color="auto" w:fill="CCFFCC"/>
          </w:tcPr>
          <w:p>
            <w:pPr>
              <w:jc w:val="right"/>
              <w:ind w:right="6"/>
              <w:spacing w:after="0"/>
              <w:rPr>
                <w:sz w:val="20"/>
                <w:szCs w:val="20"/>
                <w:color w:val="auto"/>
              </w:rPr>
            </w:pPr>
            <w:r>
              <w:rPr>
                <w:rFonts w:ascii="Arial" w:cs="Arial" w:eastAsia="Arial" w:hAnsi="Arial"/>
                <w:sz w:val="11"/>
                <w:szCs w:val="11"/>
                <w:color w:val="auto"/>
              </w:rPr>
              <w:t>99.99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99.99</w:t>
            </w:r>
          </w:p>
        </w:tc>
        <w:tc>
          <w:tcPr>
            <w:tcW w:w="920" w:type="dxa"/>
            <w:vAlign w:val="bottom"/>
            <w:shd w:val="clear" w:color="auto" w:fill="CCFFCC"/>
          </w:tcPr>
          <w:p>
            <w:pPr>
              <w:jc w:val="right"/>
              <w:ind w:right="166"/>
              <w:spacing w:after="0"/>
              <w:rPr>
                <w:sz w:val="20"/>
                <w:szCs w:val="20"/>
                <w:color w:val="auto"/>
              </w:rPr>
            </w:pPr>
            <w:r>
              <w:rPr>
                <w:rFonts w:ascii="Arial" w:cs="Arial" w:eastAsia="Arial" w:hAnsi="Arial"/>
                <w:sz w:val="11"/>
                <w:szCs w:val="11"/>
                <w:color w:val="auto"/>
              </w:rPr>
              <w:t>879,997</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382,930</w:t>
            </w:r>
          </w:p>
        </w:tc>
        <w:tc>
          <w:tcPr>
            <w:tcW w:w="900" w:type="dxa"/>
            <w:vAlign w:val="bottom"/>
            <w:gridSpan w:val="2"/>
            <w:shd w:val="clear" w:color="auto" w:fill="CCFFCC"/>
          </w:tcPr>
          <w:p>
            <w:pPr>
              <w:jc w:val="right"/>
              <w:ind w:right="66"/>
              <w:spacing w:after="0"/>
              <w:rPr>
                <w:sz w:val="20"/>
                <w:szCs w:val="20"/>
                <w:color w:val="auto"/>
              </w:rPr>
            </w:pPr>
            <w:r>
              <w:rPr>
                <w:rFonts w:ascii="Arial" w:cs="Arial" w:eastAsia="Arial" w:hAnsi="Arial"/>
                <w:sz w:val="11"/>
                <w:szCs w:val="11"/>
                <w:color w:val="auto"/>
              </w:rPr>
              <w:t>917,655</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380,000</w:t>
            </w:r>
          </w:p>
        </w:tc>
        <w:tc>
          <w:tcPr>
            <w:tcW w:w="900" w:type="dxa"/>
            <w:vAlign w:val="bottom"/>
            <w:shd w:val="clear" w:color="auto" w:fill="CCFFCC"/>
          </w:tcPr>
          <w:p>
            <w:pPr>
              <w:jc w:val="right"/>
              <w:ind w:right="126"/>
              <w:spacing w:after="0"/>
              <w:rPr>
                <w:sz w:val="20"/>
                <w:szCs w:val="20"/>
                <w:color w:val="auto"/>
              </w:rPr>
            </w:pPr>
            <w:r>
              <w:rPr>
                <w:rFonts w:ascii="Arial" w:cs="Arial" w:eastAsia="Arial" w:hAnsi="Arial"/>
                <w:sz w:val="11"/>
                <w:szCs w:val="11"/>
                <w:color w:val="auto"/>
              </w:rPr>
              <w:t>(37,658)</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2,930</w:t>
            </w:r>
          </w:p>
        </w:tc>
        <w:tc>
          <w:tcPr>
            <w:tcW w:w="800" w:type="dxa"/>
            <w:vAlign w:val="bottom"/>
            <w:shd w:val="clear" w:color="auto" w:fill="CCFFCC"/>
          </w:tcPr>
          <w:p>
            <w:pPr>
              <w:jc w:val="right"/>
              <w:ind w:right="46"/>
              <w:spacing w:after="0"/>
              <w:rPr>
                <w:sz w:val="20"/>
                <w:szCs w:val="20"/>
                <w:color w:val="auto"/>
              </w:rPr>
            </w:pPr>
            <w:r>
              <w:rPr>
                <w:rFonts w:ascii="Arial" w:cs="Arial" w:eastAsia="Arial" w:hAnsi="Arial"/>
                <w:sz w:val="11"/>
                <w:szCs w:val="11"/>
                <w:color w:val="auto"/>
              </w:rPr>
              <w:t>(4)</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gridSpan w:val="2"/>
          </w:tcPr>
          <w:p>
            <w:pPr>
              <w:spacing w:after="0"/>
              <w:rPr>
                <w:sz w:val="20"/>
                <w:szCs w:val="20"/>
                <w:color w:val="auto"/>
              </w:rPr>
            </w:pPr>
            <w:r>
              <w:rPr>
                <w:rFonts w:ascii="Arial" w:cs="Arial" w:eastAsia="Arial" w:hAnsi="Arial"/>
                <w:sz w:val="11"/>
                <w:szCs w:val="11"/>
                <w:color w:val="auto"/>
              </w:rPr>
              <w:t>Credicorp Securities Inc. (vi)</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99.99</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99.99</w:t>
            </w:r>
          </w:p>
        </w:tc>
        <w:tc>
          <w:tcPr>
            <w:tcW w:w="920" w:type="dxa"/>
            <w:vAlign w:val="bottom"/>
          </w:tcPr>
          <w:p>
            <w:pPr>
              <w:jc w:val="right"/>
              <w:ind w:right="166"/>
              <w:spacing w:after="0"/>
              <w:rPr>
                <w:sz w:val="20"/>
                <w:szCs w:val="20"/>
                <w:color w:val="auto"/>
              </w:rPr>
            </w:pPr>
            <w:r>
              <w:rPr>
                <w:rFonts w:ascii="Arial" w:cs="Arial" w:eastAsia="Arial" w:hAnsi="Arial"/>
                <w:sz w:val="11"/>
                <w:szCs w:val="11"/>
                <w:color w:val="auto"/>
              </w:rPr>
              <w:t>2,047</w:t>
            </w:r>
          </w:p>
        </w:tc>
        <w:tc>
          <w:tcPr>
            <w:tcW w:w="600" w:type="dxa"/>
            <w:vAlign w:val="bottom"/>
          </w:tcPr>
          <w:p>
            <w:pPr>
              <w:jc w:val="right"/>
              <w:spacing w:after="0"/>
              <w:rPr>
                <w:sz w:val="20"/>
                <w:szCs w:val="20"/>
                <w:color w:val="auto"/>
              </w:rPr>
            </w:pPr>
            <w:r>
              <w:rPr>
                <w:rFonts w:ascii="Arial" w:cs="Arial" w:eastAsia="Arial" w:hAnsi="Arial"/>
                <w:sz w:val="11"/>
                <w:szCs w:val="11"/>
                <w:color w:val="auto"/>
              </w:rPr>
              <w:t>1,503</w:t>
            </w:r>
          </w:p>
        </w:tc>
        <w:tc>
          <w:tcPr>
            <w:tcW w:w="900" w:type="dxa"/>
            <w:vAlign w:val="bottom"/>
            <w:gridSpan w:val="2"/>
          </w:tcPr>
          <w:p>
            <w:pPr>
              <w:jc w:val="right"/>
              <w:ind w:right="66"/>
              <w:spacing w:after="0"/>
              <w:rPr>
                <w:sz w:val="20"/>
                <w:szCs w:val="20"/>
                <w:color w:val="auto"/>
              </w:rPr>
            </w:pPr>
            <w:r>
              <w:rPr>
                <w:rFonts w:ascii="Arial" w:cs="Arial" w:eastAsia="Arial" w:hAnsi="Arial"/>
                <w:sz w:val="11"/>
                <w:szCs w:val="11"/>
                <w:color w:val="auto"/>
              </w:rPr>
              <w:t>215</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18</w:t>
            </w:r>
          </w:p>
        </w:tc>
        <w:tc>
          <w:tcPr>
            <w:tcW w:w="900" w:type="dxa"/>
            <w:vAlign w:val="bottom"/>
          </w:tcPr>
          <w:p>
            <w:pPr>
              <w:jc w:val="right"/>
              <w:ind w:right="166"/>
              <w:spacing w:after="0"/>
              <w:rPr>
                <w:sz w:val="20"/>
                <w:szCs w:val="20"/>
                <w:color w:val="auto"/>
              </w:rPr>
            </w:pPr>
            <w:r>
              <w:rPr>
                <w:rFonts w:ascii="Arial" w:cs="Arial" w:eastAsia="Arial" w:hAnsi="Arial"/>
                <w:sz w:val="11"/>
                <w:szCs w:val="11"/>
                <w:color w:val="auto"/>
              </w:rPr>
              <w:t>1,832</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1,485</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347</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487</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140" w:right="140" w:hanging="484"/>
        <w:spacing w:after="0" w:line="312" w:lineRule="auto"/>
        <w:tabs>
          <w:tab w:leader="none" w:pos="1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Banco de Crédito (BCP) is a universal bank, incorporated in Peru in 1889, authorized to engage in banking activities by the Superintendence of Banking, Insurance and AFP (SBS), the Peruvian banking, insurance and AFP authority. During 2007 and 2006, Credicorp acquired equivalent to 0.09 percent and 0.25 percent of BCP shares, respectively, owned by minority interest. See (iii) below.</w:t>
      </w:r>
    </w:p>
    <w:p>
      <w:pPr>
        <w:spacing w:after="0" w:line="200" w:lineRule="exact"/>
        <w:rPr>
          <w:rFonts w:ascii="Arial" w:cs="Arial" w:eastAsia="Arial" w:hAnsi="Arial"/>
          <w:sz w:val="16"/>
          <w:szCs w:val="16"/>
          <w:color w:val="auto"/>
        </w:rPr>
      </w:pPr>
    </w:p>
    <w:p>
      <w:pPr>
        <w:ind w:left="1140" w:right="40" w:hanging="484"/>
        <w:spacing w:after="0" w:line="259" w:lineRule="auto"/>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and the Republic of Panama, its main activity is private and institutional banking and trustee administration.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20" w:hanging="484"/>
        <w:spacing w:after="0" w:line="273" w:lineRule="auto"/>
        <w:tabs>
          <w:tab w:leader="none" w:pos="11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El Pacífico Peruano-Suiza Compañía de Seguros y Reaseguros (PPS) is a Peruvian corporation, whose main activity is the issuance and administration of insurance for property and casualty and related activities, and also provides insurance for life, health and personal accidents. Its main subsidiaries are El Pacífico Vida Compañía de Seguros y Reaseguros S.A. and Pacífico S.A. Entidad Prestadora de Salud (EPS), in which maintain a share of 61.99 percent and 100.00 percent, respectively. On November 2006, PPS sold to Credicorp 1.02 percent of BCP shares that maintained to that date, generating a goodwill for the purchase of the corresponding percentage of minority interest (0.25 percent) amounted to approximately US$7.2 million, note 12(b).</w:t>
      </w:r>
    </w:p>
    <w:p>
      <w:pPr>
        <w:spacing w:after="0" w:line="232" w:lineRule="exact"/>
        <w:rPr>
          <w:rFonts w:ascii="Arial" w:cs="Arial" w:eastAsia="Arial" w:hAnsi="Arial"/>
          <w:sz w:val="17"/>
          <w:szCs w:val="17"/>
          <w:color w:val="auto"/>
        </w:rPr>
      </w:pPr>
    </w:p>
    <w:p>
      <w:pPr>
        <w:ind w:left="1140" w:hanging="484"/>
        <w:spacing w:after="0" w:line="293" w:lineRule="auto"/>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Grupo Crédito S.A. is a company incorporated in Peru on February 1987, whose main activity is to invest in listed and not listed securities in Peru. Since 2005, Group Crédito incorporated Prima AFP, a new subsidiary engaged in fund management activities. On August, 2006, Prima AFP acquired 99.97 percent of the representative capital shares of AFP Unión Vida S.A., which was merged on December 2006, note 2(a). As of December 31, 2007, Prima AFP total assets amount approximately US$246.4 million, liabilities for US$116.8 million and a net gain of US$3.0 million (US$233.9 million, US$115.4 million and US$20.7 million, respectively, as of December 31, 2006). Additionally, the Company owns 100.00 percent of the shares of Soluciones en Procesamiento S.A. (Servicorp), an entity specialized in collection services.</w:t>
      </w:r>
    </w:p>
    <w:p>
      <w:pPr>
        <w:spacing w:after="0" w:line="218" w:lineRule="exact"/>
        <w:rPr>
          <w:rFonts w:ascii="Arial" w:cs="Arial" w:eastAsia="Arial" w:hAnsi="Arial"/>
          <w:sz w:val="16"/>
          <w:szCs w:val="16"/>
          <w:color w:val="auto"/>
        </w:rPr>
      </w:pPr>
    </w:p>
    <w:p>
      <w:pPr>
        <w:ind w:left="1140" w:right="360" w:hanging="484"/>
        <w:spacing w:after="0" w:line="312" w:lineRule="auto"/>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CCR Inc., is a special purposes entity incorporated in Bahamas in 2001, whose main activity is to manage the loans granted to BCP from foreign financial entities, note 15(b). These loans are collateralized by transactions realized by the Bank. As of December 31, 2007, the negative equity is generated by the unrealized losses of the cash flow hedge derivatives, as it is explained in note 18(c) y 21(d).</w:t>
      </w:r>
    </w:p>
    <w:p>
      <w:pPr>
        <w:spacing w:after="0" w:line="200" w:lineRule="exact"/>
        <w:rPr>
          <w:rFonts w:ascii="Arial" w:cs="Arial" w:eastAsia="Arial" w:hAnsi="Arial"/>
          <w:sz w:val="16"/>
          <w:szCs w:val="16"/>
          <w:color w:val="auto"/>
        </w:rPr>
      </w:pPr>
    </w:p>
    <w:p>
      <w:pPr>
        <w:ind w:left="1140" w:right="280" w:hanging="484"/>
        <w:spacing w:after="0" w:line="277" w:lineRule="auto"/>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Credicorp Securities Inc., an entity incorporated in the United States of America on January 2003, whose main activity is to be engaged in brokerage activities in the securities market, directed principally to retail customers in Latin America.</w:t>
      </w:r>
    </w:p>
    <w:p>
      <w:pPr>
        <w:spacing w:after="0" w:line="224" w:lineRule="exact"/>
        <w:rPr>
          <w:sz w:val="20"/>
          <w:szCs w:val="20"/>
          <w:color w:val="auto"/>
        </w:rPr>
      </w:pPr>
    </w:p>
    <w:p>
      <w:pPr>
        <w:ind w:left="1140" w:right="7520" w:hanging="484"/>
        <w:spacing w:after="0" w:line="291" w:lineRule="auto"/>
        <w:tabs>
          <w:tab w:leader="none" w:pos="11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Foreign currency translation - Functional and presentation currency:</w:t>
      </w:r>
    </w:p>
    <w:p>
      <w:pPr>
        <w:ind w:left="1140"/>
        <w:spacing w:after="0" w:line="253" w:lineRule="auto"/>
        <w:rPr>
          <w:rFonts w:ascii="Arial" w:cs="Arial" w:eastAsia="Arial" w:hAnsi="Arial"/>
          <w:sz w:val="16"/>
          <w:szCs w:val="16"/>
          <w:color w:val="auto"/>
        </w:rPr>
      </w:pPr>
      <w:r>
        <w:rPr>
          <w:rFonts w:ascii="Arial" w:cs="Arial" w:eastAsia="Arial" w:hAnsi="Arial"/>
          <w:sz w:val="18"/>
          <w:szCs w:val="18"/>
          <w:color w:val="auto"/>
        </w:rPr>
        <w:t>The Group considers that its functional and presentation currency to be the United States Dollar (U.S. Dollar or US$),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settled in U.S. Dollars. All resulting translation differences are recognized in the consolidated income statement.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Financial statements of each of the Credicorp’s subsidiaries are measured using the currency of the country in which each entity operates.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Their financial statements are translated into U.S. Dollars (functional and presentation currency) as follows:</w:t>
      </w:r>
    </w:p>
    <w:p>
      <w:pPr>
        <w:spacing w:after="0" w:line="265" w:lineRule="exact"/>
        <w:rPr>
          <w:sz w:val="20"/>
          <w:szCs w:val="20"/>
          <w:color w:val="auto"/>
        </w:rPr>
      </w:pPr>
    </w:p>
    <w:p>
      <w:pPr>
        <w:ind w:left="1620" w:right="620" w:hanging="478"/>
        <w:spacing w:after="0" w:line="277" w:lineRule="auto"/>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Monetary assets and liabilities for each balance sheet presented are translated at the free market exchange rate at the date of the consolidated balance sheet.</w:t>
      </w:r>
    </w:p>
    <w:p>
      <w:pPr>
        <w:spacing w:after="0" w:line="224" w:lineRule="exact"/>
        <w:rPr>
          <w:rFonts w:ascii="Arial" w:cs="Arial" w:eastAsia="Arial" w:hAnsi="Arial"/>
          <w:sz w:val="18"/>
          <w:szCs w:val="18"/>
          <w:color w:val="auto"/>
        </w:rPr>
      </w:pPr>
    </w:p>
    <w:p>
      <w:pPr>
        <w:ind w:left="1620" w:hanging="478"/>
        <w:spacing w:after="0"/>
        <w:tabs>
          <w:tab w:leader="none" w:pos="16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Non-monetary accounts for each balance sheet presented are translated at the free market exchange rate at the date of the transactions.</w:t>
      </w:r>
    </w:p>
    <w:p>
      <w:pPr>
        <w:spacing w:after="0" w:line="302" w:lineRule="exact"/>
        <w:rPr>
          <w:rFonts w:ascii="Arial" w:cs="Arial" w:eastAsia="Arial" w:hAnsi="Arial"/>
          <w:sz w:val="16"/>
          <w:szCs w:val="16"/>
          <w:color w:val="auto"/>
        </w:rPr>
      </w:pPr>
    </w:p>
    <w:p>
      <w:pPr>
        <w:ind w:left="1620" w:right="120" w:hanging="478"/>
        <w:spacing w:after="0" w:line="277" w:lineRule="auto"/>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79" w:lineRule="exact"/>
        <w:rPr>
          <w:sz w:val="20"/>
          <w:szCs w:val="20"/>
          <w:color w:val="auto"/>
        </w:rPr>
      </w:pPr>
    </w:p>
    <w:p>
      <w:pPr>
        <w:ind w:left="1140" w:hanging="484"/>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rFonts w:ascii="Arial" w:cs="Arial" w:eastAsia="Arial" w:hAnsi="Arial"/>
          <w:sz w:val="18"/>
          <w:szCs w:val="18"/>
          <w:color w:val="auto"/>
        </w:rPr>
      </w:pPr>
    </w:p>
    <w:p>
      <w:pPr>
        <w:ind w:left="1140"/>
        <w:spacing w:after="0" w:line="271" w:lineRule="auto"/>
        <w:rPr>
          <w:rFonts w:ascii="Arial" w:cs="Arial" w:eastAsia="Arial" w:hAnsi="Arial"/>
          <w:sz w:val="18"/>
          <w:szCs w:val="18"/>
          <w:color w:val="auto"/>
        </w:rPr>
      </w:pPr>
      <w:r>
        <w:rPr>
          <w:rFonts w:ascii="Arial" w:cs="Arial" w:eastAsia="Arial" w:hAnsi="Arial"/>
          <w:sz w:val="17"/>
          <w:szCs w:val="17"/>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exactly discounts estimated future cash payments or receipts through the expected life of the financial instrument or a shorter period, where appropriate, to the net carrying amount of the financial asset or financial liability. Interest rates are determined based on negotiations with clients.</w:t>
      </w:r>
    </w:p>
    <w:p>
      <w:pPr>
        <w:spacing w:after="0" w:line="232" w:lineRule="exact"/>
        <w:rPr>
          <w:rFonts w:ascii="Arial" w:cs="Arial" w:eastAsia="Arial" w:hAnsi="Arial"/>
          <w:sz w:val="18"/>
          <w:szCs w:val="18"/>
          <w:color w:val="auto"/>
        </w:rPr>
      </w:pPr>
    </w:p>
    <w:p>
      <w:pPr>
        <w:ind w:left="1140" w:right="6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240" w:lineRule="exact"/>
        <w:rPr>
          <w:rFonts w:ascii="Arial" w:cs="Arial" w:eastAsia="Arial" w:hAnsi="Arial"/>
          <w:sz w:val="18"/>
          <w:szCs w:val="18"/>
          <w:color w:val="auto"/>
        </w:rPr>
      </w:pPr>
    </w:p>
    <w:p>
      <w:pPr>
        <w:ind w:left="1140" w:right="640"/>
        <w:spacing w:after="0" w:line="277" w:lineRule="auto"/>
        <w:rPr>
          <w:rFonts w:ascii="Arial" w:cs="Arial" w:eastAsia="Arial" w:hAnsi="Arial"/>
          <w:sz w:val="18"/>
          <w:szCs w:val="18"/>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rFonts w:ascii="Arial" w:cs="Arial" w:eastAsia="Arial" w:hAnsi="Arial"/>
          <w:sz w:val="18"/>
          <w:szCs w:val="18"/>
          <w:color w:val="auto"/>
        </w:rPr>
      </w:pPr>
    </w:p>
    <w:p>
      <w:pPr>
        <w:ind w:left="1140" w:right="220"/>
        <w:spacing w:after="0" w:line="264" w:lineRule="auto"/>
        <w:rPr>
          <w:rFonts w:ascii="Arial" w:cs="Arial" w:eastAsia="Arial" w:hAnsi="Arial"/>
          <w:sz w:val="18"/>
          <w:szCs w:val="18"/>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23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All other revenues and expenses are recognized on an accrual basis as earned or incurred.</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Recognition of income and expenses of insurance activities -</w:t>
      </w:r>
    </w:p>
    <w:p>
      <w:pPr>
        <w:spacing w:after="0" w:line="23" w:lineRule="exact"/>
        <w:rPr>
          <w:rFonts w:ascii="Arial" w:cs="Arial" w:eastAsia="Arial" w:hAnsi="Arial"/>
          <w:sz w:val="18"/>
          <w:szCs w:val="18"/>
          <w:color w:val="auto"/>
        </w:rPr>
      </w:pPr>
    </w:p>
    <w:p>
      <w:pPr>
        <w:ind w:left="1140" w:right="320"/>
        <w:spacing w:after="0" w:line="261" w:lineRule="auto"/>
        <w:rPr>
          <w:rFonts w:ascii="Arial" w:cs="Arial" w:eastAsia="Arial" w:hAnsi="Arial"/>
          <w:sz w:val="18"/>
          <w:szCs w:val="18"/>
          <w:color w:val="auto"/>
        </w:rPr>
      </w:pPr>
      <w:r>
        <w:rPr>
          <w:rFonts w:ascii="Arial" w:cs="Arial" w:eastAsia="Arial" w:hAnsi="Arial"/>
          <w:sz w:val="18"/>
          <w:szCs w:val="18"/>
          <w:color w:val="auto"/>
        </w:rPr>
        <w:t>The premiums related to life insurance policies and others, of both long and short duration, are recognized as income when they accrue. A reserve for unearned premiums is recorded for the unexpired portion of the premiums.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sz w:val="20"/>
          <w:szCs w:val="20"/>
          <w:color w:val="auto"/>
        </w:rPr>
      </w:pPr>
    </w:p>
    <w:p>
      <w:pPr>
        <w:ind w:left="1140"/>
        <w:spacing w:after="0" w:line="271" w:lineRule="auto"/>
        <w:rPr>
          <w:sz w:val="20"/>
          <w:szCs w:val="20"/>
          <w:color w:val="auto"/>
        </w:rPr>
      </w:pPr>
      <w:r>
        <w:rPr>
          <w:rFonts w:ascii="Arial" w:cs="Arial" w:eastAsia="Arial" w:hAnsi="Arial"/>
          <w:sz w:val="17"/>
          <w:szCs w:val="17"/>
          <w:color w:val="auto"/>
        </w:rPr>
        <w:t>In the case of life insurance, the claims reserves are calculated taking into account an estimation of the mortality (for life insurance), survival (life annuities, death and disability pension system insurance and complementary Insurance for work risk - a type of life insurance for certain types of higher risk occupations) or incidence (personal injury) and the interest established when the product was designed. The reserves are calculated as the present value of the probable cash flows for pension payments, using mortality tables for the policyholders, beneficiaries and disabled who are covered at the consolidated balance sheet date as well as interest rates determined based on the performance of the corresponding portfolio of investments. In the case of individual life insurance, the reserves are determined according to the mortality tables adjusted in variable percentages according to the product characteristics, as well as the established interest and the type of investment involved according to the type of product.</w:t>
      </w:r>
    </w:p>
    <w:p>
      <w:pPr>
        <w:spacing w:after="0" w:line="233" w:lineRule="exact"/>
        <w:rPr>
          <w:sz w:val="20"/>
          <w:szCs w:val="20"/>
          <w:color w:val="auto"/>
        </w:rPr>
      </w:pPr>
    </w:p>
    <w:p>
      <w:pPr>
        <w:jc w:val="both"/>
        <w:ind w:left="1140" w:right="160"/>
        <w:spacing w:after="0" w:line="312" w:lineRule="auto"/>
        <w:rPr>
          <w:sz w:val="20"/>
          <w:szCs w:val="20"/>
          <w:color w:val="auto"/>
        </w:rPr>
      </w:pPr>
      <w:r>
        <w:rPr>
          <w:rFonts w:ascii="Arial" w:cs="Arial" w:eastAsia="Arial" w:hAnsi="Arial"/>
          <w:sz w:val="16"/>
          <w:szCs w:val="16"/>
          <w:color w:val="auto"/>
        </w:rPr>
        <w:t>The reserves corresponding to the universal life insurance policies form part of the technical life insurance reserves. The additional benefits granted to the policyholders originating from this type of policy are shown in the footnote net premiums earned for life and health insurance contract, note 24, which include the surplus and interest accrued during the period which are credited to the balance of the policyholder.</w:t>
      </w:r>
    </w:p>
    <w:p>
      <w:pPr>
        <w:spacing w:after="0" w:line="201" w:lineRule="exact"/>
        <w:rPr>
          <w:sz w:val="20"/>
          <w:szCs w:val="20"/>
          <w:color w:val="auto"/>
        </w:rPr>
      </w:pPr>
    </w:p>
    <w:p>
      <w:pPr>
        <w:ind w:left="1140" w:right="200"/>
        <w:spacing w:after="0" w:line="297" w:lineRule="auto"/>
        <w:rPr>
          <w:sz w:val="20"/>
          <w:szCs w:val="20"/>
          <w:color w:val="auto"/>
        </w:rPr>
      </w:pPr>
      <w:r>
        <w:rPr>
          <w:rFonts w:ascii="Arial" w:cs="Arial" w:eastAsia="Arial" w:hAnsi="Arial"/>
          <w:sz w:val="16"/>
          <w:szCs w:val="16"/>
          <w:color w:val="auto"/>
        </w:rPr>
        <w:t>The insurance claims are recorded when the event occurs. The incurred but non-reported claims (IBNR) are estimated and included in the provision (liabilities). The reserves for IBNR at December 31, 2007 and 2006 have been estimated considering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believes that the estimated reserve is sufficient to cover liability for IBNR occurred at December 31, 2007 and 2006.</w:t>
      </w:r>
    </w:p>
    <w:p>
      <w:pPr>
        <w:spacing w:after="0" w:line="212"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To determine the reserves for life, property and casualty and health insurance, the Group carries out a continuous review of its overall position as well as its techniques for computing the claim reserves and its reinsurance. The provisions are reviewed periodically by qualified actuaries contracted by the Group. Additionally, for those cases the Group considers an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If as a consequence of this test, the reserves prove to be insufficient, they are adjusted and the amounts are included in the results of operations for the period.</w:t>
      </w:r>
    </w:p>
    <w:p>
      <w:pPr>
        <w:spacing w:after="0" w:line="243" w:lineRule="exact"/>
        <w:rPr>
          <w:sz w:val="20"/>
          <w:szCs w:val="20"/>
          <w:color w:val="auto"/>
        </w:rPr>
      </w:pPr>
    </w:p>
    <w:p>
      <w:pPr>
        <w:ind w:left="1140" w:right="120"/>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(Deferred Acquisition Costs or “DAC”). The recoverability of these deferred acquisition costs are reviewed annually.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440"/>
        <w:spacing w:after="0" w:line="277" w:lineRule="auto"/>
        <w:rPr>
          <w:sz w:val="20"/>
          <w:szCs w:val="20"/>
          <w:color w:val="auto"/>
        </w:rPr>
      </w:pPr>
      <w:r>
        <w:rPr>
          <w:rFonts w:ascii="Arial" w:cs="Arial" w:eastAsia="Arial" w:hAnsi="Arial"/>
          <w:sz w:val="18"/>
          <w:szCs w:val="18"/>
          <w:color w:val="auto"/>
        </w:rPr>
        <w:t>Based on the periodic reviews of the client portfolio, Management determines the provision for bad debt related to premiums and quotas receivable.</w:t>
      </w:r>
    </w:p>
    <w:p>
      <w:pPr>
        <w:spacing w:after="0" w:line="224" w:lineRule="exact"/>
        <w:rPr>
          <w:sz w:val="20"/>
          <w:szCs w:val="20"/>
          <w:color w:val="auto"/>
        </w:rPr>
      </w:pPr>
    </w:p>
    <w:p>
      <w:pPr>
        <w:ind w:left="1140" w:right="6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income statement. DAC is also considered in the liability adequacy test for each reporting period.</w:t>
      </w:r>
    </w:p>
    <w:p>
      <w:pPr>
        <w:spacing w:after="0" w:line="235" w:lineRule="exact"/>
        <w:rPr>
          <w:sz w:val="20"/>
          <w:szCs w:val="20"/>
          <w:color w:val="auto"/>
        </w:rPr>
      </w:pPr>
    </w:p>
    <w:p>
      <w:pPr>
        <w:ind w:left="1140" w:hanging="484"/>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Purchases or sales of financial assets that require delivery of assets within the time frame generally established by regulation or convention in the marketplace are recorded on the trade date, i.e. the date that the Group commits to purchase or sell the asset. Derivatives are recognized on a trade date basis.</w:t>
      </w:r>
    </w:p>
    <w:p>
      <w:pPr>
        <w:spacing w:after="0" w:line="244" w:lineRule="exact"/>
        <w:rPr>
          <w:rFonts w:ascii="Arial" w:cs="Arial" w:eastAsia="Arial" w:hAnsi="Arial"/>
          <w:sz w:val="18"/>
          <w:szCs w:val="18"/>
          <w:color w:val="auto"/>
        </w:rPr>
      </w:pPr>
    </w:p>
    <w:p>
      <w:pPr>
        <w:ind w:left="1140" w:right="60"/>
        <w:spacing w:after="0" w:line="286" w:lineRule="auto"/>
        <w:rPr>
          <w:rFonts w:ascii="Arial" w:cs="Arial" w:eastAsia="Arial" w:hAnsi="Arial"/>
          <w:sz w:val="18"/>
          <w:szCs w:val="18"/>
          <w:color w:val="auto"/>
        </w:rPr>
      </w:pPr>
      <w:r>
        <w:rPr>
          <w:rFonts w:ascii="Arial" w:cs="Arial" w:eastAsia="Arial" w:hAnsi="Arial"/>
          <w:sz w:val="17"/>
          <w:szCs w:val="17"/>
          <w:color w:val="auto"/>
        </w:rPr>
        <w:t>The classification of financial instruments at initial recognition depends on the purpose for which the financial instruments were acquired and their characteristics. All financial instruments are measured initially at their fair value plus, in the case of financial assets and financial liabilities not at fair value through profit or loss, any directly attributable incremental costs of acquisition or issue.</w:t>
      </w:r>
    </w:p>
    <w:p>
      <w:pPr>
        <w:spacing w:after="0" w:line="219" w:lineRule="exact"/>
        <w:rPr>
          <w:rFonts w:ascii="Arial" w:cs="Arial" w:eastAsia="Arial" w:hAnsi="Arial"/>
          <w:sz w:val="18"/>
          <w:szCs w:val="18"/>
          <w:color w:val="auto"/>
        </w:rPr>
      </w:pPr>
    </w:p>
    <w:p>
      <w:pPr>
        <w:ind w:left="1140" w:right="340"/>
        <w:spacing w:after="0" w:line="264" w:lineRule="auto"/>
        <w:rPr>
          <w:rFonts w:ascii="Arial" w:cs="Arial" w:eastAsia="Arial" w:hAnsi="Arial"/>
          <w:sz w:val="18"/>
          <w:szCs w:val="18"/>
          <w:color w:val="auto"/>
        </w:rPr>
      </w:pPr>
      <w:r>
        <w:rPr>
          <w:rFonts w:ascii="Arial" w:cs="Arial" w:eastAsia="Arial" w:hAnsi="Arial"/>
          <w:sz w:val="18"/>
          <w:szCs w:val="18"/>
          <w:color w:val="auto"/>
        </w:rPr>
        <w:t>The Group classifies its financial instruments in the following categories as defined by IAS 39: financial assets and liabilities at fair value through profit or loss; loans and receivables; available-for-sale financial investments and other liabilities. Management determinates the classification of its investments at initial recognition.</w:t>
      </w:r>
    </w:p>
    <w:p>
      <w:pPr>
        <w:spacing w:after="0" w:line="235" w:lineRule="exact"/>
        <w:rPr>
          <w:rFonts w:ascii="Arial" w:cs="Arial" w:eastAsia="Arial" w:hAnsi="Arial"/>
          <w:sz w:val="18"/>
          <w:szCs w:val="18"/>
          <w:color w:val="auto"/>
        </w:rPr>
      </w:pPr>
    </w:p>
    <w:p>
      <w:pPr>
        <w:ind w:left="1620" w:hanging="478"/>
        <w:spacing w:after="0"/>
        <w:tabs>
          <w:tab w:leader="none" w:pos="16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3" w:lineRule="exact"/>
        <w:rPr>
          <w:rFonts w:ascii="Arial" w:cs="Arial" w:eastAsia="Arial" w:hAnsi="Arial"/>
          <w:sz w:val="18"/>
          <w:szCs w:val="18"/>
          <w:color w:val="auto"/>
        </w:rPr>
      </w:pPr>
    </w:p>
    <w:p>
      <w:pPr>
        <w:ind w:left="1620" w:right="180"/>
        <w:spacing w:after="0" w:line="252" w:lineRule="auto"/>
        <w:rPr>
          <w:rFonts w:ascii="Arial" w:cs="Arial" w:eastAsia="Arial" w:hAnsi="Arial"/>
          <w:sz w:val="18"/>
          <w:szCs w:val="18"/>
          <w:color w:val="auto"/>
        </w:rPr>
      </w:pPr>
      <w:r>
        <w:rPr>
          <w:rFonts w:ascii="Arial" w:cs="Arial" w:eastAsia="Arial" w:hAnsi="Arial"/>
          <w:sz w:val="18"/>
          <w:szCs w:val="18"/>
          <w:color w:val="auto"/>
        </w:rPr>
        <w:t>This category has two sub-categories: financial assets held for trading and financial assets and liabilities designated at fair value through profit or loss at inception. A financial asset is classified as held for trading if it is acquired or incurred principally for the purpose of selling or repurchasing in the near term or if it is part of a portfolio of identified financial instruments that are managed together and for which there is evidence of a recent actual pattern of short-term profit-taking. Derivatives are also categorized as held for trading unless they are designated as hedging instruments. Financial assets and financial liabilities are designated at fair value through profit or loss when the following criteria are met:</w:t>
      </w:r>
    </w:p>
    <w:p>
      <w:pPr>
        <w:spacing w:after="0" w:line="248" w:lineRule="exact"/>
        <w:rPr>
          <w:rFonts w:ascii="Arial" w:cs="Arial" w:eastAsia="Arial" w:hAnsi="Arial"/>
          <w:sz w:val="18"/>
          <w:szCs w:val="18"/>
          <w:color w:val="auto"/>
        </w:rPr>
      </w:pPr>
    </w:p>
    <w:p>
      <w:pPr>
        <w:ind w:left="2120" w:right="320" w:hanging="491"/>
        <w:spacing w:after="0" w:line="277" w:lineRule="auto"/>
        <w:tabs>
          <w:tab w:leader="none" w:pos="212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the assets or liabilities or recognizing gains or losses on them on a different basis; or</w:t>
      </w:r>
    </w:p>
    <w:p>
      <w:pPr>
        <w:spacing w:after="0" w:line="224" w:lineRule="exact"/>
        <w:rPr>
          <w:rFonts w:ascii="Arial" w:cs="Arial" w:eastAsia="Arial" w:hAnsi="Arial"/>
          <w:sz w:val="18"/>
          <w:szCs w:val="18"/>
          <w:color w:val="auto"/>
        </w:rPr>
      </w:pPr>
    </w:p>
    <w:p>
      <w:pPr>
        <w:ind w:left="2120" w:right="480" w:hanging="491"/>
        <w:spacing w:after="0" w:line="342" w:lineRule="auto"/>
        <w:tabs>
          <w:tab w:leader="none" w:pos="212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77" w:lineRule="exact"/>
        <w:rPr>
          <w:rFonts w:ascii="Arial" w:cs="Arial" w:eastAsia="Arial" w:hAnsi="Arial"/>
          <w:sz w:val="16"/>
          <w:szCs w:val="16"/>
          <w:color w:val="auto"/>
        </w:rPr>
      </w:pPr>
    </w:p>
    <w:p>
      <w:pPr>
        <w:ind w:left="2120" w:right="320" w:hanging="491"/>
        <w:spacing w:after="0" w:line="277" w:lineRule="auto"/>
        <w:tabs>
          <w:tab w:leader="none" w:pos="212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financial instrument contains an embedded derivative, unless the embedded derivative does not significantly modify the cash flows or it is clear, with little or no analysis, that it would not be separately recorded.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620" w:right="100"/>
        <w:spacing w:after="0" w:line="257" w:lineRule="auto"/>
        <w:rPr>
          <w:sz w:val="20"/>
          <w:szCs w:val="20"/>
          <w:color w:val="auto"/>
        </w:rPr>
      </w:pPr>
      <w:r>
        <w:rPr>
          <w:rFonts w:ascii="Arial" w:cs="Arial" w:eastAsia="Arial" w:hAnsi="Arial"/>
          <w:sz w:val="18"/>
          <w:szCs w:val="18"/>
          <w:color w:val="auto"/>
        </w:rPr>
        <w:t>Financial assets and financial liabilities at fair value through profit or loss are recorded in the consolidated balance sheet at fair value. Changes in fair value are recorded in the consolidated income statement in the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 Dividend income is recorded when the right to the payment has been established.</w:t>
      </w:r>
    </w:p>
    <w:p>
      <w:pPr>
        <w:spacing w:after="0" w:line="242" w:lineRule="exact"/>
        <w:rPr>
          <w:sz w:val="20"/>
          <w:szCs w:val="20"/>
          <w:color w:val="auto"/>
        </w:rPr>
      </w:pPr>
    </w:p>
    <w:p>
      <w:pPr>
        <w:ind w:left="1620" w:hanging="478"/>
        <w:spacing w:after="0"/>
        <w:tabs>
          <w:tab w:leader="none" w:pos="1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243" w:lineRule="exact"/>
        <w:rPr>
          <w:rFonts w:ascii="Arial" w:cs="Arial" w:eastAsia="Arial" w:hAnsi="Arial"/>
          <w:sz w:val="18"/>
          <w:szCs w:val="18"/>
          <w:color w:val="auto"/>
        </w:rPr>
      </w:pPr>
    </w:p>
    <w:p>
      <w:pPr>
        <w:ind w:left="1620" w:right="160"/>
        <w:spacing w:after="0" w:line="259" w:lineRule="auto"/>
        <w:rPr>
          <w:rFonts w:ascii="Arial" w:cs="Arial" w:eastAsia="Arial" w:hAnsi="Arial"/>
          <w:sz w:val="18"/>
          <w:szCs w:val="18"/>
          <w:color w:val="auto"/>
        </w:rPr>
      </w:pPr>
      <w:r>
        <w:rPr>
          <w:rFonts w:ascii="Arial" w:cs="Arial" w:eastAsia="Arial" w:hAnsi="Arial"/>
          <w:sz w:val="18"/>
          <w:szCs w:val="18"/>
          <w:color w:val="auto"/>
        </w:rPr>
        <w:t>After initial measurement, loans and receivables are subsequently measured at amortized cost using the effective interest rate method, less allowance for impairment. Amortized cost is calculated by taking into account any discount or premium on acquisition and fees and costs that are an integral part of the effective interest rate. The losses arising from impairment are recognized in the consolidated income statement in the caption “Provision for loan losses”.</w:t>
      </w:r>
    </w:p>
    <w:p>
      <w:pPr>
        <w:spacing w:after="0" w:line="240" w:lineRule="exact"/>
        <w:rPr>
          <w:rFonts w:ascii="Arial" w:cs="Arial" w:eastAsia="Arial" w:hAnsi="Arial"/>
          <w:sz w:val="18"/>
          <w:szCs w:val="18"/>
          <w:color w:val="auto"/>
        </w:rPr>
      </w:pPr>
    </w:p>
    <w:p>
      <w:pPr>
        <w:ind w:left="1620" w:right="300"/>
        <w:spacing w:after="0" w:line="256"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ind w:left="1620" w:right="440"/>
        <w:spacing w:after="0" w:line="277" w:lineRule="auto"/>
        <w:rPr>
          <w:rFonts w:ascii="Arial" w:cs="Arial" w:eastAsia="Arial" w:hAnsi="Arial"/>
          <w:sz w:val="18"/>
          <w:szCs w:val="18"/>
          <w:color w:val="auto"/>
        </w:rPr>
      </w:pPr>
      <w:r>
        <w:rPr>
          <w:rFonts w:ascii="Arial" w:cs="Arial" w:eastAsia="Arial" w:hAnsi="Arial"/>
          <w:sz w:val="17"/>
          <w:szCs w:val="17"/>
          <w:color w:val="auto"/>
        </w:rPr>
        <w:t>An allowance for loan losses is established if there is objective evidence that the Group will not be able to collect all amounts due according to the original contractual terms of the loan. The allowance for loan losses is established based in the internal risk classification and taking into consideration the guarantees and collaterals obtained by the Group, note 3(i) and 31.1.</w:t>
      </w:r>
    </w:p>
    <w:p>
      <w:pPr>
        <w:spacing w:after="0" w:line="227" w:lineRule="exact"/>
        <w:rPr>
          <w:rFonts w:ascii="Arial" w:cs="Arial" w:eastAsia="Arial" w:hAnsi="Arial"/>
          <w:sz w:val="18"/>
          <w:szCs w:val="18"/>
          <w:color w:val="auto"/>
        </w:rPr>
      </w:pPr>
    </w:p>
    <w:p>
      <w:pPr>
        <w:ind w:left="1620" w:hanging="478"/>
        <w:spacing w:after="0"/>
        <w:tabs>
          <w:tab w:leader="none" w:pos="1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120"/>
        <w:spacing w:after="0" w:line="254" w:lineRule="auto"/>
        <w:rPr>
          <w:rFonts w:ascii="Arial" w:cs="Arial" w:eastAsia="Arial" w:hAnsi="Arial"/>
          <w:sz w:val="18"/>
          <w:szCs w:val="18"/>
          <w:color w:val="auto"/>
        </w:rPr>
      </w:pPr>
      <w:r>
        <w:rPr>
          <w:rFonts w:ascii="Arial" w:cs="Arial" w:eastAsia="Arial" w:hAnsi="Arial"/>
          <w:sz w:val="18"/>
          <w:szCs w:val="18"/>
          <w:color w:val="auto"/>
        </w:rPr>
        <w:t>Available-for-sale financial investments are those which are designated as such (to be held for an indefinite period, which may be sold in response to liquidity needs or changes in the interest rates, exchange rates or equity price); or do not qualify to be classified as designated at fair value through profit or loss, held-to-maturity or loans and receivables. They include equity instruments, investments in mutual funds and money market and other debt instruments.</w:t>
      </w:r>
    </w:p>
    <w:p>
      <w:pPr>
        <w:spacing w:after="0" w:line="243" w:lineRule="exact"/>
        <w:rPr>
          <w:rFonts w:ascii="Arial" w:cs="Arial" w:eastAsia="Arial" w:hAnsi="Arial"/>
          <w:sz w:val="18"/>
          <w:szCs w:val="18"/>
          <w:color w:val="auto"/>
        </w:rPr>
      </w:pPr>
    </w:p>
    <w:p>
      <w:pPr>
        <w:ind w:left="1620" w:right="40"/>
        <w:spacing w:after="0" w:line="291" w:lineRule="auto"/>
        <w:rPr>
          <w:rFonts w:ascii="Arial" w:cs="Arial" w:eastAsia="Arial" w:hAnsi="Arial"/>
          <w:sz w:val="18"/>
          <w:szCs w:val="18"/>
          <w:color w:val="auto"/>
        </w:rPr>
      </w:pPr>
      <w:r>
        <w:rPr>
          <w:rFonts w:ascii="Arial" w:cs="Arial" w:eastAsia="Arial" w:hAnsi="Arial"/>
          <w:sz w:val="16"/>
          <w:szCs w:val="16"/>
          <w:color w:val="auto"/>
        </w:rPr>
        <w:t>After initial measurement, available-for-sale financial investments are subsequently measured at fair value. Unrealized gains and losses are recognized directly in equity in the “Other reserves”, net of its corresponding tax and minority interest. When the security is disposed of, the cumulative gain or loss previously recognized in equity is recognized in the consolidated income statement in the caption “Net gain on sales of securities”. Where the Group holds more than one investment in the same security they are deemed to be disposed using the average cost basis. Interest and dividends earned whilst holding available-for-sale financial investments are recognized in the consolidated income statement in the caption “Interest and dividend income”. Interest earned is reported as interest income using the effective interest rate and dividends earned are recognized when the right of the payment has been established.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224" w:lineRule="exact"/>
        <w:rPr>
          <w:sz w:val="20"/>
          <w:szCs w:val="20"/>
          <w:color w:val="auto"/>
        </w:rPr>
      </w:pPr>
    </w:p>
    <w:p>
      <w:pPr>
        <w:ind w:left="1620" w:right="240"/>
        <w:spacing w:after="0" w:line="286" w:lineRule="auto"/>
        <w:rPr>
          <w:sz w:val="20"/>
          <w:szCs w:val="20"/>
          <w:color w:val="auto"/>
        </w:rPr>
      </w:pPr>
      <w:r>
        <w:rPr>
          <w:rFonts w:ascii="Arial" w:cs="Arial" w:eastAsia="Arial" w:hAnsi="Arial"/>
          <w:sz w:val="17"/>
          <w:szCs w:val="17"/>
          <w:color w:val="auto"/>
        </w:rPr>
        <w:t>The losses arising from impairment of such investments are recognized in the consolidated income statement and removed from the “Other reserves”. The Group determines that an available-for-sale investment is impaired when there has been a significant or prolonged decline in the fair value below its cost; as explained in more detail in note 3(i) below.</w:t>
      </w:r>
    </w:p>
    <w:p>
      <w:pPr>
        <w:spacing w:after="0" w:line="220" w:lineRule="exact"/>
        <w:rPr>
          <w:sz w:val="20"/>
          <w:szCs w:val="20"/>
          <w:color w:val="auto"/>
        </w:rPr>
      </w:pPr>
    </w:p>
    <w:p>
      <w:pPr>
        <w:ind w:left="1620" w:hanging="478"/>
        <w:spacing w:after="0"/>
        <w:tabs>
          <w:tab w:leader="none" w:pos="1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3" w:lineRule="exact"/>
        <w:rPr>
          <w:rFonts w:ascii="Arial" w:cs="Arial" w:eastAsia="Arial" w:hAnsi="Arial"/>
          <w:sz w:val="18"/>
          <w:szCs w:val="18"/>
          <w:color w:val="auto"/>
        </w:rPr>
      </w:pPr>
    </w:p>
    <w:p>
      <w:pPr>
        <w:ind w:left="1620" w:right="40"/>
        <w:spacing w:after="0" w:line="255"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is calculated by taking into account any discount or premium on the issue and costs that are an integral part of the effective interest rate.</w:t>
      </w:r>
    </w:p>
    <w:p>
      <w:pPr>
        <w:spacing w:after="0" w:line="244" w:lineRule="exact"/>
        <w:rPr>
          <w:sz w:val="20"/>
          <w:szCs w:val="20"/>
          <w:color w:val="auto"/>
        </w:rPr>
      </w:pPr>
    </w:p>
    <w:p>
      <w:pPr>
        <w:ind w:left="1140" w:right="160"/>
        <w:spacing w:after="0" w:line="277" w:lineRule="auto"/>
        <w:rPr>
          <w:sz w:val="20"/>
          <w:szCs w:val="20"/>
          <w:color w:val="auto"/>
        </w:rPr>
      </w:pPr>
      <w:r>
        <w:rPr>
          <w:rFonts w:ascii="Arial" w:cs="Arial" w:eastAsia="Arial" w:hAnsi="Arial"/>
          <w:sz w:val="18"/>
          <w:szCs w:val="18"/>
          <w:color w:val="auto"/>
        </w:rPr>
        <w:t>See the carrying amounts of the financial assets and liabilities shown in the consolidated balance sheets by the aforementioned categories in note 30.</w:t>
      </w:r>
    </w:p>
    <w:p>
      <w:pPr>
        <w:spacing w:after="0" w:line="224" w:lineRule="exact"/>
        <w:rPr>
          <w:sz w:val="20"/>
          <w:szCs w:val="20"/>
          <w:color w:val="auto"/>
        </w:rPr>
      </w:pPr>
    </w:p>
    <w:p>
      <w:pPr>
        <w:ind w:left="1140" w:right="6060" w:hanging="484"/>
        <w:spacing w:after="0" w:line="258"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 Financial assets:</w:t>
      </w:r>
    </w:p>
    <w:p>
      <w:pPr>
        <w:spacing w:after="0" w:line="1" w:lineRule="exact"/>
        <w:rPr>
          <w:rFonts w:ascii="Arial" w:cs="Arial" w:eastAsia="Arial" w:hAnsi="Arial"/>
          <w:sz w:val="18"/>
          <w:szCs w:val="18"/>
          <w:color w:val="auto"/>
        </w:rPr>
      </w:pPr>
    </w:p>
    <w:p>
      <w:pPr>
        <w:ind w:left="1140" w:right="80"/>
        <w:spacing w:after="0" w:line="271" w:lineRule="auto"/>
        <w:rPr>
          <w:rFonts w:ascii="Arial" w:cs="Arial" w:eastAsia="Arial" w:hAnsi="Arial"/>
          <w:sz w:val="18"/>
          <w:szCs w:val="18"/>
          <w:color w:val="auto"/>
        </w:rPr>
      </w:pPr>
      <w:r>
        <w:rPr>
          <w:rFonts w:ascii="Arial" w:cs="Arial" w:eastAsia="Arial" w:hAnsi="Arial"/>
          <w:sz w:val="17"/>
          <w:szCs w:val="17"/>
          <w:color w:val="auto"/>
        </w:rPr>
        <w:t>A financial asset (or, where applicable a part of a financial asset or part of a group of similar financial assets) is derecognized where: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(iii) either the Group has transferred substantially all the risks and rewards of the asset, or the Group has neither transferred nor retained substantially all the risks and rewards of the asset, but has transferred control of the asset.</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1140" w:right="20"/>
        <w:spacing w:after="0" w:line="254"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Where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profit or loss.</w:t>
      </w:r>
    </w:p>
    <w:p>
      <w:pPr>
        <w:spacing w:after="0" w:line="244" w:lineRule="exact"/>
        <w:rPr>
          <w:sz w:val="20"/>
          <w:szCs w:val="20"/>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3" w:lineRule="exact"/>
        <w:rPr>
          <w:rFonts w:ascii="Arial" w:cs="Arial" w:eastAsia="Arial" w:hAnsi="Arial"/>
          <w:sz w:val="18"/>
          <w:szCs w:val="18"/>
          <w:color w:val="auto"/>
        </w:rPr>
      </w:pPr>
    </w:p>
    <w:p>
      <w:pPr>
        <w:ind w:left="1140" w:right="16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balance sheet when there is a legally enforceable right to offset the recognized amounts and Management has the intention to settle on a net basis, or realize the assets and settle the liability simultaneously.</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5" w:right="29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3" w:lineRule="exact"/>
        <w:rPr>
          <w:rFonts w:ascii="Arial" w:cs="Arial" w:eastAsia="Arial" w:hAnsi="Arial"/>
          <w:sz w:val="18"/>
          <w:szCs w:val="18"/>
          <w:color w:val="auto"/>
        </w:rPr>
      </w:pPr>
    </w:p>
    <w:p>
      <w:pPr>
        <w:ind w:left="1140" w:right="20"/>
        <w:spacing w:after="0" w:line="287" w:lineRule="auto"/>
        <w:rPr>
          <w:rFonts w:ascii="Arial" w:cs="Arial" w:eastAsia="Arial" w:hAnsi="Arial"/>
          <w:sz w:val="18"/>
          <w:szCs w:val="18"/>
          <w:color w:val="auto"/>
        </w:rPr>
      </w:pPr>
      <w:r>
        <w:rPr>
          <w:rFonts w:ascii="Arial" w:cs="Arial" w:eastAsia="Arial" w:hAnsi="Arial"/>
          <w:sz w:val="16"/>
          <w:szCs w:val="16"/>
          <w:color w:val="auto"/>
        </w:rPr>
        <w:t>The Group assesses at each balance sheet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enter bankruptcy or other financial reorganization and where observable data indicate that there is a measurable decrease in the estimated future cash flows, such as changes in arrears or economic conditions that correlate with defaults. The criteria used for each category of financial assets are as follows:</w:t>
      </w:r>
    </w:p>
    <w:p>
      <w:pPr>
        <w:spacing w:after="0" w:line="224" w:lineRule="exact"/>
        <w:rPr>
          <w:rFonts w:ascii="Arial" w:cs="Arial" w:eastAsia="Arial" w:hAnsi="Arial"/>
          <w:sz w:val="18"/>
          <w:szCs w:val="18"/>
          <w:color w:val="auto"/>
        </w:rPr>
      </w:pPr>
    </w:p>
    <w:p>
      <w:pPr>
        <w:ind w:left="1620" w:hanging="478"/>
        <w:spacing w:after="0"/>
        <w:tabs>
          <w:tab w:leader="none" w:pos="1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right="20"/>
        <w:spacing w:after="0" w:line="270" w:lineRule="auto"/>
        <w:rPr>
          <w:rFonts w:ascii="Arial" w:cs="Arial" w:eastAsia="Arial" w:hAnsi="Arial"/>
          <w:sz w:val="18"/>
          <w:szCs w:val="18"/>
          <w:color w:val="auto"/>
        </w:rPr>
      </w:pPr>
      <w:r>
        <w:rPr>
          <w:rFonts w:ascii="Arial" w:cs="Arial" w:eastAsia="Arial" w:hAnsi="Arial"/>
          <w:sz w:val="17"/>
          <w:szCs w:val="17"/>
          <w:color w:val="auto"/>
        </w:rPr>
        <w:t>For loans and receivables that are carried at amortized cost, the Group first assesses individually whether objective evidence of impairment exists individually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32" w:lineRule="exact"/>
        <w:rPr>
          <w:rFonts w:ascii="Arial" w:cs="Arial" w:eastAsia="Arial" w:hAnsi="Arial"/>
          <w:sz w:val="18"/>
          <w:szCs w:val="18"/>
          <w:color w:val="auto"/>
        </w:rPr>
      </w:pPr>
    </w:p>
    <w:p>
      <w:pPr>
        <w:ind w:left="1620"/>
        <w:spacing w:after="0" w:line="290" w:lineRule="auto"/>
        <w:rPr>
          <w:rFonts w:ascii="Arial" w:cs="Arial" w:eastAsia="Arial" w:hAnsi="Arial"/>
          <w:sz w:val="18"/>
          <w:szCs w:val="18"/>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The carrying amount of the asset is reduced through the use of an allowance account and the amount of the loss is recognized in the income statement. Interest income continues to be accrued on the reduced carrying amount based on the original effective interest rate of the asset. Loans, together with the associated allowance, are written off when there is no realistic prospect of future recovery and all collateral has been realized or has been transferred to the Group. If, in a subsequent year, the amount of the estimated impairment loss increases or decreases because of an event occurring after the impairment was recognized, the previously recognized impairment loss is increased or reduced by adjusting the allowance account. If a future write-off is later recovered, the recovery is credited to the provision for loan losses.</w:t>
      </w:r>
    </w:p>
    <w:p>
      <w:pPr>
        <w:spacing w:after="0" w:line="220" w:lineRule="exact"/>
        <w:rPr>
          <w:rFonts w:ascii="Arial" w:cs="Arial" w:eastAsia="Arial" w:hAnsi="Arial"/>
          <w:sz w:val="18"/>
          <w:szCs w:val="18"/>
          <w:color w:val="auto"/>
        </w:rPr>
      </w:pPr>
    </w:p>
    <w:p>
      <w:pPr>
        <w:ind w:left="1620" w:right="80"/>
        <w:spacing w:after="0" w:line="279" w:lineRule="auto"/>
        <w:rPr>
          <w:rFonts w:ascii="Arial" w:cs="Arial" w:eastAsia="Arial" w:hAnsi="Arial"/>
          <w:sz w:val="18"/>
          <w:szCs w:val="18"/>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5" w:right="29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620"/>
        <w:spacing w:after="0" w:line="264" w:lineRule="auto"/>
        <w:rPr>
          <w:sz w:val="20"/>
          <w:szCs w:val="20"/>
          <w:color w:val="auto"/>
        </w:rPr>
      </w:pPr>
      <w:r>
        <w:rPr>
          <w:rFonts w:ascii="Arial" w:cs="Arial" w:eastAsia="Arial" w:hAnsi="Arial"/>
          <w:sz w:val="18"/>
          <w:szCs w:val="18"/>
          <w:color w:val="auto"/>
        </w:rPr>
        <w:t>For the purpose of a collective evaluation of impairment, financial assets are grouped on the basis of the Group’s internal credit grading system that considers credit risk characteristics such as asset type, industry, geographical location, collateral type, past-due status and other relevant factors.</w:t>
      </w:r>
    </w:p>
    <w:p>
      <w:pPr>
        <w:spacing w:after="0" w:line="235" w:lineRule="exact"/>
        <w:rPr>
          <w:sz w:val="20"/>
          <w:szCs w:val="20"/>
          <w:color w:val="auto"/>
        </w:rPr>
      </w:pPr>
    </w:p>
    <w:p>
      <w:pPr>
        <w:ind w:left="1620" w:right="20"/>
        <w:spacing w:after="0" w:line="255" w:lineRule="auto"/>
        <w:rPr>
          <w:sz w:val="20"/>
          <w:szCs w:val="20"/>
          <w:color w:val="auto"/>
        </w:rPr>
      </w:pPr>
      <w:r>
        <w:rPr>
          <w:rFonts w:ascii="Arial" w:cs="Arial" w:eastAsia="Arial" w:hAnsi="Arial"/>
          <w:sz w:val="18"/>
          <w:szCs w:val="18"/>
          <w:color w:val="auto"/>
        </w:rPr>
        <w:t>Future cash flows on a group of financial assets that are collectively evaluated for impairment are estimated on the basis of historical loss experience for assets with credit risk characteristics similar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exist currently. The methodology and assumptions used for estimating future cash flows are reviewed regularly to reduce any differences between loss estimates and actual loss experience.</w:t>
      </w:r>
    </w:p>
    <w:p>
      <w:pPr>
        <w:spacing w:after="0" w:line="247" w:lineRule="exact"/>
        <w:rPr>
          <w:sz w:val="20"/>
          <w:szCs w:val="20"/>
          <w:color w:val="auto"/>
        </w:rPr>
      </w:pPr>
    </w:p>
    <w:p>
      <w:pPr>
        <w:ind w:left="1620" w:hanging="478"/>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220"/>
        <w:spacing w:after="0" w:line="288" w:lineRule="auto"/>
        <w:rPr>
          <w:rFonts w:ascii="Arial" w:cs="Arial" w:eastAsia="Arial" w:hAnsi="Arial"/>
          <w:sz w:val="18"/>
          <w:szCs w:val="18"/>
          <w:color w:val="auto"/>
        </w:rPr>
      </w:pPr>
      <w:r>
        <w:rPr>
          <w:rFonts w:ascii="Arial" w:cs="Arial" w:eastAsia="Arial" w:hAnsi="Arial"/>
          <w:sz w:val="16"/>
          <w:szCs w:val="16"/>
          <w:color w:val="auto"/>
        </w:rPr>
        <w:t>For available-for-sale financial investments, the Group assesses at each consolidated balance sheet date whether there is objective evidence that an investment or a group of investments is impaired. In the case of equity investments classified as available-for-sale, objective evidence would include a significant or prolonged decline in the fair value of the investment below its cost. Where there is evidence of impairment, the cumulative loss (measured as the difference between the acquisition cost and the current fair value, less any impairment loss on that investment previously recognized in the consolidated income statement) is removed from equity and recognized in the consolidated income statement. Impairment losses on equity investments are not reversed through the consolidated income statement; increases in their fair value after impairment are recognized directly in equity.</w:t>
      </w:r>
    </w:p>
    <w:p>
      <w:pPr>
        <w:spacing w:after="0" w:line="222" w:lineRule="exact"/>
        <w:rPr>
          <w:rFonts w:ascii="Arial" w:cs="Arial" w:eastAsia="Arial" w:hAnsi="Arial"/>
          <w:sz w:val="18"/>
          <w:szCs w:val="18"/>
          <w:color w:val="auto"/>
        </w:rPr>
      </w:pPr>
    </w:p>
    <w:p>
      <w:pPr>
        <w:ind w:left="1620" w:right="100"/>
        <w:spacing w:after="0" w:line="273" w:lineRule="auto"/>
        <w:rPr>
          <w:rFonts w:ascii="Arial" w:cs="Arial" w:eastAsia="Arial" w:hAnsi="Arial"/>
          <w:sz w:val="18"/>
          <w:szCs w:val="18"/>
          <w:color w:val="auto"/>
        </w:rPr>
      </w:pPr>
      <w:r>
        <w:rPr>
          <w:rFonts w:ascii="Arial" w:cs="Arial" w:eastAsia="Arial" w:hAnsi="Arial"/>
          <w:sz w:val="17"/>
          <w:szCs w:val="17"/>
          <w:color w:val="auto"/>
        </w:rPr>
        <w:t>In the case of debt instruments classified as available-for-sale, impairment is assessed based on the same criteria as financial assets carried at amortized cost. Future interest income is based on the reduced carrying amount and is accrued using the rate of interest used to discount the future cash flows for the purpose of measuring the impairment loss. The interest income is recorded as part of “Interest and dividend income”.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232" w:lineRule="exact"/>
        <w:rPr>
          <w:rFonts w:ascii="Arial" w:cs="Arial" w:eastAsia="Arial" w:hAnsi="Arial"/>
          <w:sz w:val="18"/>
          <w:szCs w:val="18"/>
          <w:color w:val="auto"/>
        </w:rPr>
      </w:pPr>
    </w:p>
    <w:p>
      <w:pPr>
        <w:ind w:left="1620" w:hanging="478"/>
        <w:spacing w:after="0"/>
        <w:tabs>
          <w:tab w:leader="none" w:pos="16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3" w:lineRule="exact"/>
        <w:rPr>
          <w:rFonts w:ascii="Arial" w:cs="Arial" w:eastAsia="Arial" w:hAnsi="Arial"/>
          <w:sz w:val="18"/>
          <w:szCs w:val="18"/>
          <w:color w:val="auto"/>
        </w:rPr>
      </w:pPr>
    </w:p>
    <w:p>
      <w:pPr>
        <w:ind w:left="1620" w:right="120"/>
        <w:spacing w:after="0" w:line="253" w:lineRule="auto"/>
        <w:rPr>
          <w:rFonts w:ascii="Arial" w:cs="Arial" w:eastAsia="Arial" w:hAnsi="Arial"/>
          <w:sz w:val="18"/>
          <w:szCs w:val="18"/>
          <w:color w:val="auto"/>
        </w:rPr>
      </w:pPr>
      <w:r>
        <w:rPr>
          <w:rFonts w:ascii="Arial" w:cs="Arial" w:eastAsia="Arial" w:hAnsi="Arial"/>
          <w:sz w:val="18"/>
          <w:szCs w:val="18"/>
          <w:color w:val="auto"/>
        </w:rPr>
        <w:t>Where possible, the Group seeks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The loans continue to be subject to an individual or collective impairment assessment, calculated using the loan’s original effective interest rate.</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8980" w:hanging="484"/>
        <w:spacing w:after="0" w:line="310" w:lineRule="auto"/>
        <w:tabs>
          <w:tab w:leader="none" w:pos="11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Leases - Operating leases:</w:t>
      </w:r>
    </w:p>
    <w:p>
      <w:pPr>
        <w:ind w:left="1140" w:right="80"/>
        <w:spacing w:after="0" w:line="261" w:lineRule="auto"/>
        <w:rPr>
          <w:rFonts w:ascii="Arial" w:cs="Arial" w:eastAsia="Arial" w:hAnsi="Arial"/>
          <w:sz w:val="15"/>
          <w:szCs w:val="15"/>
          <w:color w:val="auto"/>
        </w:rPr>
      </w:pPr>
      <w:r>
        <w:rPr>
          <w:rFonts w:ascii="Arial" w:cs="Arial" w:eastAsia="Arial" w:hAnsi="Arial"/>
          <w:sz w:val="18"/>
          <w:szCs w:val="18"/>
          <w:color w:val="auto"/>
        </w:rPr>
        <w:t>Leases in which a significant portion of the risks and relative benefits of the property are hold by the lessor are classified as operating leases. By this concept, the Group maintains principally leases used as offices and agencies for the Bank.</w:t>
      </w:r>
    </w:p>
    <w:p>
      <w:pPr>
        <w:spacing w:after="0" w:line="237" w:lineRule="exact"/>
        <w:rPr>
          <w:rFonts w:ascii="Arial" w:cs="Arial" w:eastAsia="Arial" w:hAnsi="Arial"/>
          <w:sz w:val="15"/>
          <w:szCs w:val="15"/>
          <w:color w:val="auto"/>
        </w:rPr>
      </w:pPr>
    </w:p>
    <w:p>
      <w:pPr>
        <w:ind w:left="1140"/>
        <w:spacing w:after="0" w:line="277" w:lineRule="auto"/>
        <w:rPr>
          <w:rFonts w:ascii="Arial" w:cs="Arial" w:eastAsia="Arial" w:hAnsi="Arial"/>
          <w:sz w:val="15"/>
          <w:szCs w:val="15"/>
          <w:color w:val="auto"/>
        </w:rPr>
      </w:pPr>
      <w:r>
        <w:rPr>
          <w:rFonts w:ascii="Arial" w:cs="Arial" w:eastAsia="Arial" w:hAnsi="Arial"/>
          <w:sz w:val="18"/>
          <w:szCs w:val="18"/>
          <w:color w:val="auto"/>
        </w:rPr>
        <w:t>When an operating lease is terminated before the lease period has expired, any payment required to be made to the lessor by way of penalty is recognized as an expense in the period in which termination takes place.</w:t>
      </w:r>
    </w:p>
    <w:p>
      <w:pPr>
        <w:spacing w:after="0" w:line="22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color w:val="auto"/>
        </w:rPr>
        <w:t>Finance leases:</w:t>
      </w:r>
    </w:p>
    <w:p>
      <w:pPr>
        <w:spacing w:after="0" w:line="23" w:lineRule="exact"/>
        <w:rPr>
          <w:rFonts w:ascii="Arial" w:cs="Arial" w:eastAsia="Arial" w:hAnsi="Arial"/>
          <w:sz w:val="15"/>
          <w:szCs w:val="15"/>
          <w:color w:val="auto"/>
        </w:rPr>
      </w:pPr>
    </w:p>
    <w:p>
      <w:pPr>
        <w:ind w:left="1140"/>
        <w:spacing w:after="0" w:line="255" w:lineRule="auto"/>
        <w:rPr>
          <w:rFonts w:ascii="Arial" w:cs="Arial" w:eastAsia="Arial" w:hAnsi="Arial"/>
          <w:sz w:val="15"/>
          <w:szCs w:val="15"/>
          <w:color w:val="auto"/>
        </w:rPr>
      </w:pPr>
      <w:r>
        <w:rPr>
          <w:rFonts w:ascii="Arial" w:cs="Arial" w:eastAsia="Arial" w:hAnsi="Arial"/>
          <w:sz w:val="18"/>
          <w:szCs w:val="18"/>
          <w:color w:val="auto"/>
        </w:rPr>
        <w:t>The Group grants finance leases; therefore, it recognizes the present value of the lease payments as an asset.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244" w:lineRule="exact"/>
        <w:rPr>
          <w:rFonts w:ascii="Arial" w:cs="Arial" w:eastAsia="Arial" w:hAnsi="Arial"/>
          <w:sz w:val="15"/>
          <w:szCs w:val="15"/>
          <w:color w:val="auto"/>
        </w:rPr>
      </w:pPr>
    </w:p>
    <w:p>
      <w:pPr>
        <w:ind w:left="1140" w:hanging="484"/>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3" w:lineRule="exact"/>
        <w:rPr>
          <w:rFonts w:ascii="Arial" w:cs="Arial" w:eastAsia="Arial" w:hAnsi="Arial"/>
          <w:sz w:val="18"/>
          <w:szCs w:val="18"/>
          <w:color w:val="auto"/>
        </w:rPr>
      </w:pPr>
    </w:p>
    <w:p>
      <w:pPr>
        <w:ind w:left="1140" w:right="60"/>
        <w:spacing w:after="0" w:line="253" w:lineRule="auto"/>
        <w:rPr>
          <w:rFonts w:ascii="Arial" w:cs="Arial" w:eastAsia="Arial" w:hAnsi="Arial"/>
          <w:sz w:val="18"/>
          <w:szCs w:val="18"/>
          <w:color w:val="auto"/>
        </w:rPr>
      </w:pPr>
      <w:r>
        <w:rPr>
          <w:rFonts w:ascii="Arial" w:cs="Arial" w:eastAsia="Arial" w:hAnsi="Arial"/>
          <w:sz w:val="18"/>
          <w:szCs w:val="18"/>
          <w:color w:val="auto"/>
        </w:rPr>
        <w:t>Land and buildings comprise mainly branches and offices. All property, furniture and equipment are stated at historical acquisition cost less depreciation and impairment, if applicable.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for the asset.</w:t>
      </w:r>
    </w:p>
    <w:p>
      <w:pPr>
        <w:spacing w:after="0" w:line="245" w:lineRule="exact"/>
        <w:rPr>
          <w:rFonts w:ascii="Arial" w:cs="Arial" w:eastAsia="Arial" w:hAnsi="Arial"/>
          <w:sz w:val="18"/>
          <w:szCs w:val="18"/>
          <w:color w:val="auto"/>
        </w:rPr>
      </w:pPr>
    </w:p>
    <w:p>
      <w:pPr>
        <w:ind w:left="1140" w:right="280"/>
        <w:spacing w:after="0" w:line="277" w:lineRule="auto"/>
        <w:rPr>
          <w:rFonts w:ascii="Arial" w:cs="Arial" w:eastAsia="Arial" w:hAnsi="Arial"/>
          <w:sz w:val="18"/>
          <w:szCs w:val="18"/>
          <w:color w:val="auto"/>
        </w:rPr>
      </w:pPr>
      <w:r>
        <w:rPr>
          <w:rFonts w:ascii="Arial" w:cs="Arial" w:eastAsia="Arial" w:hAnsi="Arial"/>
          <w:sz w:val="18"/>
          <w:szCs w:val="18"/>
          <w:color w:val="auto"/>
        </w:rPr>
        <w:t>Land is not depreciated. Depreciation of other assets in this caption is calculated using the straight-line method over their estimated useful lives,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8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Years</w:t>
            </w:r>
          </w:p>
        </w:tc>
      </w:tr>
      <w:tr>
        <w:trPr>
          <w:trHeight w:val="486"/>
        </w:trPr>
        <w:tc>
          <w:tcPr>
            <w:tcW w:w="482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Installations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Computer hardware</w:t>
            </w:r>
          </w:p>
        </w:tc>
        <w:tc>
          <w:tcPr>
            <w:tcW w:w="3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Vehicles and equipment</w:t>
            </w:r>
          </w:p>
        </w:tc>
        <w:tc>
          <w:tcPr>
            <w:tcW w:w="32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56" w:lineRule="exact"/>
        <w:rPr>
          <w:sz w:val="20"/>
          <w:szCs w:val="20"/>
          <w:color w:val="auto"/>
        </w:rPr>
      </w:pPr>
    </w:p>
    <w:p>
      <w:pPr>
        <w:ind w:left="1140" w:right="40"/>
        <w:spacing w:after="0" w:line="342" w:lineRule="auto"/>
        <w:rPr>
          <w:sz w:val="20"/>
          <w:szCs w:val="20"/>
          <w:color w:val="auto"/>
        </w:rPr>
      </w:pPr>
      <w:r>
        <w:rPr>
          <w:rFonts w:ascii="Arial" w:cs="Arial" w:eastAsia="Arial" w:hAnsi="Arial"/>
          <w:sz w:val="16"/>
          <w:szCs w:val="16"/>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178" w:lineRule="exact"/>
        <w:rPr>
          <w:sz w:val="20"/>
          <w:szCs w:val="20"/>
          <w:color w:val="auto"/>
        </w:rPr>
      </w:pPr>
    </w:p>
    <w:p>
      <w:pPr>
        <w:ind w:left="1140" w:hanging="484"/>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Assets seized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Assets seized are recorded at the lower of cost or the estimated market value obtained from valuations made by independent appraisals.</w:t>
      </w:r>
    </w:p>
    <w:p>
      <w:pPr>
        <w:spacing w:after="0" w:line="2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Changes in market values are recorded in the consolidated income statements.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5" w:right="29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3" w:lineRule="exact"/>
        <w:rPr>
          <w:rFonts w:ascii="Arial" w:cs="Arial" w:eastAsia="Arial" w:hAnsi="Arial"/>
          <w:sz w:val="18"/>
          <w:szCs w:val="18"/>
          <w:color w:val="auto"/>
        </w:rPr>
      </w:pPr>
    </w:p>
    <w:p>
      <w:pPr>
        <w:ind w:left="1140" w:right="80"/>
        <w:spacing w:after="0" w:line="255" w:lineRule="auto"/>
        <w:rPr>
          <w:rFonts w:ascii="Arial" w:cs="Arial" w:eastAsia="Arial" w:hAnsi="Arial"/>
          <w:sz w:val="18"/>
          <w:szCs w:val="18"/>
          <w:color w:val="auto"/>
        </w:rPr>
      </w:pPr>
      <w:r>
        <w:rPr>
          <w:rFonts w:ascii="Arial" w:cs="Arial" w:eastAsia="Arial" w:hAnsi="Arial"/>
          <w:sz w:val="18"/>
          <w:szCs w:val="18"/>
          <w:color w:val="auto"/>
        </w:rPr>
        <w:t>Comprise internal development and acquired software licenses used by the Group. The software licenses acquired by the Group are measured on initial recognition at cost. These intangible assets are amortized using the straight-line method over their estimated useful life (between 3 and 5 years).</w:t>
      </w:r>
    </w:p>
    <w:p>
      <w:pPr>
        <w:spacing w:after="0" w:line="244" w:lineRule="exact"/>
        <w:rPr>
          <w:rFonts w:ascii="Arial" w:cs="Arial" w:eastAsia="Arial" w:hAnsi="Arial"/>
          <w:sz w:val="18"/>
          <w:szCs w:val="18"/>
          <w:color w:val="auto"/>
        </w:rPr>
      </w:pPr>
    </w:p>
    <w:p>
      <w:pPr>
        <w:ind w:left="1140" w:right="160"/>
        <w:spacing w:after="0" w:line="259" w:lineRule="auto"/>
        <w:rPr>
          <w:rFonts w:ascii="Arial" w:cs="Arial" w:eastAsia="Arial" w:hAnsi="Arial"/>
          <w:sz w:val="18"/>
          <w:szCs w:val="18"/>
          <w:color w:val="auto"/>
        </w:rPr>
      </w:pPr>
      <w:r>
        <w:rPr>
          <w:rFonts w:ascii="Arial" w:cs="Arial" w:eastAsia="Arial" w:hAnsi="Arial"/>
          <w:sz w:val="18"/>
          <w:szCs w:val="18"/>
          <w:color w:val="auto"/>
        </w:rPr>
        <w:t>Additionally, it includes other intangible assets identified as a consequence of the acquisition AFP Unión Vida, note 2(a), mainly the client relationships. Such intangibles are recognized on the consolidated balance sheet at their fair values determine on the acquisition date and are amortized using the straight line method over their estimated useful life of 20 years for “client relationships” and 5 years for the other identified intangible assets.</w:t>
      </w:r>
    </w:p>
    <w:p>
      <w:pPr>
        <w:spacing w:after="0" w:line="240" w:lineRule="exact"/>
        <w:rPr>
          <w:rFonts w:ascii="Arial" w:cs="Arial" w:eastAsia="Arial" w:hAnsi="Arial"/>
          <w:sz w:val="18"/>
          <w:szCs w:val="18"/>
          <w:color w:val="auto"/>
        </w:rPr>
      </w:pPr>
    </w:p>
    <w:p>
      <w:pPr>
        <w:ind w:left="1140" w:hanging="484"/>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1140" w:right="220"/>
        <w:spacing w:after="0" w:line="254" w:lineRule="auto"/>
        <w:rPr>
          <w:rFonts w:ascii="Arial" w:cs="Arial" w:eastAsia="Arial" w:hAnsi="Arial"/>
          <w:sz w:val="18"/>
          <w:szCs w:val="18"/>
          <w:color w:val="auto"/>
        </w:rPr>
      </w:pPr>
      <w:r>
        <w:rPr>
          <w:rFonts w:ascii="Arial" w:cs="Arial" w:eastAsia="Arial" w:hAnsi="Arial"/>
          <w:sz w:val="18"/>
          <w:szCs w:val="18"/>
          <w:color w:val="auto"/>
        </w:rPr>
        <w:t>Goodwill represents the excess of the cost of acquisition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24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In accordance with IFRS 3, since January 1</w:t>
      </w:r>
      <w:r>
        <w:rPr>
          <w:rFonts w:ascii="Arial" w:cs="Arial" w:eastAsia="Arial" w:hAnsi="Arial"/>
          <w:sz w:val="30"/>
          <w:szCs w:val="30"/>
          <w:color w:val="auto"/>
          <w:vertAlign w:val="superscript"/>
        </w:rPr>
        <w:t>st</w:t>
      </w:r>
      <w:r>
        <w:rPr>
          <w:rFonts w:ascii="Arial" w:cs="Arial" w:eastAsia="Arial" w:hAnsi="Arial"/>
          <w:sz w:val="18"/>
          <w:szCs w:val="18"/>
          <w:color w:val="auto"/>
        </w:rPr>
        <w:t>, 2005, the Group has ceased the amortization of goodwill.</w:t>
      </w:r>
    </w:p>
    <w:p>
      <w:pPr>
        <w:spacing w:after="0" w:line="178" w:lineRule="exact"/>
        <w:rPr>
          <w:rFonts w:ascii="Arial" w:cs="Arial" w:eastAsia="Arial" w:hAnsi="Arial"/>
          <w:sz w:val="18"/>
          <w:szCs w:val="18"/>
          <w:color w:val="auto"/>
        </w:rPr>
      </w:pPr>
    </w:p>
    <w:p>
      <w:pPr>
        <w:ind w:left="1140" w:hanging="484"/>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3" w:lineRule="exact"/>
        <w:rPr>
          <w:rFonts w:ascii="Arial" w:cs="Arial" w:eastAsia="Arial" w:hAnsi="Arial"/>
          <w:sz w:val="18"/>
          <w:szCs w:val="18"/>
          <w:color w:val="auto"/>
        </w:rPr>
      </w:pPr>
    </w:p>
    <w:p>
      <w:pPr>
        <w:ind w:left="1140" w:right="140"/>
        <w:spacing w:after="0" w:line="253" w:lineRule="auto"/>
        <w:rPr>
          <w:rFonts w:ascii="Arial" w:cs="Arial" w:eastAsia="Arial" w:hAnsi="Arial"/>
          <w:sz w:val="18"/>
          <w:szCs w:val="18"/>
          <w:color w:val="auto"/>
        </w:rPr>
      </w:pPr>
      <w:r>
        <w:rPr>
          <w:rFonts w:ascii="Arial" w:cs="Arial" w:eastAsia="Arial" w:hAnsi="Arial"/>
          <w:sz w:val="18"/>
          <w:szCs w:val="18"/>
          <w:color w:val="auto"/>
        </w:rPr>
        <w:t>The Group assesses at each reporting date or more frequently if events or changes in circumstances indicate that the carrying value may be impaired, whether there is an indication that a non-financial asset may be impaired. If any such indication exists, or when annual impairment testing for an asset is required, the Group makes an estimate of the asset’s recoverable amount. Where the carrying amount of an asset (or cash-generating unit) exceeds its recoverable amount, the asset (or cash-generating unit) is considered impaired and is written down to its recoverable amount.</w:t>
      </w:r>
    </w:p>
    <w:p>
      <w:pPr>
        <w:spacing w:after="0" w:line="245" w:lineRule="exact"/>
        <w:rPr>
          <w:rFonts w:ascii="Arial" w:cs="Arial" w:eastAsia="Arial" w:hAnsi="Arial"/>
          <w:sz w:val="18"/>
          <w:szCs w:val="18"/>
          <w:color w:val="auto"/>
        </w:rPr>
      </w:pPr>
    </w:p>
    <w:p>
      <w:pPr>
        <w:ind w:left="1140"/>
        <w:spacing w:after="0" w:line="297" w:lineRule="auto"/>
        <w:rPr>
          <w:rFonts w:ascii="Arial" w:cs="Arial" w:eastAsia="Arial" w:hAnsi="Arial"/>
          <w:sz w:val="18"/>
          <w:szCs w:val="18"/>
          <w:color w:val="auto"/>
        </w:rPr>
      </w:pPr>
      <w:r>
        <w:rPr>
          <w:rFonts w:ascii="Arial" w:cs="Arial" w:eastAsia="Arial" w:hAnsi="Arial"/>
          <w:sz w:val="16"/>
          <w:szCs w:val="16"/>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3" w:lineRule="exact"/>
        <w:rPr>
          <w:rFonts w:ascii="Arial" w:cs="Arial" w:eastAsia="Arial" w:hAnsi="Arial"/>
          <w:sz w:val="18"/>
          <w:szCs w:val="18"/>
          <w:color w:val="auto"/>
        </w:rPr>
      </w:pPr>
    </w:p>
    <w:p>
      <w:pPr>
        <w:ind w:left="1140" w:right="160"/>
        <w:spacing w:after="0" w:line="255" w:lineRule="auto"/>
        <w:rPr>
          <w:rFonts w:ascii="Arial" w:cs="Arial" w:eastAsia="Arial" w:hAnsi="Arial"/>
          <w:sz w:val="18"/>
          <w:szCs w:val="18"/>
          <w:color w:val="auto"/>
        </w:rPr>
      </w:pPr>
      <w:r>
        <w:rPr>
          <w:rFonts w:ascii="Arial" w:cs="Arial" w:eastAsia="Arial" w:hAnsi="Arial"/>
          <w:sz w:val="18"/>
          <w:szCs w:val="18"/>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244" w:lineRule="exact"/>
        <w:rPr>
          <w:rFonts w:ascii="Arial" w:cs="Arial" w:eastAsia="Arial" w:hAnsi="Arial"/>
          <w:sz w:val="18"/>
          <w:szCs w:val="18"/>
          <w:color w:val="auto"/>
        </w:rPr>
      </w:pPr>
    </w:p>
    <w:p>
      <w:pPr>
        <w:ind w:left="1140" w:hanging="484"/>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3" w:lineRule="exact"/>
        <w:rPr>
          <w:rFonts w:ascii="Arial" w:cs="Arial" w:eastAsia="Arial" w:hAnsi="Arial"/>
          <w:sz w:val="18"/>
          <w:szCs w:val="18"/>
          <w:color w:val="auto"/>
        </w:rPr>
      </w:pPr>
    </w:p>
    <w:p>
      <w:pPr>
        <w:ind w:left="1140" w:right="120"/>
        <w:spacing w:after="0" w:line="273" w:lineRule="auto"/>
        <w:rPr>
          <w:rFonts w:ascii="Arial" w:cs="Arial" w:eastAsia="Arial" w:hAnsi="Arial"/>
          <w:sz w:val="18"/>
          <w:szCs w:val="18"/>
          <w:color w:val="auto"/>
        </w:rPr>
      </w:pPr>
      <w:r>
        <w:rPr>
          <w:rFonts w:ascii="Arial" w:cs="Arial" w:eastAsia="Arial" w:hAnsi="Arial"/>
          <w:sz w:val="17"/>
          <w:szCs w:val="17"/>
          <w:color w:val="auto"/>
        </w:rPr>
        <w:t>In the ordinary course of business, the Group gives financial guarantees, consisting of letters of credit, guarantees and acceptances. Financial guarantees are initially recognized in the consolidated financial statements at fair value, in “Other liabilities”, being the premium received. Subsequent to initial recognition, the Group’s liability under each guarantee is measured at the higher of the amortized premium and the best estimate of expenditure required to settle any financial obligation arising as a result of the guarantee.</w:t>
      </w:r>
    </w:p>
    <w:p>
      <w:pPr>
        <w:spacing w:after="0" w:line="230" w:lineRule="exact"/>
        <w:rPr>
          <w:rFonts w:ascii="Arial" w:cs="Arial" w:eastAsia="Arial" w:hAnsi="Arial"/>
          <w:sz w:val="18"/>
          <w:szCs w:val="18"/>
          <w:color w:val="auto"/>
        </w:rPr>
      </w:pPr>
    </w:p>
    <w:p>
      <w:pPr>
        <w:ind w:left="1140" w:right="460"/>
        <w:spacing w:after="0" w:line="308" w:lineRule="auto"/>
        <w:rPr>
          <w:rFonts w:ascii="Arial" w:cs="Arial" w:eastAsia="Arial" w:hAnsi="Arial"/>
          <w:sz w:val="18"/>
          <w:szCs w:val="18"/>
          <w:color w:val="auto"/>
        </w:rPr>
      </w:pPr>
      <w:r>
        <w:rPr>
          <w:rFonts w:ascii="Arial" w:cs="Arial" w:eastAsia="Arial" w:hAnsi="Arial"/>
          <w:sz w:val="17"/>
          <w:szCs w:val="17"/>
          <w:color w:val="auto"/>
        </w:rPr>
        <w:t>Any increase in the liability relating to financial guarantees is taken to the income statement. The premium received is recognized in the income statement in the caption “Banking services commissions” on a straight line basis over the life of the guarantee.</w:t>
      </w:r>
    </w:p>
    <w:p>
      <w:pPr>
        <w:spacing w:after="0" w:line="200" w:lineRule="exact"/>
        <w:rPr>
          <w:rFonts w:ascii="Arial" w:cs="Arial" w:eastAsia="Arial" w:hAnsi="Arial"/>
          <w:sz w:val="18"/>
          <w:szCs w:val="18"/>
          <w:color w:val="auto"/>
        </w:rPr>
      </w:pPr>
    </w:p>
    <w:p>
      <w:pPr>
        <w:ind w:left="1140" w:hanging="484"/>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Group only operates a defined contribution pension plan. The contribution payable to a defined contribution plan is in proportion to the services rendered to the Group by the employees and is recorded as an expense in the caption “Salaries and employees benefits” of the income statement. Unpaid contributions are recorded as a liability.</w:t>
      </w:r>
    </w:p>
    <w:p>
      <w:pPr>
        <w:spacing w:after="0" w:line="244" w:lineRule="exact"/>
        <w:rPr>
          <w:rFonts w:ascii="Arial" w:cs="Arial" w:eastAsia="Arial" w:hAnsi="Arial"/>
          <w:sz w:val="18"/>
          <w:szCs w:val="18"/>
          <w:color w:val="auto"/>
        </w:rPr>
      </w:pPr>
    </w:p>
    <w:p>
      <w:pPr>
        <w:ind w:left="1140" w:hanging="484"/>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3" w:lineRule="exact"/>
        <w:rPr>
          <w:rFonts w:ascii="Arial" w:cs="Arial" w:eastAsia="Arial" w:hAnsi="Arial"/>
          <w:sz w:val="18"/>
          <w:szCs w:val="18"/>
          <w:color w:val="auto"/>
        </w:rPr>
      </w:pPr>
    </w:p>
    <w:p>
      <w:pPr>
        <w:ind w:left="1140" w:right="500"/>
        <w:spacing w:after="0" w:line="302" w:lineRule="auto"/>
        <w:rPr>
          <w:rFonts w:ascii="Arial" w:cs="Arial" w:eastAsia="Arial" w:hAnsi="Arial"/>
          <w:sz w:val="18"/>
          <w:szCs w:val="18"/>
          <w:color w:val="auto"/>
        </w:rPr>
      </w:pPr>
      <w:r>
        <w:rPr>
          <w:rFonts w:ascii="Arial" w:cs="Arial" w:eastAsia="Arial" w:hAnsi="Arial"/>
          <w:sz w:val="16"/>
          <w:szCs w:val="16"/>
          <w:color w:val="auto"/>
        </w:rPr>
        <w:t>Provisions for legal claims are recognized when the Group has a present (legal) or constructive obligation as a result of past events, it is probable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209" w:lineRule="exact"/>
        <w:rPr>
          <w:rFonts w:ascii="Arial" w:cs="Arial" w:eastAsia="Arial" w:hAnsi="Arial"/>
          <w:sz w:val="18"/>
          <w:szCs w:val="18"/>
          <w:color w:val="auto"/>
        </w:rPr>
      </w:pPr>
    </w:p>
    <w:p>
      <w:pPr>
        <w:ind w:left="1140" w:hanging="484"/>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3" w:lineRule="exact"/>
        <w:rPr>
          <w:rFonts w:ascii="Arial" w:cs="Arial" w:eastAsia="Arial" w:hAnsi="Arial"/>
          <w:sz w:val="18"/>
          <w:szCs w:val="18"/>
          <w:color w:val="auto"/>
        </w:rPr>
      </w:pPr>
    </w:p>
    <w:p>
      <w:pPr>
        <w:ind w:left="1140" w:right="460"/>
        <w:spacing w:after="0" w:line="261"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237" w:lineRule="exact"/>
        <w:rPr>
          <w:rFonts w:ascii="Arial" w:cs="Arial" w:eastAsia="Arial" w:hAnsi="Arial"/>
          <w:sz w:val="18"/>
          <w:szCs w:val="18"/>
          <w:color w:val="auto"/>
        </w:rPr>
      </w:pPr>
    </w:p>
    <w:p>
      <w:pPr>
        <w:ind w:left="1140" w:hanging="484"/>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Income tax and workers’ profit sharing -</w:t>
      </w:r>
    </w:p>
    <w:p>
      <w:pPr>
        <w:spacing w:after="0" w:line="23" w:lineRule="exact"/>
        <w:rPr>
          <w:rFonts w:ascii="Arial" w:cs="Arial" w:eastAsia="Arial" w:hAnsi="Arial"/>
          <w:sz w:val="18"/>
          <w:szCs w:val="18"/>
          <w:color w:val="auto"/>
        </w:rPr>
      </w:pPr>
    </w:p>
    <w:p>
      <w:pPr>
        <w:ind w:left="1140" w:right="840"/>
        <w:spacing w:after="0" w:line="261" w:lineRule="auto"/>
        <w:rPr>
          <w:rFonts w:ascii="Arial" w:cs="Arial" w:eastAsia="Arial" w:hAnsi="Arial"/>
          <w:sz w:val="18"/>
          <w:szCs w:val="18"/>
          <w:color w:val="auto"/>
        </w:rPr>
      </w:pPr>
      <w:r>
        <w:rPr>
          <w:rFonts w:ascii="Arial" w:cs="Arial" w:eastAsia="Arial" w:hAnsi="Arial"/>
          <w:sz w:val="18"/>
          <w:szCs w:val="18"/>
          <w:color w:val="auto"/>
        </w:rPr>
        <w:t>Income tax and workers’ profit sharing and are computed based on individual financial statements of Credicorp and each one of its subsidiaries.</w:t>
      </w:r>
    </w:p>
    <w:p>
      <w:pPr>
        <w:spacing w:after="0" w:line="237" w:lineRule="exact"/>
        <w:rPr>
          <w:rFonts w:ascii="Arial" w:cs="Arial" w:eastAsia="Arial" w:hAnsi="Arial"/>
          <w:sz w:val="18"/>
          <w:szCs w:val="18"/>
          <w:color w:val="auto"/>
        </w:rPr>
      </w:pPr>
    </w:p>
    <w:p>
      <w:pPr>
        <w:ind w:left="1140" w:right="40"/>
        <w:spacing w:after="0" w:line="297" w:lineRule="auto"/>
        <w:rPr>
          <w:rFonts w:ascii="Arial" w:cs="Arial" w:eastAsia="Arial" w:hAnsi="Arial"/>
          <w:sz w:val="18"/>
          <w:szCs w:val="18"/>
          <w:color w:val="auto"/>
        </w:rPr>
      </w:pPr>
      <w:r>
        <w:rPr>
          <w:rFonts w:ascii="Arial" w:cs="Arial" w:eastAsia="Arial" w:hAnsi="Arial"/>
          <w:sz w:val="16"/>
          <w:szCs w:val="16"/>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180"/>
        <w:spacing w:after="0" w:line="259" w:lineRule="auto"/>
        <w:rPr>
          <w:sz w:val="20"/>
          <w:szCs w:val="20"/>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241" w:lineRule="exact"/>
        <w:rPr>
          <w:sz w:val="20"/>
          <w:szCs w:val="20"/>
          <w:color w:val="auto"/>
        </w:rPr>
      </w:pPr>
    </w:p>
    <w:p>
      <w:pPr>
        <w:ind w:left="1140" w:right="80"/>
        <w:spacing w:after="0" w:line="277"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224" w:lineRule="exact"/>
        <w:rPr>
          <w:sz w:val="20"/>
          <w:szCs w:val="20"/>
          <w:color w:val="auto"/>
        </w:rPr>
      </w:pPr>
    </w:p>
    <w:p>
      <w:pPr>
        <w:ind w:left="1140" w:hanging="484"/>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3" w:lineRule="exact"/>
        <w:rPr>
          <w:rFonts w:ascii="Arial" w:cs="Arial" w:eastAsia="Arial" w:hAnsi="Arial"/>
          <w:sz w:val="18"/>
          <w:szCs w:val="18"/>
          <w:color w:val="auto"/>
        </w:rPr>
      </w:pPr>
    </w:p>
    <w:p>
      <w:pPr>
        <w:ind w:left="1140" w:right="500"/>
        <w:spacing w:after="0" w:line="281" w:lineRule="auto"/>
        <w:rPr>
          <w:rFonts w:ascii="Arial" w:cs="Arial" w:eastAsia="Arial" w:hAnsi="Arial"/>
          <w:sz w:val="18"/>
          <w:szCs w:val="18"/>
          <w:color w:val="auto"/>
        </w:rPr>
      </w:pPr>
      <w:r>
        <w:rPr>
          <w:rFonts w:ascii="Arial" w:cs="Arial" w:eastAsia="Arial" w:hAnsi="Arial"/>
          <w:sz w:val="16"/>
          <w:szCs w:val="16"/>
          <w:color w:val="auto"/>
        </w:rPr>
        <w:t>Basic and diluted earnings per share are calculated by dividing the net profit attributable to Credicorp’s equity holders by the weighted average number of ordinary shares outstanding during the year, excluding the average number of ordinary shares purchased and held as treasury stock. For the years ending December 31, 2007, 2006 and 2005 Credicorp has no financial instruments with dilutive effects.</w:t>
      </w:r>
    </w:p>
    <w:p>
      <w:pPr>
        <w:spacing w:after="0" w:line="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Therefore, basic and diluted earnings per share are the same for all years presented.</w:t>
      </w:r>
    </w:p>
    <w:p>
      <w:pPr>
        <w:spacing w:after="0" w:line="264" w:lineRule="exact"/>
        <w:rPr>
          <w:rFonts w:ascii="Arial" w:cs="Arial" w:eastAsia="Arial" w:hAnsi="Arial"/>
          <w:sz w:val="18"/>
          <w:szCs w:val="18"/>
          <w:color w:val="auto"/>
        </w:rPr>
      </w:pPr>
    </w:p>
    <w:p>
      <w:pPr>
        <w:ind w:left="1140" w:hanging="484"/>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3" w:lineRule="exact"/>
        <w:rPr>
          <w:rFonts w:ascii="Arial" w:cs="Arial" w:eastAsia="Arial" w:hAnsi="Arial"/>
          <w:sz w:val="18"/>
          <w:szCs w:val="18"/>
          <w:color w:val="auto"/>
        </w:rPr>
      </w:pPr>
    </w:p>
    <w:p>
      <w:pPr>
        <w:ind w:left="1140"/>
        <w:spacing w:after="0" w:line="295" w:lineRule="auto"/>
        <w:rPr>
          <w:rFonts w:ascii="Arial" w:cs="Arial" w:eastAsia="Arial" w:hAnsi="Arial"/>
          <w:sz w:val="18"/>
          <w:szCs w:val="18"/>
          <w:color w:val="auto"/>
        </w:rPr>
      </w:pPr>
      <w:r>
        <w:rPr>
          <w:rFonts w:ascii="Arial" w:cs="Arial" w:eastAsia="Arial" w:hAnsi="Arial"/>
          <w:sz w:val="16"/>
          <w:szCs w:val="16"/>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note 20.</w:t>
      </w:r>
    </w:p>
    <w:p>
      <w:pPr>
        <w:spacing w:after="0" w:line="216" w:lineRule="exact"/>
        <w:rPr>
          <w:sz w:val="20"/>
          <w:szCs w:val="20"/>
          <w:color w:val="auto"/>
        </w:rPr>
      </w:pPr>
    </w:p>
    <w:p>
      <w:pPr>
        <w:jc w:val="both"/>
        <w:ind w:left="1140"/>
        <w:spacing w:after="0" w:line="312" w:lineRule="auto"/>
        <w:rPr>
          <w:sz w:val="20"/>
          <w:szCs w:val="20"/>
          <w:color w:val="auto"/>
        </w:rPr>
      </w:pPr>
      <w:r>
        <w:rPr>
          <w:rFonts w:ascii="Arial" w:cs="Arial" w:eastAsia="Arial" w:hAnsi="Arial"/>
          <w:sz w:val="16"/>
          <w:szCs w:val="16"/>
          <w:color w:val="auto"/>
        </w:rPr>
        <w:t>The recorded expense in each year for these participations corresponds to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7820" w:hanging="484"/>
        <w:spacing w:after="0" w:line="258" w:lineRule="auto"/>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Derivative financial instruments - Trading:</w:t>
      </w:r>
    </w:p>
    <w:p>
      <w:pPr>
        <w:spacing w:after="0" w:line="1" w:lineRule="exact"/>
        <w:rPr>
          <w:rFonts w:ascii="Arial" w:cs="Arial" w:eastAsia="Arial" w:hAnsi="Arial"/>
          <w:sz w:val="18"/>
          <w:szCs w:val="18"/>
          <w:color w:val="auto"/>
        </w:rPr>
      </w:pPr>
    </w:p>
    <w:p>
      <w:pPr>
        <w:ind w:left="1140" w:right="160"/>
        <w:spacing w:after="0" w:line="261" w:lineRule="auto"/>
        <w:rPr>
          <w:rFonts w:ascii="Arial" w:cs="Arial" w:eastAsia="Arial" w:hAnsi="Arial"/>
          <w:sz w:val="18"/>
          <w:szCs w:val="18"/>
          <w:color w:val="auto"/>
        </w:rPr>
      </w:pPr>
      <w:r>
        <w:rPr>
          <w:rFonts w:ascii="Arial" w:cs="Arial" w:eastAsia="Arial" w:hAnsi="Arial"/>
          <w:sz w:val="18"/>
          <w:szCs w:val="18"/>
          <w:color w:val="auto"/>
        </w:rPr>
        <w:t>Most transactions with derivatives, while providing effective economic hedges under Group’s risk management positions, do not qualify for hedge accounting under the specific rules of IAS 39 and are therefore treated as trading derivatives.</w:t>
      </w:r>
    </w:p>
    <w:p>
      <w:pPr>
        <w:spacing w:after="0" w:line="237"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balance sheet at cost and subsequently are re-measured at their fair value. Fair values are obtained based on the market exchange rates and interest rates. All derivatives are carried as assets when fair value is positive and as liabilities when fair value is negative. Gain and losses for changes in their fair value are recorded in the consolidated income statements.</w:t>
      </w:r>
    </w:p>
    <w:p>
      <w:pPr>
        <w:spacing w:after="0" w:line="24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Hedge:</w:t>
      </w:r>
    </w:p>
    <w:p>
      <w:pPr>
        <w:spacing w:after="0" w:line="23" w:lineRule="exact"/>
        <w:rPr>
          <w:rFonts w:ascii="Arial" w:cs="Arial" w:eastAsia="Arial" w:hAnsi="Arial"/>
          <w:sz w:val="18"/>
          <w:szCs w:val="18"/>
          <w:color w:val="auto"/>
        </w:rPr>
      </w:pPr>
    </w:p>
    <w:p>
      <w:pPr>
        <w:ind w:left="1140" w:right="40"/>
        <w:spacing w:after="0" w:line="261" w:lineRule="auto"/>
        <w:rPr>
          <w:rFonts w:ascii="Arial" w:cs="Arial" w:eastAsia="Arial" w:hAnsi="Arial"/>
          <w:sz w:val="18"/>
          <w:szCs w:val="18"/>
          <w:color w:val="auto"/>
        </w:rPr>
      </w:pPr>
      <w:r>
        <w:rPr>
          <w:rFonts w:ascii="Arial" w:cs="Arial" w:eastAsia="Arial" w:hAnsi="Arial"/>
          <w:sz w:val="18"/>
          <w:szCs w:val="18"/>
          <w:color w:val="auto"/>
        </w:rPr>
        <w:t>The Group makes use of derivative instruments to manage exposures to interest rate and foreign currency. In order to manage particular risks, the Group applies hedge accounting for transactions which meet the specified criteria.</w:t>
      </w:r>
    </w:p>
    <w:p>
      <w:pPr>
        <w:spacing w:after="0" w:line="237" w:lineRule="exact"/>
        <w:rPr>
          <w:rFonts w:ascii="Arial" w:cs="Arial" w:eastAsia="Arial" w:hAnsi="Arial"/>
          <w:sz w:val="18"/>
          <w:szCs w:val="18"/>
          <w:color w:val="auto"/>
        </w:rPr>
      </w:pPr>
    </w:p>
    <w:p>
      <w:pPr>
        <w:ind w:left="1140" w:right="160"/>
        <w:spacing w:after="0" w:line="264" w:lineRule="auto"/>
        <w:rPr>
          <w:rFonts w:ascii="Arial" w:cs="Arial" w:eastAsia="Arial" w:hAnsi="Arial"/>
          <w:sz w:val="18"/>
          <w:szCs w:val="18"/>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235" w:lineRule="exact"/>
        <w:rPr>
          <w:rFonts w:ascii="Arial" w:cs="Arial" w:eastAsia="Arial" w:hAnsi="Arial"/>
          <w:sz w:val="18"/>
          <w:szCs w:val="18"/>
          <w:color w:val="auto"/>
        </w:rPr>
      </w:pPr>
    </w:p>
    <w:p>
      <w:pPr>
        <w:ind w:left="1140" w:right="200"/>
        <w:spacing w:after="0" w:line="259" w:lineRule="auto"/>
        <w:rPr>
          <w:rFonts w:ascii="Arial" w:cs="Arial" w:eastAsia="Arial" w:hAnsi="Arial"/>
          <w:sz w:val="18"/>
          <w:szCs w:val="18"/>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each quarter. A hedge is regarded as highly effective if the changes in fair value or cash flows attributable to the hedged risk during the period for which the hedge is designated are expected to offset in a range of 80 percent to 125 percent.</w:t>
      </w:r>
    </w:p>
    <w:p>
      <w:pPr>
        <w:spacing w:after="0" w:line="240"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As of December 31, 2007, the Group has only interest rate swaps and a cross currency interest rate swap derivatives that qualify for hedge purposes, note 21(d), classified as cash flow hedge and fair value hedge, respectively (only an interest rate swap derivative classified as a cash flow hedge as of December 31, 2006). The effective portion of changes in the fair value of these derivatives is recognized in equity and profit and loss, respectively, the gain or loss relating to the ineffective portion is recognized immediately in the consolidated income statements. Amounts accumulated in equity for the cash flow hedges are recycled to the income statement in the periods in which the hedged item affects profit or loss.</w:t>
      </w:r>
    </w:p>
    <w:p>
      <w:pPr>
        <w:spacing w:after="0" w:line="247" w:lineRule="exact"/>
        <w:rPr>
          <w:rFonts w:ascii="Arial" w:cs="Arial" w:eastAsia="Arial" w:hAnsi="Arial"/>
          <w:sz w:val="18"/>
          <w:szCs w:val="18"/>
          <w:color w:val="auto"/>
        </w:rPr>
      </w:pPr>
    </w:p>
    <w:p>
      <w:pPr>
        <w:ind w:left="1140" w:right="80"/>
        <w:spacing w:after="0" w:line="257" w:lineRule="auto"/>
        <w:rPr>
          <w:rFonts w:ascii="Arial" w:cs="Arial" w:eastAsia="Arial" w:hAnsi="Arial"/>
          <w:sz w:val="18"/>
          <w:szCs w:val="18"/>
          <w:color w:val="auto"/>
        </w:rPr>
      </w:pPr>
      <w:r>
        <w:rPr>
          <w:rFonts w:ascii="Arial" w:cs="Arial" w:eastAsia="Arial" w:hAnsi="Arial"/>
          <w:sz w:val="18"/>
          <w:szCs w:val="18"/>
          <w:color w:val="auto"/>
        </w:rPr>
        <w:t>For designated and qualifying cash flow hedges, the effective portion of the gain or loss on the hedging instrument is initially recognized directly in equity in “Other reserves”. The ineffective portion of the gain or loss on the hedging instrument is recognized “immediately in the consolidated income statement in the caption “Interest and dividend income”. When the hedged cash flow affects the consolidated income statement, the gain or loss on the hedging instrument is recycled in the corresponding income or expense line of the consolidated income statement.</w:t>
      </w:r>
    </w:p>
    <w:p>
      <w:pPr>
        <w:spacing w:after="0" w:line="242" w:lineRule="exact"/>
        <w:rPr>
          <w:rFonts w:ascii="Arial" w:cs="Arial" w:eastAsia="Arial" w:hAnsi="Arial"/>
          <w:sz w:val="18"/>
          <w:szCs w:val="18"/>
          <w:color w:val="auto"/>
        </w:rPr>
      </w:pPr>
    </w:p>
    <w:p>
      <w:pPr>
        <w:ind w:left="1140" w:right="60"/>
        <w:spacing w:after="0" w:line="276" w:lineRule="auto"/>
        <w:rPr>
          <w:rFonts w:ascii="Arial" w:cs="Arial" w:eastAsia="Arial" w:hAnsi="Arial"/>
          <w:sz w:val="18"/>
          <w:szCs w:val="18"/>
          <w:color w:val="auto"/>
        </w:rPr>
      </w:pPr>
      <w:r>
        <w:rPr>
          <w:rFonts w:ascii="Arial" w:cs="Arial" w:eastAsia="Arial" w:hAnsi="Arial"/>
          <w:sz w:val="17"/>
          <w:szCs w:val="17"/>
          <w:color w:val="auto"/>
        </w:rPr>
        <w:t>For designated and qualifying fair value hedge, the change in the fair value of a hedging derivative is recognized in the consolidated income statement in the caption “Interest and dividend income”. Meanwhile, the change in the fair value of the hedged item attributable to the risk hedged is recorded as part of the carrying value of the hedged item and is also recognized in the consolidated income statement in the caption “Interest and dividend income”. If the hedging instrument expires or is sold, terminated or exercised, or where the hedge no longer meets the criteria for hedge accounting, the hedge relationship is terminated.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Embedded derivates:</w:t>
      </w:r>
    </w:p>
    <w:p>
      <w:pPr>
        <w:spacing w:after="0" w:line="23" w:lineRule="exact"/>
        <w:rPr>
          <w:sz w:val="20"/>
          <w:szCs w:val="20"/>
          <w:color w:val="auto"/>
        </w:rPr>
      </w:pPr>
    </w:p>
    <w:p>
      <w:pPr>
        <w:ind w:left="1140" w:right="20"/>
        <w:spacing w:after="0" w:line="254" w:lineRule="auto"/>
        <w:rPr>
          <w:sz w:val="20"/>
          <w:szCs w:val="20"/>
          <w:color w:val="auto"/>
        </w:rPr>
      </w:pPr>
      <w:r>
        <w:rPr>
          <w:rFonts w:ascii="Arial" w:cs="Arial" w:eastAsia="Arial" w:hAnsi="Arial"/>
          <w:sz w:val="18"/>
          <w:szCs w:val="18"/>
          <w:color w:val="auto"/>
        </w:rPr>
        <w:t>Certain derivatives embedded in other financial instruments are treated as separate derivatives when their economic characteristics and risks are not closely related to those of the host contract and the host contract is not carried at fair value through profit or loss. These embedded derivatives are measured at fair value with changes in fair value recognized in the consolidated income statement unless the Group chooses to designate the hybrid contracts at fair value through profit and loss.</w:t>
      </w:r>
    </w:p>
    <w:p>
      <w:pPr>
        <w:spacing w:after="0" w:line="244"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The Group has certificates indexed to its shares price that will be settled in cash and credit linked notes obtained to provide financial instruments in the same basis to its clients. These instruments have been classified at inception by the Group as a “financial instrument at fair value though profit or loss”, note 8.</w:t>
      </w:r>
    </w:p>
    <w:p>
      <w:pPr>
        <w:spacing w:after="0" w:line="235" w:lineRule="exact"/>
        <w:rPr>
          <w:sz w:val="20"/>
          <w:szCs w:val="20"/>
          <w:color w:val="auto"/>
        </w:rPr>
      </w:pPr>
    </w:p>
    <w:p>
      <w:pPr>
        <w:ind w:left="1140" w:hanging="484"/>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3" w:lineRule="exact"/>
        <w:rPr>
          <w:rFonts w:ascii="Arial" w:cs="Arial" w:eastAsia="Arial" w:hAnsi="Arial"/>
          <w:sz w:val="18"/>
          <w:szCs w:val="18"/>
          <w:color w:val="auto"/>
        </w:rPr>
      </w:pPr>
    </w:p>
    <w:p>
      <w:pPr>
        <w:ind w:left="1140" w:right="120"/>
        <w:spacing w:after="0" w:line="254" w:lineRule="auto"/>
        <w:rPr>
          <w:rFonts w:ascii="Arial" w:cs="Arial" w:eastAsia="Arial" w:hAnsi="Arial"/>
          <w:sz w:val="18"/>
          <w:szCs w:val="18"/>
          <w:color w:val="auto"/>
        </w:rPr>
      </w:pPr>
      <w:r>
        <w:rPr>
          <w:rFonts w:ascii="Arial" w:cs="Arial" w:eastAsia="Arial" w:hAnsi="Arial"/>
          <w:sz w:val="18"/>
          <w:szCs w:val="18"/>
          <w:color w:val="auto"/>
        </w:rPr>
        <w:t>The Group considers business segment as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 note 28.</w:t>
      </w:r>
    </w:p>
    <w:p>
      <w:pPr>
        <w:spacing w:after="0" w:line="243" w:lineRule="exact"/>
        <w:rPr>
          <w:rFonts w:ascii="Arial" w:cs="Arial" w:eastAsia="Arial" w:hAnsi="Arial"/>
          <w:sz w:val="18"/>
          <w:szCs w:val="18"/>
          <w:color w:val="auto"/>
        </w:rPr>
      </w:pPr>
    </w:p>
    <w:p>
      <w:pPr>
        <w:ind w:left="1140" w:hanging="484"/>
        <w:spacing w:after="0"/>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Fiduciary activities, management of investment and pension funds -</w:t>
      </w:r>
    </w:p>
    <w:p>
      <w:pPr>
        <w:spacing w:after="0" w:line="23"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31.8.</w:t>
      </w: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commissions generated for these activities are included on the caption “Other income” in the consolidated income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3" w:lineRule="exact"/>
        <w:rPr>
          <w:rFonts w:ascii="Arial" w:cs="Arial" w:eastAsia="Arial" w:hAnsi="Arial"/>
          <w:sz w:val="18"/>
          <w:szCs w:val="18"/>
          <w:color w:val="auto"/>
        </w:rPr>
      </w:pPr>
    </w:p>
    <w:p>
      <w:pPr>
        <w:ind w:left="1140" w:right="200"/>
        <w:spacing w:after="0" w:line="255" w:lineRule="auto"/>
        <w:rPr>
          <w:rFonts w:ascii="Arial" w:cs="Arial" w:eastAsia="Arial" w:hAnsi="Arial"/>
          <w:sz w:val="18"/>
          <w:szCs w:val="18"/>
          <w:color w:val="auto"/>
        </w:rPr>
      </w:pPr>
      <w:r>
        <w:rPr>
          <w:rFonts w:ascii="Arial" w:cs="Arial" w:eastAsia="Arial" w:hAnsi="Arial"/>
          <w:sz w:val="18"/>
          <w:szCs w:val="18"/>
          <w:color w:val="auto"/>
        </w:rPr>
        <w:t>Securities sold subject to repurchase agreements (‘Repos’) are presented as pledged assets when the transfer has the right to sell or repledge the collateral; the counterparty liability is included in the caption “Due to banks and correspondents”, or “Deposits and obligations”, as appropriate, in the consolidated balance sheets.</w:t>
      </w:r>
    </w:p>
    <w:p>
      <w:pPr>
        <w:spacing w:after="0" w:line="244"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The difference between sale and repurchase price is treated as interest and accrued over the life of the agreements using the effective interest method.</w:t>
      </w:r>
    </w:p>
    <w:p>
      <w:pPr>
        <w:spacing w:after="0" w:line="22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(ab)</w:t>
        <w:tab/>
        <w:t>Operations with reinsurers and coinsurers -</w:t>
      </w:r>
    </w:p>
    <w:p>
      <w:pPr>
        <w:spacing w:after="0" w:line="23" w:lineRule="exact"/>
        <w:rPr>
          <w:sz w:val="20"/>
          <w:szCs w:val="20"/>
          <w:color w:val="auto"/>
        </w:rPr>
      </w:pPr>
    </w:p>
    <w:p>
      <w:pPr>
        <w:ind w:left="1140" w:right="60"/>
        <w:spacing w:after="0" w:line="254" w:lineRule="auto"/>
        <w:rPr>
          <w:sz w:val="20"/>
          <w:szCs w:val="20"/>
          <w:color w:val="auto"/>
        </w:rPr>
      </w:pPr>
      <w:r>
        <w:rPr>
          <w:rFonts w:ascii="Arial" w:cs="Arial" w:eastAsia="Arial" w:hAnsi="Arial"/>
          <w:sz w:val="18"/>
          <w:szCs w:val="18"/>
          <w:color w:val="auto"/>
        </w:rPr>
        <w:t>During the normal course of business, PPS, a subsidiary of Credicorp, is dedicated to insurance activities and cedes reinsurance to other insurance and reinsurance companies to distribute the risks of its insurance contracts and to limit the potential losses that might arise from the coverages. PPS is ultimately responsible for the payment of benefit payments to the policy holders if the reinsurer is not capable of fulfilling said obligation.</w:t>
      </w:r>
    </w:p>
    <w:p>
      <w:pPr>
        <w:spacing w:after="0" w:line="244" w:lineRule="exact"/>
        <w:rPr>
          <w:sz w:val="20"/>
          <w:szCs w:val="20"/>
          <w:color w:val="auto"/>
        </w:rPr>
      </w:pPr>
    </w:p>
    <w:p>
      <w:pPr>
        <w:ind w:left="1140" w:right="40"/>
        <w:spacing w:after="0" w:line="264" w:lineRule="auto"/>
        <w:rPr>
          <w:sz w:val="20"/>
          <w:szCs w:val="20"/>
          <w:color w:val="auto"/>
        </w:rPr>
      </w:pPr>
      <w:r>
        <w:rPr>
          <w:rFonts w:ascii="Arial" w:cs="Arial" w:eastAsia="Arial" w:hAnsi="Arial"/>
          <w:sz w:val="18"/>
          <w:szCs w:val="18"/>
          <w:color w:val="auto"/>
        </w:rPr>
        <w:t>The accounts receivable from reinsurers and coinsurers originate from the incurred claims in which PPS assumes the responsibility for the indemnity in favor of the policyholder for the ceded reinsurance and coinsurance contracts; these accounts receivable are recognized based on contracts or coverage notes (with reinsurers) and clauses of coinsurance.</w:t>
      </w:r>
    </w:p>
    <w:p>
      <w:pPr>
        <w:spacing w:after="0" w:line="235"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Claims originating from accepted reinsurance contracts and executed clauses of coinsurance are recognized each time a note of collection is received from reinsurance companies.</w:t>
      </w:r>
    </w:p>
    <w:p>
      <w:pPr>
        <w:spacing w:after="0" w:line="224" w:lineRule="exact"/>
        <w:rPr>
          <w:sz w:val="20"/>
          <w:szCs w:val="20"/>
          <w:color w:val="auto"/>
        </w:rPr>
      </w:pPr>
    </w:p>
    <w:p>
      <w:pPr>
        <w:ind w:left="1140"/>
        <w:spacing w:after="0" w:line="257"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during the reporting year. Impairment occurs when objective evidence exists that the Group may not recover outstanding amounts under the terms of the contract and when the impact on the amounts that the Group will receive from the reinsurer can be measured reliably. The impairment loss is recorded in the consolidated income statement. Gains or losses on buying reinsurance are recognized in the consolidated income statement immediately at the date of purchase.</w:t>
      </w:r>
    </w:p>
    <w:p>
      <w:pPr>
        <w:spacing w:after="0" w:line="242" w:lineRule="exact"/>
        <w:rPr>
          <w:sz w:val="20"/>
          <w:szCs w:val="20"/>
          <w:color w:val="auto"/>
        </w:rPr>
      </w:pPr>
    </w:p>
    <w:p>
      <w:pPr>
        <w:ind w:left="1140" w:right="20"/>
        <w:spacing w:after="0" w:line="264" w:lineRule="auto"/>
        <w:rPr>
          <w:sz w:val="20"/>
          <w:szCs w:val="20"/>
          <w:color w:val="auto"/>
        </w:rPr>
      </w:pPr>
      <w:r>
        <w:rPr>
          <w:rFonts w:ascii="Arial" w:cs="Arial" w:eastAsia="Arial" w:hAnsi="Arial"/>
          <w:sz w:val="18"/>
          <w:szCs w:val="18"/>
          <w:color w:val="auto"/>
        </w:rPr>
        <w:t>The reinsurance and coinsurance include quota share of the excess of loss and facultative types of contracts. The amounts recoverable from the reinsurers and coinsurers are estimated in a manner consistent with the liabilities of the related claims and are presented as a component of reinsured and coinsured assets.</w:t>
      </w:r>
    </w:p>
    <w:p>
      <w:pPr>
        <w:spacing w:after="0" w:line="235" w:lineRule="exact"/>
        <w:rPr>
          <w:sz w:val="20"/>
          <w:szCs w:val="20"/>
          <w:color w:val="auto"/>
        </w:rPr>
      </w:pPr>
    </w:p>
    <w:p>
      <w:pPr>
        <w:ind w:left="1140" w:right="40"/>
        <w:spacing w:after="0" w:line="302" w:lineRule="auto"/>
        <w:rPr>
          <w:sz w:val="20"/>
          <w:szCs w:val="20"/>
          <w:color w:val="auto"/>
        </w:rPr>
      </w:pPr>
      <w:r>
        <w:rPr>
          <w:rFonts w:ascii="Arial" w:cs="Arial" w:eastAsia="Arial" w:hAnsi="Arial"/>
          <w:sz w:val="16"/>
          <w:szCs w:val="16"/>
          <w:color w:val="auto"/>
        </w:rPr>
        <w:t>The Group also assumes reinsurance risk in the normal course of business for life insurance and non-life insurance contracts when applicable. Premiums and claims on assumed reinsurance are recognized as income and expenses in the same manner as they would be if the reinsurance were considered direct business, taking into account the product classification of the reinsured business. Reinsurance liabilities represent balances due to reinsurance companies. Amounts payable are estimated in a manner consistent with the associated reinsurance contract.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0"/>
              </w:rPr>
              <w:t>The accounts payable to reinsurers and coinsurers are based on the evaluation of the assumed risk, which is determined by PPS (reinsurance)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4"/>
              </w:rPr>
              <w:t>and also includes the policyholder’s consent; and are based on contracts or notes of coverage with the reinsurer and/or clauses of ceded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coinsurance.</w:t>
            </w:r>
          </w:p>
        </w:tc>
      </w:tr>
      <w:tr>
        <w:trPr>
          <w:trHeight w:val="472"/>
        </w:trPr>
        <w:tc>
          <w:tcPr>
            <w:tcW w:w="1040" w:type="dxa"/>
            <w:vAlign w:val="bottom"/>
          </w:tcPr>
          <w:p>
            <w:pPr>
              <w:spacing w:after="0"/>
              <w:rPr>
                <w:sz w:val="24"/>
                <w:szCs w:val="24"/>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1"/>
              </w:rPr>
              <w:t>Reinsurance assets or liabilities are derecognized when the contractual rights are extinguished or expire or when the contract is transferred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another party.</w:t>
            </w:r>
          </w:p>
        </w:tc>
      </w:tr>
      <w:tr>
        <w:trPr>
          <w:trHeight w:val="472"/>
        </w:trPr>
        <w:tc>
          <w:tcPr>
            <w:tcW w:w="1040" w:type="dxa"/>
            <w:vAlign w:val="bottom"/>
          </w:tcPr>
          <w:p>
            <w:pPr>
              <w:ind w:left="660"/>
              <w:spacing w:after="0"/>
              <w:rPr>
                <w:sz w:val="20"/>
                <w:szCs w:val="20"/>
                <w:color w:val="auto"/>
              </w:rPr>
            </w:pPr>
            <w:r>
              <w:rPr>
                <w:rFonts w:ascii="Arial" w:cs="Arial" w:eastAsia="Arial" w:hAnsi="Arial"/>
                <w:sz w:val="18"/>
                <w:szCs w:val="18"/>
                <w:color w:val="auto"/>
              </w:rPr>
              <w:t>(ac)</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 -</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2"/>
              </w:rPr>
              <w:t>For the purposes of the consolidated cash flow statement, cash and cash equivalents comprise balances of cash and balances with central</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banks, overnight deposits and amounts due from banks with original maturities of three months or less.</w:t>
            </w:r>
          </w:p>
        </w:tc>
      </w:tr>
      <w:tr>
        <w:trPr>
          <w:trHeight w:val="472"/>
        </w:trPr>
        <w:tc>
          <w:tcPr>
            <w:tcW w:w="1040" w:type="dxa"/>
            <w:vAlign w:val="bottom"/>
          </w:tcPr>
          <w:p>
            <w:pPr>
              <w:ind w:left="660"/>
              <w:spacing w:after="0"/>
              <w:rPr>
                <w:sz w:val="20"/>
                <w:szCs w:val="20"/>
                <w:color w:val="auto"/>
              </w:rPr>
            </w:pPr>
            <w:r>
              <w:rPr>
                <w:rFonts w:ascii="Arial" w:cs="Arial" w:eastAsia="Arial" w:hAnsi="Arial"/>
                <w:sz w:val="18"/>
                <w:szCs w:val="18"/>
                <w:color w:val="auto"/>
              </w:rPr>
              <w:t>(ad)</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Reclassifications -</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0"/>
              </w:rPr>
              <w:t>When it is necessary, the comparative figures have been reclassified to conform to the current year presentation. The main reclassifications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the report as of December 31, 2006 and for the two years ended December 31, 2006 are the following:</w:t>
            </w:r>
          </w:p>
        </w:tc>
      </w:tr>
      <w:tr>
        <w:trPr>
          <w:trHeight w:val="486"/>
        </w:trPr>
        <w:tc>
          <w:tcPr>
            <w:tcW w:w="1040" w:type="dxa"/>
            <w:vAlign w:val="bottom"/>
          </w:tcPr>
          <w:p>
            <w:pPr>
              <w:spacing w:after="0"/>
              <w:rPr>
                <w:sz w:val="24"/>
                <w:szCs w:val="24"/>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Reclassifications in the consolidated Balance Sheet:</w:t>
            </w:r>
          </w:p>
        </w:tc>
      </w:tr>
      <w:tr>
        <w:trPr>
          <w:trHeight w:val="472"/>
        </w:trPr>
        <w:tc>
          <w:tcPr>
            <w:tcW w:w="10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As of December 31, 2006, the “Financial assets designated at fair value through profit or loss” were shown as part of the caption</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“Other assets” on the consolidated balance sheet. As of December 31, 2007, these concepts are shown separately for a better</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presentation in accordance with the accounting policies in force.</w:t>
            </w:r>
          </w:p>
        </w:tc>
      </w:tr>
      <w:tr>
        <w:trPr>
          <w:trHeight w:val="472"/>
        </w:trPr>
        <w:tc>
          <w:tcPr>
            <w:tcW w:w="10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(ii)</w:t>
            </w: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As of December 31, 2006, the “Financial liabilities designated at fair value through profit or loss” were shown as part of the caption</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“Other liabilities” on the consolidated balance sheet. As of December 31, 2007, these concepts are shown separately for a better</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presentation in accordance with the accounting policies in force.</w:t>
            </w:r>
          </w:p>
        </w:tc>
      </w:tr>
      <w:tr>
        <w:trPr>
          <w:trHeight w:val="486"/>
        </w:trPr>
        <w:tc>
          <w:tcPr>
            <w:tcW w:w="1040" w:type="dxa"/>
            <w:vAlign w:val="bottom"/>
          </w:tcPr>
          <w:p>
            <w:pPr>
              <w:spacing w:after="0"/>
              <w:rPr>
                <w:sz w:val="24"/>
                <w:szCs w:val="24"/>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Reclassifications in the consolidated Income statements:</w:t>
            </w:r>
          </w:p>
        </w:tc>
      </w:tr>
      <w:tr>
        <w:trPr>
          <w:trHeight w:val="472"/>
        </w:trPr>
        <w:tc>
          <w:tcPr>
            <w:tcW w:w="10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As of December 31, 2006, the “Net gain on financial assets and liabilities designated at fair value through profit and loss” amounted to</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US$3.5 million was shown as part of the caption “Other income”; as of December 31, 2007, this concept is shown separately in the</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consolidated Income statements.</w:t>
            </w:r>
          </w:p>
        </w:tc>
      </w:tr>
      <w:tr>
        <w:trPr>
          <w:trHeight w:val="472"/>
        </w:trPr>
        <w:tc>
          <w:tcPr>
            <w:tcW w:w="10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(ii)</w:t>
            </w:r>
          </w:p>
        </w:tc>
        <w:tc>
          <w:tcPr>
            <w:tcW w:w="9920" w:type="dxa"/>
            <w:vAlign w:val="bottom"/>
          </w:tcPr>
          <w:p>
            <w:pPr>
              <w:ind w:left="120"/>
              <w:spacing w:after="0"/>
              <w:rPr>
                <w:sz w:val="20"/>
                <w:szCs w:val="20"/>
                <w:color w:val="auto"/>
              </w:rPr>
            </w:pPr>
            <w:r>
              <w:rPr>
                <w:rFonts w:ascii="Arial" w:cs="Arial" w:eastAsia="Arial" w:hAnsi="Arial"/>
                <w:sz w:val="18"/>
                <w:szCs w:val="18"/>
                <w:color w:val="auto"/>
                <w:w w:val="99"/>
              </w:rPr>
              <w:t>As of December 31, 2006, the “Interest and dividend Income” and the “Interest expense” were shown in detail on the face of</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6"/>
              </w:rPr>
              <w:t>consolidated Income statement. As of December 31, 2007, the details of these concepts are shown as part of the note 22 of the</w:t>
            </w: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consolidated Income statement.</w:t>
            </w:r>
          </w:p>
        </w:tc>
      </w:tr>
      <w:tr>
        <w:trPr>
          <w:trHeight w:val="486"/>
        </w:trPr>
        <w:tc>
          <w:tcPr>
            <w:tcW w:w="1040" w:type="dxa"/>
            <w:vAlign w:val="bottom"/>
          </w:tcPr>
          <w:p>
            <w:pPr>
              <w:spacing w:after="0"/>
              <w:rPr>
                <w:sz w:val="24"/>
                <w:szCs w:val="24"/>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Management considers that these reclassifications result in a better presentation of the Group activities.</w:t>
            </w:r>
          </w:p>
        </w:tc>
      </w:tr>
      <w:tr>
        <w:trPr>
          <w:trHeight w:val="472"/>
        </w:trPr>
        <w:tc>
          <w:tcPr>
            <w:tcW w:w="1040" w:type="dxa"/>
            <w:vAlign w:val="bottom"/>
          </w:tcPr>
          <w:p>
            <w:pPr>
              <w:ind w:left="660"/>
              <w:spacing w:after="0"/>
              <w:rPr>
                <w:sz w:val="20"/>
                <w:szCs w:val="20"/>
                <w:color w:val="auto"/>
              </w:rPr>
            </w:pPr>
            <w:r>
              <w:rPr>
                <w:rFonts w:ascii="Arial" w:cs="Arial" w:eastAsia="Arial" w:hAnsi="Arial"/>
                <w:sz w:val="18"/>
                <w:szCs w:val="18"/>
                <w:color w:val="auto"/>
              </w:rPr>
              <w:t>(ae)</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Recently issued International Financial Reporting Standards but not yet effective -</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89"/>
              </w:rPr>
              <w:t>The Group has decided not adopted the following standards and interpretations that have been issued but not have been effective as December</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31, 2007:</w:t>
            </w:r>
          </w:p>
        </w:tc>
      </w:tr>
      <w:tr>
        <w:trPr>
          <w:trHeight w:val="459"/>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20" w:type="dxa"/>
            <w:vAlign w:val="bottom"/>
          </w:tcPr>
          <w:p>
            <w:pPr>
              <w:ind w:left="4040"/>
              <w:spacing w:after="0"/>
              <w:rPr>
                <w:sz w:val="20"/>
                <w:szCs w:val="20"/>
                <w:color w:val="auto"/>
              </w:rPr>
            </w:pPr>
            <w:r>
              <w:rPr>
                <w:rFonts w:ascii="Arial" w:cs="Arial" w:eastAsia="Arial" w:hAnsi="Arial"/>
                <w:sz w:val="18"/>
                <w:szCs w:val="18"/>
                <w:color w:val="auto"/>
              </w:rPr>
              <w:t>F-35</w:t>
            </w:r>
          </w:p>
        </w:tc>
      </w:tr>
      <w:tr>
        <w:trPr>
          <w:trHeight w:val="118"/>
        </w:trPr>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620" w:hanging="47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IFRS 8, “Operating Segments”, effective for accounting periods beginning on or after January 1, 2009.</w:t>
      </w:r>
    </w:p>
    <w:p>
      <w:pPr>
        <w:spacing w:after="0" w:line="279" w:lineRule="exact"/>
        <w:rPr>
          <w:rFonts w:ascii="Arial" w:cs="Arial" w:eastAsia="Arial" w:hAnsi="Arial"/>
          <w:sz w:val="18"/>
          <w:szCs w:val="18"/>
          <w:color w:val="auto"/>
        </w:rPr>
      </w:pPr>
    </w:p>
    <w:p>
      <w:pPr>
        <w:ind w:left="1620" w:hanging="47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IAS 23 (Amendment), “Borrowing costs”, effective for annual periods beginning on or after January 1, 2009.</w:t>
      </w:r>
    </w:p>
    <w:p>
      <w:pPr>
        <w:spacing w:after="0" w:line="279" w:lineRule="exact"/>
        <w:rPr>
          <w:rFonts w:ascii="Arial" w:cs="Arial" w:eastAsia="Arial" w:hAnsi="Arial"/>
          <w:sz w:val="18"/>
          <w:szCs w:val="18"/>
          <w:color w:val="auto"/>
        </w:rPr>
      </w:pPr>
    </w:p>
    <w:p>
      <w:pPr>
        <w:ind w:left="1620" w:hanging="47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IFRIC 11, “IFRS 2 - Group Treasury Share Transactions”, effective for annual periods beginning on or after March 1, 2007.</w:t>
      </w:r>
    </w:p>
    <w:p>
      <w:pPr>
        <w:spacing w:after="0" w:line="279" w:lineRule="exact"/>
        <w:rPr>
          <w:rFonts w:ascii="Arial" w:cs="Arial" w:eastAsia="Arial" w:hAnsi="Arial"/>
          <w:sz w:val="18"/>
          <w:szCs w:val="18"/>
          <w:color w:val="auto"/>
        </w:rPr>
      </w:pPr>
    </w:p>
    <w:p>
      <w:pPr>
        <w:ind w:left="1620" w:hanging="47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IFRIC 12, “Service concession arrangements”, effective for annual periods beginning on or after January 1, 2008.</w:t>
      </w:r>
    </w:p>
    <w:p>
      <w:pPr>
        <w:spacing w:after="0" w:line="279" w:lineRule="exact"/>
        <w:rPr>
          <w:rFonts w:ascii="Arial" w:cs="Arial" w:eastAsia="Arial" w:hAnsi="Arial"/>
          <w:sz w:val="18"/>
          <w:szCs w:val="18"/>
          <w:color w:val="auto"/>
        </w:rPr>
      </w:pPr>
    </w:p>
    <w:p>
      <w:pPr>
        <w:ind w:left="1620" w:hanging="478"/>
        <w:spacing w:after="0"/>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IFRIC 13, “Customer loyalty programmes”, effective for annual periods beginning on or after July 1, 2008.</w:t>
      </w:r>
    </w:p>
    <w:p>
      <w:pPr>
        <w:spacing w:after="0" w:line="279" w:lineRule="exact"/>
        <w:rPr>
          <w:rFonts w:ascii="Arial" w:cs="Arial" w:eastAsia="Arial" w:hAnsi="Arial"/>
          <w:sz w:val="18"/>
          <w:szCs w:val="18"/>
          <w:color w:val="auto"/>
        </w:rPr>
      </w:pPr>
    </w:p>
    <w:p>
      <w:pPr>
        <w:ind w:left="1620" w:right="100" w:hanging="478"/>
        <w:spacing w:after="0" w:line="264"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IFRS 3 (revised) “Business Combination and Consolidation” and IAS 27 (revised) “Separated Financial Statements Consolidation”, effective modifications for periods on or after July 1, 2009. This Standard establishes that its application is not retroactive, therefore, it will not have effect on the 2007 financial statements for the Group.</w:t>
      </w:r>
    </w:p>
    <w:p>
      <w:pPr>
        <w:spacing w:after="0" w:line="235" w:lineRule="exact"/>
        <w:rPr>
          <w:rFonts w:ascii="Arial" w:cs="Arial" w:eastAsia="Arial" w:hAnsi="Arial"/>
          <w:sz w:val="18"/>
          <w:szCs w:val="18"/>
          <w:color w:val="auto"/>
        </w:rPr>
      </w:pPr>
    </w:p>
    <w:p>
      <w:pPr>
        <w:ind w:left="1620" w:right="220" w:hanging="478"/>
        <w:spacing w:after="0" w:line="264"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IFRS 2, “Share-based payments - Vesting conditions and cancellations”, effective for financial years beginning on or after January 1, 2009. The Standard restricts the definition of “vesting condition” to a condition that includes an explicit or implicit requirement to provide services.</w:t>
      </w:r>
    </w:p>
    <w:p>
      <w:pPr>
        <w:spacing w:after="0" w:line="235" w:lineRule="exact"/>
        <w:rPr>
          <w:rFonts w:ascii="Arial" w:cs="Arial" w:eastAsia="Arial" w:hAnsi="Arial"/>
          <w:sz w:val="18"/>
          <w:szCs w:val="18"/>
          <w:color w:val="auto"/>
        </w:rPr>
      </w:pPr>
    </w:p>
    <w:p>
      <w:pPr>
        <w:ind w:left="1620" w:right="40" w:hanging="478"/>
        <w:spacing w:after="0" w:line="342" w:lineRule="auto"/>
        <w:tabs>
          <w:tab w:leader="none" w:pos="1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IAS 1 (revised) “Presentation of financial statements”, effective for financial years beginning on or after January 1, 2009. The Standard separates owner and non owner-changes in equity. In addition, the Standard introduces the statement of comprehensive income.</w:t>
      </w:r>
    </w:p>
    <w:p>
      <w:pPr>
        <w:spacing w:after="0" w:line="150" w:lineRule="exact"/>
        <w:rPr>
          <w:rFonts w:ascii="Arial" w:cs="Arial" w:eastAsia="Arial" w:hAnsi="Arial"/>
          <w:sz w:val="16"/>
          <w:szCs w:val="16"/>
          <w:color w:val="auto"/>
        </w:rPr>
      </w:pPr>
    </w:p>
    <w:p>
      <w:pPr>
        <w:ind w:left="1620" w:right="340" w:hanging="478"/>
        <w:spacing w:after="0" w:line="277" w:lineRule="auto"/>
        <w:tabs>
          <w:tab w:leader="none" w:pos="1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IAS 32 (Amendment) and IAS 1 “Puttable Financial Instruments” (Amendment), effective for annual periods on or after January 1, 2009.</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Group does not expect significant implications of these standards its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4.</w:t>
            </w:r>
          </w:p>
        </w:tc>
        <w:tc>
          <w:tcPr>
            <w:tcW w:w="4500" w:type="dxa"/>
            <w:vAlign w:val="bottom"/>
            <w:gridSpan w:val="3"/>
          </w:tcPr>
          <w:p>
            <w:pPr>
              <w:ind w:left="260"/>
              <w:spacing w:after="0"/>
              <w:rPr>
                <w:sz w:val="20"/>
                <w:szCs w:val="20"/>
                <w:color w:val="auto"/>
              </w:rPr>
            </w:pPr>
            <w:r>
              <w:rPr>
                <w:rFonts w:ascii="Arial" w:cs="Arial" w:eastAsia="Arial" w:hAnsi="Arial"/>
                <w:sz w:val="18"/>
                <w:szCs w:val="18"/>
                <w:b w:val="1"/>
                <w:bCs w:val="1"/>
                <w:color w:val="auto"/>
              </w:rPr>
              <w:t>Cash and due from banks</w:t>
            </w:r>
          </w:p>
        </w:tc>
        <w:tc>
          <w:tcPr>
            <w:tcW w:w="1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(a)</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2"/>
          </w:tcPr>
          <w:p>
            <w:pPr>
              <w:spacing w:after="0"/>
              <w:rPr>
                <w:sz w:val="21"/>
                <w:szCs w:val="21"/>
                <w:color w:val="auto"/>
              </w:rPr>
            </w:pPr>
          </w:p>
        </w:tc>
        <w:tc>
          <w:tcPr>
            <w:tcW w:w="1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31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548,298</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470,584</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Deposits in Peruvian Central Bank - BCRP</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1,798,581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1,405,853</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7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720,992</w:t>
            </w:r>
          </w:p>
        </w:tc>
        <w:tc>
          <w:tcPr>
            <w:tcW w:w="2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853,203</w:t>
            </w:r>
          </w:p>
        </w:tc>
        <w:tc>
          <w:tcPr>
            <w:tcW w:w="120" w:type="dxa"/>
            <w:vAlign w:val="bottom"/>
            <w:tcBorders>
              <w:bottom w:val="single" w:sz="8" w:color="CCFFCC"/>
            </w:tcBorders>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3,067,871</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2,729,640</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7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5,994</w:t>
            </w:r>
          </w:p>
        </w:tc>
        <w:tc>
          <w:tcPr>
            <w:tcW w:w="2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Borders>
              <w:bottom w:val="single" w:sz="8" w:color="CCFFCC"/>
            </w:tcBorders>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37"/>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00" w:type="dxa"/>
            <w:vAlign w:val="bottom"/>
            <w:gridSpan w:val="2"/>
          </w:tcPr>
          <w:p>
            <w:pPr>
              <w:spacing w:after="0"/>
              <w:rPr>
                <w:sz w:val="20"/>
                <w:szCs w:val="20"/>
                <w:color w:val="auto"/>
              </w:rPr>
            </w:pPr>
          </w:p>
        </w:tc>
        <w:tc>
          <w:tcPr>
            <w:tcW w:w="29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83"/>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CCFFCC"/>
            </w:tcBorders>
            <w:shd w:val="clear" w:color="auto" w:fill="CCFFCC"/>
          </w:tcPr>
          <w:p>
            <w:pPr>
              <w:spacing w:after="0"/>
              <w:rPr>
                <w:sz w:val="24"/>
                <w:szCs w:val="24"/>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3,073,865</w:t>
            </w:r>
          </w:p>
        </w:tc>
        <w:tc>
          <w:tcPr>
            <w:tcW w:w="200" w:type="dxa"/>
            <w:vAlign w:val="bottom"/>
            <w:tcBorders>
              <w:bottom w:val="single" w:sz="8" w:color="CCFFCC"/>
            </w:tcBorders>
            <w:shd w:val="clear" w:color="auto" w:fill="CCFFCC"/>
          </w:tcPr>
          <w:p>
            <w:pPr>
              <w:spacing w:after="0"/>
              <w:rPr>
                <w:sz w:val="24"/>
                <w:szCs w:val="24"/>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2,733,530</w:t>
            </w:r>
          </w:p>
        </w:tc>
        <w:tc>
          <w:tcPr>
            <w:tcW w:w="120" w:type="dxa"/>
            <w:vAlign w:val="bottom"/>
            <w:tcBorders>
              <w:bottom w:val="single" w:sz="8" w:color="CCFFCC"/>
            </w:tcBorders>
            <w:shd w:val="clear" w:color="auto" w:fill="CCFFCC"/>
          </w:tcPr>
          <w:p>
            <w:pPr>
              <w:spacing w:after="0"/>
              <w:rPr>
                <w:sz w:val="24"/>
                <w:szCs w:val="24"/>
                <w:color w:val="auto"/>
              </w:rPr>
            </w:pPr>
          </w:p>
        </w:tc>
        <w:tc>
          <w:tcPr>
            <w:tcW w:w="2060" w:type="dxa"/>
            <w:vAlign w:val="bottom"/>
          </w:tcPr>
          <w:p>
            <w:pPr>
              <w:spacing w:after="0"/>
              <w:rPr>
                <w:sz w:val="24"/>
                <w:szCs w:val="24"/>
                <w:color w:val="auto"/>
              </w:rPr>
            </w:pPr>
          </w:p>
        </w:tc>
      </w:tr>
      <w:tr>
        <w:trPr>
          <w:trHeight w:val="467"/>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20" w:type="dxa"/>
            <w:vAlign w:val="bottom"/>
            <w:gridSpan w:val="3"/>
          </w:tcPr>
          <w:p>
            <w:pPr>
              <w:ind w:left="640"/>
              <w:spacing w:after="0"/>
              <w:rPr>
                <w:sz w:val="20"/>
                <w:szCs w:val="20"/>
                <w:color w:val="auto"/>
              </w:rPr>
            </w:pPr>
            <w:r>
              <w:rPr>
                <w:rFonts w:ascii="Arial" w:cs="Arial" w:eastAsia="Arial" w:hAnsi="Arial"/>
                <w:sz w:val="18"/>
                <w:szCs w:val="18"/>
                <w:color w:val="auto"/>
              </w:rPr>
              <w:t>F-36</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8"/>
        </w:trPr>
        <w:tc>
          <w:tcPr>
            <w:tcW w:w="4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60" w:hanging="484"/>
        <w:spacing w:after="0" w:line="272" w:lineRule="auto"/>
        <w:tabs>
          <w:tab w:leader="none" w:pos="114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As of December 31, 2007 and 2006, cash and due from banks balances include approximately US$1,191.2 and US$1,675.1 million, respectively, mainly from Banco de Crédito del Perú (BCP), which represent the legal reserve that the Peruvian banks must maintain for its obligations with the public. These funds are deposited in the vaults of the Bank and in the BCRP, and are within the limits established by prevailing legislation. In addition, as of December 31, 2007 the cash and due from banks caption includes US$1,000 million, corresponds to overnight operations deposited in the BCRP, this operation earned interest at a an effective rate of 4.45 percent and had a 2 days maturity (approximately US$70.0 million and S/120.0 million, equivalent to US$37.5 million, interest at an annual nominal rate of 4.97 percent and an effective rate of 3.75 percent, respectively, and 4 days maturity as of December 31, 2006).</w:t>
      </w:r>
    </w:p>
    <w:p>
      <w:pPr>
        <w:spacing w:after="0" w:line="231" w:lineRule="exact"/>
        <w:rPr>
          <w:rFonts w:ascii="Arial" w:cs="Arial" w:eastAsia="Arial" w:hAnsi="Arial"/>
          <w:sz w:val="17"/>
          <w:szCs w:val="17"/>
          <w:color w:val="auto"/>
        </w:rPr>
      </w:pPr>
    </w:p>
    <w:p>
      <w:pPr>
        <w:ind w:left="1140" w:right="40"/>
        <w:spacing w:after="0" w:line="259" w:lineRule="auto"/>
        <w:rPr>
          <w:rFonts w:ascii="Arial" w:cs="Arial" w:eastAsia="Arial" w:hAnsi="Arial"/>
          <w:sz w:val="17"/>
          <w:szCs w:val="17"/>
          <w:color w:val="auto"/>
        </w:rPr>
      </w:pPr>
      <w:r>
        <w:rPr>
          <w:rFonts w:ascii="Arial" w:cs="Arial" w:eastAsia="Arial" w:hAnsi="Arial"/>
          <w:sz w:val="18"/>
          <w:szCs w:val="18"/>
          <w:color w:val="auto"/>
        </w:rPr>
        <w:t>The reserve funds maintained with BCRP are not interest-bearing, except for the part of the mandatory reserve in foreign currency that exceeds the minimum legal reserve. As of December 31, 2007, this excess amounts to approximately US$1,222.5 million and bear interest in U.S. Dollars at an average annual interest rate of 3.5 percent (approximately US$1,068.9 million and earn interest in U.S. Dollars at an annual average rate of 2.67 percent as of December 31, 2006).</w:t>
      </w:r>
    </w:p>
    <w:p>
      <w:pPr>
        <w:spacing w:after="0" w:line="240" w:lineRule="exact"/>
        <w:rPr>
          <w:rFonts w:ascii="Arial" w:cs="Arial" w:eastAsia="Arial" w:hAnsi="Arial"/>
          <w:sz w:val="17"/>
          <w:szCs w:val="17"/>
          <w:color w:val="auto"/>
        </w:rPr>
      </w:pPr>
    </w:p>
    <w:p>
      <w:pPr>
        <w:ind w:left="1140" w:right="80"/>
        <w:spacing w:after="0" w:line="259" w:lineRule="auto"/>
        <w:rPr>
          <w:rFonts w:ascii="Arial" w:cs="Arial" w:eastAsia="Arial" w:hAnsi="Arial"/>
          <w:sz w:val="17"/>
          <w:szCs w:val="17"/>
          <w:color w:val="auto"/>
        </w:rPr>
      </w:pPr>
      <w:r>
        <w:rPr>
          <w:rFonts w:ascii="Arial" w:cs="Arial" w:eastAsia="Arial" w:hAnsi="Arial"/>
          <w:sz w:val="18"/>
          <w:szCs w:val="18"/>
          <w:color w:val="auto"/>
        </w:rPr>
        <w:t>In January and February 2008, the BCRP modified the procedures and calculation basis for the legal reserve, as well as the interest rate that accrues the reserve in Peruvian currency and foreign currency that exceeds the minimum legal reserve. These modifications must be applied as from the legal reserve period correspondent to January and February 2008, respectively. In Management’s opinion these modifications will not have a significant impact on its operations.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Trading securities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1"/>
                <w:szCs w:val="21"/>
                <w:color w:val="auto"/>
              </w:rPr>
            </w:pPr>
          </w:p>
        </w:tc>
      </w:tr>
      <w:tr>
        <w:trPr>
          <w:trHeight w:val="243"/>
        </w:trPr>
        <w:tc>
          <w:tcPr>
            <w:tcW w:w="4760" w:type="dxa"/>
            <w:vAlign w:val="bottom"/>
            <w:gridSpan w:val="2"/>
          </w:tcPr>
          <w:p>
            <w:pPr>
              <w:spacing w:after="0"/>
              <w:rPr>
                <w:sz w:val="21"/>
                <w:szCs w:val="21"/>
                <w:color w:val="auto"/>
              </w:rPr>
            </w:pPr>
          </w:p>
        </w:tc>
        <w:tc>
          <w:tcPr>
            <w:tcW w:w="1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Shares -</w:t>
            </w:r>
          </w:p>
        </w:tc>
        <w:tc>
          <w:tcPr>
            <w:tcW w:w="184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Listed equity securities</w:t>
            </w:r>
          </w:p>
        </w:tc>
        <w:tc>
          <w:tcPr>
            <w:tcW w:w="3260" w:type="dxa"/>
            <w:vAlign w:val="bottom"/>
            <w:gridSpan w:val="3"/>
          </w:tcPr>
          <w:p>
            <w:pPr>
              <w:jc w:val="right"/>
              <w:ind w:right="200"/>
              <w:spacing w:after="0"/>
              <w:rPr>
                <w:sz w:val="20"/>
                <w:szCs w:val="20"/>
                <w:color w:val="auto"/>
              </w:rPr>
            </w:pPr>
            <w:r>
              <w:rPr>
                <w:rFonts w:ascii="Arial" w:cs="Arial" w:eastAsia="Arial" w:hAnsi="Arial"/>
                <w:sz w:val="18"/>
                <w:szCs w:val="18"/>
                <w:color w:val="auto"/>
              </w:rPr>
              <w:t>24,947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34,692</w:t>
            </w:r>
          </w:p>
        </w:tc>
        <w:tc>
          <w:tcPr>
            <w:tcW w:w="206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620" w:type="dxa"/>
            <w:vAlign w:val="bottom"/>
            <w:shd w:val="clear" w:color="auto" w:fill="CCFFCC"/>
          </w:tcPr>
          <w:p>
            <w:pPr>
              <w:spacing w:after="0"/>
              <w:rPr>
                <w:sz w:val="20"/>
                <w:szCs w:val="20"/>
                <w:color w:val="auto"/>
              </w:rPr>
            </w:pPr>
          </w:p>
        </w:tc>
        <w:tc>
          <w:tcPr>
            <w:tcW w:w="184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4760" w:type="dxa"/>
            <w:vAlign w:val="bottom"/>
            <w:gridSpan w:val="2"/>
          </w:tcPr>
          <w:p>
            <w:pPr>
              <w:ind w:left="1140"/>
              <w:spacing w:after="0"/>
              <w:rPr>
                <w:sz w:val="20"/>
                <w:szCs w:val="20"/>
                <w:color w:val="auto"/>
              </w:rPr>
            </w:pPr>
            <w:r>
              <w:rPr>
                <w:rFonts w:ascii="Arial" w:cs="Arial" w:eastAsia="Arial" w:hAnsi="Arial"/>
                <w:sz w:val="18"/>
                <w:szCs w:val="18"/>
                <w:b w:val="1"/>
                <w:bCs w:val="1"/>
                <w:color w:val="auto"/>
              </w:rPr>
              <w:t>Bonds and similar instruments -</w:t>
            </w:r>
          </w:p>
        </w:tc>
        <w:tc>
          <w:tcPr>
            <w:tcW w:w="1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Sovereign bonds - Republic of Peru (b)</w:t>
            </w:r>
          </w:p>
        </w:tc>
        <w:tc>
          <w:tcPr>
            <w:tcW w:w="32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18,806</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4760" w:type="dxa"/>
            <w:vAlign w:val="bottom"/>
            <w:gridSpan w:val="2"/>
          </w:tcPr>
          <w:p>
            <w:pPr>
              <w:ind w:left="1140"/>
              <w:spacing w:after="0"/>
              <w:rPr>
                <w:sz w:val="20"/>
                <w:szCs w:val="20"/>
                <w:color w:val="auto"/>
              </w:rPr>
            </w:pPr>
            <w:r>
              <w:rPr>
                <w:rFonts w:ascii="Arial" w:cs="Arial" w:eastAsia="Arial" w:hAnsi="Arial"/>
                <w:sz w:val="18"/>
                <w:szCs w:val="18"/>
                <w:color w:val="auto"/>
              </w:rPr>
              <w:t>Peruvian treasury bonds (b)</w:t>
            </w:r>
          </w:p>
        </w:tc>
        <w:tc>
          <w:tcPr>
            <w:tcW w:w="3260" w:type="dxa"/>
            <w:vAlign w:val="bottom"/>
            <w:gridSpan w:val="3"/>
          </w:tcPr>
          <w:p>
            <w:pPr>
              <w:jc w:val="right"/>
              <w:ind w:right="200"/>
              <w:spacing w:after="0"/>
              <w:rPr>
                <w:sz w:val="20"/>
                <w:szCs w:val="20"/>
                <w:color w:val="auto"/>
              </w:rPr>
            </w:pPr>
            <w:r>
              <w:rPr>
                <w:rFonts w:ascii="Arial" w:cs="Arial" w:eastAsia="Arial" w:hAnsi="Arial"/>
                <w:sz w:val="18"/>
                <w:szCs w:val="18"/>
                <w:color w:val="auto"/>
              </w:rPr>
              <w:t>2,119</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Corporate and leasing bonds</w:t>
            </w:r>
          </w:p>
        </w:tc>
        <w:tc>
          <w:tcPr>
            <w:tcW w:w="32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1,711</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486"/>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gridSpan w:val="3"/>
          </w:tcPr>
          <w:p>
            <w:pPr>
              <w:ind w:left="780"/>
              <w:spacing w:after="0"/>
              <w:rPr>
                <w:sz w:val="20"/>
                <w:szCs w:val="20"/>
                <w:color w:val="auto"/>
              </w:rPr>
            </w:pPr>
            <w:r>
              <w:rPr>
                <w:rFonts w:ascii="Arial" w:cs="Arial" w:eastAsia="Arial" w:hAnsi="Arial"/>
                <w:sz w:val="18"/>
                <w:szCs w:val="18"/>
                <w:color w:val="auto"/>
              </w:rPr>
              <w:t>F-37</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54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1"/>
                <w:szCs w:val="21"/>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5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1,400</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FFC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120" w:type="dxa"/>
            <w:vAlign w:val="bottom"/>
          </w:tcPr>
          <w:p>
            <w:pPr>
              <w:spacing w:after="0"/>
              <w:rPr>
                <w:sz w:val="21"/>
                <w:szCs w:val="21"/>
                <w:color w:val="auto"/>
              </w:rPr>
            </w:pPr>
          </w:p>
        </w:tc>
      </w:tr>
      <w:tr>
        <w:trPr>
          <w:trHeight w:val="264"/>
        </w:trPr>
        <w:tc>
          <w:tcPr>
            <w:tcW w:w="5460" w:type="dxa"/>
            <w:vAlign w:val="bottom"/>
            <w:shd w:val="clear" w:color="auto" w:fill="CCFFCC"/>
          </w:tcPr>
          <w:p>
            <w:pPr>
              <w:spacing w:after="0"/>
              <w:rPr>
                <w:sz w:val="22"/>
                <w:szCs w:val="22"/>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25,512</w:t>
            </w:r>
          </w:p>
        </w:tc>
        <w:tc>
          <w:tcPr>
            <w:tcW w:w="2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10,442</w:t>
            </w:r>
          </w:p>
        </w:tc>
      </w:tr>
      <w:tr>
        <w:trPr>
          <w:trHeight w:val="20"/>
        </w:trPr>
        <w:tc>
          <w:tcPr>
            <w:tcW w:w="546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5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50,459</w:t>
            </w:r>
          </w:p>
        </w:tc>
        <w:tc>
          <w:tcPr>
            <w:tcW w:w="2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45,134</w:t>
            </w:r>
          </w:p>
        </w:tc>
      </w:tr>
      <w:tr>
        <w:trPr>
          <w:trHeight w:val="243"/>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r>
      <w:tr>
        <w:trPr>
          <w:trHeight w:val="237"/>
        </w:trPr>
        <w:tc>
          <w:tcPr>
            <w:tcW w:w="546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63"/>
        </w:trPr>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50,995</w:t>
            </w:r>
          </w:p>
        </w:tc>
        <w:tc>
          <w:tcPr>
            <w:tcW w:w="2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45,136</w:t>
            </w:r>
          </w:p>
        </w:tc>
      </w:tr>
      <w:tr>
        <w:trPr>
          <w:trHeight w:val="20"/>
        </w:trPr>
        <w:tc>
          <w:tcPr>
            <w:tcW w:w="54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140" w:right="260" w:hanging="484"/>
        <w:spacing w:after="0" w:line="308" w:lineRule="auto"/>
        <w:tabs>
          <w:tab w:leader="none" w:pos="11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Sovereign bonds are issued in Peruvian currency by the Peruvian Goverment. As of December 31, 2007, these bonds accrue interest at annual rates that range between 5.96 and 6.44 percent and have maturities between February 2009 and August 2026.</w:t>
      </w:r>
    </w:p>
    <w:p>
      <w:pPr>
        <w:spacing w:after="0" w:line="201"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The Peruvian treasury bonds are Global bonds issued in foreign currency by the Peruvian Government. As of December 31, 2007, these bonds accrue interest at an annual rate of 6.17 percent and have maturities between May 2008 and May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1"/>
                <w:szCs w:val="11"/>
                <w:b w:val="1"/>
                <w:bCs w:val="1"/>
                <w:color w:val="auto"/>
              </w:rPr>
              <w:t>2007</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446"/>
              <w:spacing w:after="0"/>
              <w:rPr>
                <w:sz w:val="20"/>
                <w:szCs w:val="20"/>
                <w:color w:val="auto"/>
              </w:rPr>
            </w:pPr>
            <w:r>
              <w:rPr>
                <w:rFonts w:ascii="Arial" w:cs="Arial" w:eastAsia="Arial" w:hAnsi="Arial"/>
                <w:sz w:val="11"/>
                <w:szCs w:val="11"/>
                <w:b w:val="1"/>
                <w:bCs w:val="1"/>
                <w:color w:val="auto"/>
                <w:w w:val="81"/>
              </w:rPr>
              <w:t>2006</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92"/>
              </w:rPr>
              <w:t>Unrealized gross amount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92"/>
              </w:rPr>
              <w:t>Unrealized gross amount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Amortized</w:t>
            </w: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Estimated</w:t>
            </w:r>
          </w:p>
        </w:tc>
        <w:tc>
          <w:tcPr>
            <w:tcW w:w="7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Amortized</w:t>
            </w: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Estimated</w:t>
            </w:r>
          </w:p>
        </w:tc>
      </w:tr>
      <w:tr>
        <w:trPr>
          <w:trHeight w:val="13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79"/>
              </w:rPr>
              <w:t>cost</w:t>
            </w:r>
          </w:p>
        </w:tc>
        <w:tc>
          <w:tcPr>
            <w:tcW w:w="700" w:type="dxa"/>
            <w:vAlign w:val="bottom"/>
            <w:gridSpan w:val="2"/>
          </w:tcPr>
          <w:p>
            <w:pPr>
              <w:ind w:left="160"/>
              <w:spacing w:after="0"/>
              <w:rPr>
                <w:sz w:val="20"/>
                <w:szCs w:val="20"/>
                <w:color w:val="auto"/>
              </w:rPr>
            </w:pPr>
            <w:r>
              <w:rPr>
                <w:rFonts w:ascii="Arial" w:cs="Arial" w:eastAsia="Arial" w:hAnsi="Arial"/>
                <w:sz w:val="11"/>
                <w:szCs w:val="11"/>
                <w:b w:val="1"/>
                <w:bCs w:val="1"/>
                <w:color w:val="auto"/>
              </w:rPr>
              <w:t>Gains</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8"/>
              </w:rPr>
              <w:t>Losses (b)</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market value</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79"/>
              </w:rPr>
              <w:t>cost</w:t>
            </w:r>
          </w:p>
        </w:tc>
        <w:tc>
          <w:tcPr>
            <w:tcW w:w="620" w:type="dxa"/>
            <w:vAlign w:val="bottom"/>
          </w:tcPr>
          <w:p>
            <w:pPr>
              <w:jc w:val="right"/>
              <w:ind w:right="106"/>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Losses (b)</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market value</w:t>
            </w:r>
          </w:p>
        </w:tc>
      </w:tr>
      <w:tr>
        <w:trPr>
          <w:trHeight w:val="136"/>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US$(000)</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r>
      <w:tr>
        <w:trPr>
          <w:trHeight w:val="144"/>
        </w:trPr>
        <w:tc>
          <w:tcPr>
            <w:tcW w:w="20" w:type="dxa"/>
            <w:vAlign w:val="bottom"/>
          </w:tcPr>
          <w:p>
            <w:pPr>
              <w:spacing w:after="0"/>
              <w:rPr>
                <w:sz w:val="12"/>
                <w:szCs w:val="12"/>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Fixed maturity -</w:t>
            </w:r>
          </w:p>
        </w:tc>
        <w:tc>
          <w:tcPr>
            <w:tcW w:w="6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BCRP certificates of deposit (d)</w:t>
            </w:r>
          </w:p>
        </w:tc>
        <w:tc>
          <w:tcPr>
            <w:tcW w:w="600" w:type="dxa"/>
            <w:vAlign w:val="bottom"/>
          </w:tcPr>
          <w:p>
            <w:pPr>
              <w:jc w:val="right"/>
              <w:spacing w:after="0"/>
              <w:rPr>
                <w:sz w:val="20"/>
                <w:szCs w:val="20"/>
                <w:color w:val="auto"/>
              </w:rPr>
            </w:pPr>
            <w:r>
              <w:rPr>
                <w:rFonts w:ascii="Arial" w:cs="Arial" w:eastAsia="Arial" w:hAnsi="Arial"/>
                <w:sz w:val="11"/>
                <w:szCs w:val="11"/>
                <w:color w:val="auto"/>
              </w:rPr>
              <w:t>2,410,062</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224</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(3,281)</w:t>
            </w:r>
          </w:p>
        </w:tc>
        <w:tc>
          <w:tcPr>
            <w:tcW w:w="700" w:type="dxa"/>
            <w:vAlign w:val="bottom"/>
          </w:tcPr>
          <w:p>
            <w:pPr>
              <w:jc w:val="right"/>
              <w:spacing w:after="0"/>
              <w:rPr>
                <w:sz w:val="20"/>
                <w:szCs w:val="20"/>
                <w:color w:val="auto"/>
              </w:rPr>
            </w:pPr>
            <w:r>
              <w:rPr>
                <w:rFonts w:ascii="Arial" w:cs="Arial" w:eastAsia="Arial" w:hAnsi="Arial"/>
                <w:sz w:val="11"/>
                <w:szCs w:val="11"/>
                <w:color w:val="auto"/>
              </w:rPr>
              <w:t>2,407,005</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1,276,503</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1,143</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(33)</w:t>
            </w:r>
          </w:p>
        </w:tc>
        <w:tc>
          <w:tcPr>
            <w:tcW w:w="720" w:type="dxa"/>
            <w:vAlign w:val="bottom"/>
          </w:tcPr>
          <w:p>
            <w:pPr>
              <w:jc w:val="right"/>
              <w:spacing w:after="0"/>
              <w:rPr>
                <w:sz w:val="20"/>
                <w:szCs w:val="20"/>
                <w:color w:val="auto"/>
              </w:rPr>
            </w:pPr>
            <w:r>
              <w:rPr>
                <w:rFonts w:ascii="Arial" w:cs="Arial" w:eastAsia="Arial" w:hAnsi="Arial"/>
                <w:sz w:val="11"/>
                <w:szCs w:val="11"/>
                <w:color w:val="auto"/>
              </w:rPr>
              <w:t>1,277,613</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color w:val="auto"/>
              </w:rPr>
              <w:t>Corporate, leasing and subordinated bonds (e)</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1,052,039</w:t>
            </w: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17,625</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(9,472)</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1,060,192</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845,644</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15,769</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(3,179)</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858,234</w:t>
            </w:r>
          </w:p>
        </w:tc>
        <w:tc>
          <w:tcPr>
            <w:tcW w:w="120" w:type="dxa"/>
            <w:vAlign w:val="bottom"/>
            <w:shd w:val="clear" w:color="auto" w:fill="CCFFC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Government treasury bonds (f)</w:t>
            </w:r>
          </w:p>
        </w:tc>
        <w:tc>
          <w:tcPr>
            <w:tcW w:w="600" w:type="dxa"/>
            <w:vAlign w:val="bottom"/>
          </w:tcPr>
          <w:p>
            <w:pPr>
              <w:jc w:val="right"/>
              <w:spacing w:after="0"/>
              <w:rPr>
                <w:sz w:val="20"/>
                <w:szCs w:val="20"/>
                <w:color w:val="auto"/>
              </w:rPr>
            </w:pPr>
            <w:r>
              <w:rPr>
                <w:rFonts w:ascii="Arial" w:cs="Arial" w:eastAsia="Arial" w:hAnsi="Arial"/>
                <w:sz w:val="11"/>
                <w:szCs w:val="11"/>
                <w:color w:val="auto"/>
              </w:rPr>
              <w:t>670,717</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59,316</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(403)</w:t>
            </w:r>
          </w:p>
        </w:tc>
        <w:tc>
          <w:tcPr>
            <w:tcW w:w="700" w:type="dxa"/>
            <w:vAlign w:val="bottom"/>
          </w:tcPr>
          <w:p>
            <w:pPr>
              <w:jc w:val="right"/>
              <w:spacing w:after="0"/>
              <w:rPr>
                <w:sz w:val="20"/>
                <w:szCs w:val="20"/>
                <w:color w:val="auto"/>
              </w:rPr>
            </w:pPr>
            <w:r>
              <w:rPr>
                <w:rFonts w:ascii="Arial" w:cs="Arial" w:eastAsia="Arial" w:hAnsi="Arial"/>
                <w:sz w:val="11"/>
                <w:szCs w:val="11"/>
                <w:color w:val="auto"/>
              </w:rPr>
              <w:t>729,630</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476,036</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59,564</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(1,620)</w:t>
            </w:r>
          </w:p>
        </w:tc>
        <w:tc>
          <w:tcPr>
            <w:tcW w:w="720" w:type="dxa"/>
            <w:vAlign w:val="bottom"/>
          </w:tcPr>
          <w:p>
            <w:pPr>
              <w:jc w:val="right"/>
              <w:spacing w:after="0"/>
              <w:rPr>
                <w:sz w:val="20"/>
                <w:szCs w:val="20"/>
                <w:color w:val="auto"/>
              </w:rPr>
            </w:pPr>
            <w:r>
              <w:rPr>
                <w:rFonts w:ascii="Arial" w:cs="Arial" w:eastAsia="Arial" w:hAnsi="Arial"/>
                <w:sz w:val="11"/>
                <w:szCs w:val="11"/>
                <w:color w:val="auto"/>
              </w:rPr>
              <w:t>533,980</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color w:val="auto"/>
              </w:rPr>
              <w:t>Participation in mutual funds</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186,311</w:t>
            </w: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12,209</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(113)</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198,407</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86,422</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9,920</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(104)</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96,238</w:t>
            </w:r>
          </w:p>
        </w:tc>
        <w:tc>
          <w:tcPr>
            <w:tcW w:w="120" w:type="dxa"/>
            <w:vAlign w:val="bottom"/>
            <w:shd w:val="clear" w:color="auto" w:fill="CCFFC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Central Banks of Bolivia certificates of deposit</w:t>
            </w:r>
          </w:p>
        </w:tc>
        <w:tc>
          <w:tcPr>
            <w:tcW w:w="600" w:type="dxa"/>
            <w:vAlign w:val="bottom"/>
          </w:tcPr>
          <w:p>
            <w:pPr>
              <w:jc w:val="right"/>
              <w:spacing w:after="0"/>
              <w:rPr>
                <w:sz w:val="20"/>
                <w:szCs w:val="20"/>
                <w:color w:val="auto"/>
              </w:rPr>
            </w:pPr>
            <w:r>
              <w:rPr>
                <w:rFonts w:ascii="Arial" w:cs="Arial" w:eastAsia="Arial" w:hAnsi="Arial"/>
                <w:sz w:val="11"/>
                <w:szCs w:val="11"/>
                <w:color w:val="auto"/>
              </w:rPr>
              <w:t>121,706</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38</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(96)</w:t>
            </w:r>
          </w:p>
        </w:tc>
        <w:tc>
          <w:tcPr>
            <w:tcW w:w="700" w:type="dxa"/>
            <w:vAlign w:val="bottom"/>
          </w:tcPr>
          <w:p>
            <w:pPr>
              <w:jc w:val="right"/>
              <w:spacing w:after="0"/>
              <w:rPr>
                <w:sz w:val="20"/>
                <w:szCs w:val="20"/>
                <w:color w:val="auto"/>
              </w:rPr>
            </w:pPr>
            <w:r>
              <w:rPr>
                <w:rFonts w:ascii="Arial" w:cs="Arial" w:eastAsia="Arial" w:hAnsi="Arial"/>
                <w:sz w:val="11"/>
                <w:szCs w:val="11"/>
                <w:color w:val="auto"/>
              </w:rPr>
              <w:t>121,648</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27,833</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189</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(1)</w:t>
            </w:r>
          </w:p>
        </w:tc>
        <w:tc>
          <w:tcPr>
            <w:tcW w:w="720" w:type="dxa"/>
            <w:vAlign w:val="bottom"/>
          </w:tcPr>
          <w:p>
            <w:pPr>
              <w:jc w:val="right"/>
              <w:spacing w:after="0"/>
              <w:rPr>
                <w:sz w:val="20"/>
                <w:szCs w:val="20"/>
                <w:color w:val="auto"/>
              </w:rPr>
            </w:pPr>
            <w:r>
              <w:rPr>
                <w:rFonts w:ascii="Arial" w:cs="Arial" w:eastAsia="Arial" w:hAnsi="Arial"/>
                <w:sz w:val="11"/>
                <w:szCs w:val="11"/>
                <w:color w:val="auto"/>
              </w:rPr>
              <w:t>28,021</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color w:val="auto"/>
              </w:rPr>
              <w:t>US Government - Sponsored Enterprises (f)</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86,337</w:t>
            </w: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2,337</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(427)</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88,247</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153,867</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1,661</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(1,299)</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154,229</w:t>
            </w:r>
          </w:p>
        </w:tc>
        <w:tc>
          <w:tcPr>
            <w:tcW w:w="120" w:type="dxa"/>
            <w:vAlign w:val="bottom"/>
            <w:shd w:val="clear" w:color="auto" w:fill="CCFFC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Restricted mutual funds (g)</w:t>
            </w:r>
          </w:p>
        </w:tc>
        <w:tc>
          <w:tcPr>
            <w:tcW w:w="600" w:type="dxa"/>
            <w:vAlign w:val="bottom"/>
          </w:tcPr>
          <w:p>
            <w:pPr>
              <w:jc w:val="right"/>
              <w:spacing w:after="0"/>
              <w:rPr>
                <w:sz w:val="20"/>
                <w:szCs w:val="20"/>
                <w:color w:val="auto"/>
              </w:rPr>
            </w:pPr>
            <w:r>
              <w:rPr>
                <w:rFonts w:ascii="Arial" w:cs="Arial" w:eastAsia="Arial" w:hAnsi="Arial"/>
                <w:sz w:val="11"/>
                <w:szCs w:val="11"/>
                <w:color w:val="auto"/>
              </w:rPr>
              <w:t>47,347</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18,255</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65,602</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43,152</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6,085</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49,237</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color w:val="auto"/>
              </w:rPr>
              <w:t>Participation in RAL’s funds (h)</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56,641</w:t>
            </w: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56,641</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51,204</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2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51,204</w:t>
            </w:r>
          </w:p>
        </w:tc>
        <w:tc>
          <w:tcPr>
            <w:tcW w:w="120" w:type="dxa"/>
            <w:vAlign w:val="bottom"/>
            <w:shd w:val="clear" w:color="auto" w:fill="CCFFC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Negotiable certificates of deposit</w:t>
            </w:r>
          </w:p>
        </w:tc>
        <w:tc>
          <w:tcPr>
            <w:tcW w:w="600" w:type="dxa"/>
            <w:vAlign w:val="bottom"/>
          </w:tcPr>
          <w:p>
            <w:pPr>
              <w:jc w:val="right"/>
              <w:spacing w:after="0"/>
              <w:rPr>
                <w:sz w:val="20"/>
                <w:szCs w:val="20"/>
                <w:color w:val="auto"/>
              </w:rPr>
            </w:pPr>
            <w:r>
              <w:rPr>
                <w:rFonts w:ascii="Arial" w:cs="Arial" w:eastAsia="Arial" w:hAnsi="Arial"/>
                <w:sz w:val="11"/>
                <w:szCs w:val="11"/>
                <w:color w:val="auto"/>
              </w:rPr>
              <w:t>53,236</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1,850</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w:t>
            </w:r>
          </w:p>
        </w:tc>
        <w:tc>
          <w:tcPr>
            <w:tcW w:w="700" w:type="dxa"/>
            <w:vAlign w:val="bottom"/>
          </w:tcPr>
          <w:p>
            <w:pPr>
              <w:jc w:val="right"/>
              <w:spacing w:after="0"/>
              <w:rPr>
                <w:sz w:val="20"/>
                <w:szCs w:val="20"/>
                <w:color w:val="auto"/>
              </w:rPr>
            </w:pPr>
            <w:r>
              <w:rPr>
                <w:rFonts w:ascii="Arial" w:cs="Arial" w:eastAsia="Arial" w:hAnsi="Arial"/>
                <w:sz w:val="11"/>
                <w:szCs w:val="11"/>
                <w:color w:val="auto"/>
              </w:rPr>
              <w:t>55,085</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47,225</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1,104</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48,329</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color w:val="auto"/>
                <w:w w:val="98"/>
              </w:rPr>
              <w:t>Bonds from international financial institutions (i)</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45,136</w:t>
            </w:r>
          </w:p>
        </w:tc>
        <w:tc>
          <w:tcPr>
            <w:tcW w:w="10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143</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45,279</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64,578</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89</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(24)</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64,643</w:t>
            </w:r>
          </w:p>
        </w:tc>
        <w:tc>
          <w:tcPr>
            <w:tcW w:w="120" w:type="dxa"/>
            <w:vAlign w:val="bottom"/>
            <w:shd w:val="clear" w:color="auto" w:fill="CCFFC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Commercial papers</w:t>
            </w:r>
          </w:p>
        </w:tc>
        <w:tc>
          <w:tcPr>
            <w:tcW w:w="600" w:type="dxa"/>
            <w:vAlign w:val="bottom"/>
          </w:tcPr>
          <w:p>
            <w:pPr>
              <w:jc w:val="right"/>
              <w:spacing w:after="0"/>
              <w:rPr>
                <w:sz w:val="20"/>
                <w:szCs w:val="20"/>
                <w:color w:val="auto"/>
              </w:rPr>
            </w:pPr>
            <w:r>
              <w:rPr>
                <w:rFonts w:ascii="Arial" w:cs="Arial" w:eastAsia="Arial" w:hAnsi="Arial"/>
                <w:sz w:val="11"/>
                <w:szCs w:val="11"/>
                <w:color w:val="auto"/>
              </w:rPr>
              <w:t>15,585</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27</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(9)</w:t>
            </w:r>
          </w:p>
        </w:tc>
        <w:tc>
          <w:tcPr>
            <w:tcW w:w="700" w:type="dxa"/>
            <w:vAlign w:val="bottom"/>
          </w:tcPr>
          <w:p>
            <w:pPr>
              <w:jc w:val="right"/>
              <w:spacing w:after="0"/>
              <w:rPr>
                <w:sz w:val="20"/>
                <w:szCs w:val="20"/>
                <w:color w:val="auto"/>
              </w:rPr>
            </w:pPr>
            <w:r>
              <w:rPr>
                <w:rFonts w:ascii="Arial" w:cs="Arial" w:eastAsia="Arial" w:hAnsi="Arial"/>
                <w:sz w:val="11"/>
                <w:szCs w:val="11"/>
                <w:color w:val="auto"/>
              </w:rPr>
              <w:t>15,603</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15,712</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(6)</w:t>
            </w:r>
          </w:p>
        </w:tc>
        <w:tc>
          <w:tcPr>
            <w:tcW w:w="720" w:type="dxa"/>
            <w:vAlign w:val="bottom"/>
          </w:tcPr>
          <w:p>
            <w:pPr>
              <w:jc w:val="right"/>
              <w:spacing w:after="0"/>
              <w:rPr>
                <w:sz w:val="20"/>
                <w:szCs w:val="20"/>
                <w:color w:val="auto"/>
              </w:rPr>
            </w:pPr>
            <w:r>
              <w:rPr>
                <w:rFonts w:ascii="Arial" w:cs="Arial" w:eastAsia="Arial" w:hAnsi="Arial"/>
                <w:sz w:val="11"/>
                <w:szCs w:val="11"/>
                <w:color w:val="auto"/>
              </w:rPr>
              <w:t>15,741</w:t>
            </w:r>
          </w:p>
        </w:tc>
        <w:tc>
          <w:tcPr>
            <w:tcW w:w="120" w:type="dxa"/>
            <w:vAlign w:val="bottom"/>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color w:val="auto"/>
              </w:rPr>
              <w:t>Other</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21,860</w:t>
            </w:r>
          </w:p>
        </w:tc>
        <w:tc>
          <w:tcPr>
            <w:tcW w:w="10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1,348</w:t>
            </w:r>
          </w:p>
        </w:tc>
        <w:tc>
          <w:tcPr>
            <w:tcW w:w="80" w:type="dxa"/>
            <w:vAlign w:val="bottom"/>
            <w:shd w:val="clear" w:color="auto" w:fill="CCFFCC"/>
          </w:tcPr>
          <w:p>
            <w:pPr>
              <w:spacing w:after="0"/>
              <w:rPr>
                <w:sz w:val="13"/>
                <w:szCs w:val="13"/>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(21)</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23,187</w:t>
            </w:r>
          </w:p>
        </w:tc>
        <w:tc>
          <w:tcPr>
            <w:tcW w:w="10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26,930</w:t>
            </w: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2,015</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(150)</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28,795</w:t>
            </w:r>
          </w:p>
        </w:tc>
        <w:tc>
          <w:tcPr>
            <w:tcW w:w="120" w:type="dxa"/>
            <w:vAlign w:val="bottom"/>
            <w:shd w:val="clear" w:color="auto" w:fill="CCFFCC"/>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4,766,977</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113,372</w:t>
            </w: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(13,823)</w:t>
            </w:r>
          </w:p>
        </w:tc>
        <w:tc>
          <w:tcPr>
            <w:tcW w:w="700" w:type="dxa"/>
            <w:vAlign w:val="bottom"/>
          </w:tcPr>
          <w:p>
            <w:pPr>
              <w:jc w:val="right"/>
              <w:spacing w:after="0"/>
              <w:rPr>
                <w:sz w:val="20"/>
                <w:szCs w:val="20"/>
                <w:color w:val="auto"/>
              </w:rPr>
            </w:pPr>
            <w:r>
              <w:rPr>
                <w:rFonts w:ascii="Arial" w:cs="Arial" w:eastAsia="Arial" w:hAnsi="Arial"/>
                <w:sz w:val="11"/>
                <w:szCs w:val="11"/>
                <w:color w:val="auto"/>
              </w:rPr>
              <w:t>4,866,526</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3,115,106</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97,574</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(6,416)</w:t>
            </w:r>
          </w:p>
        </w:tc>
        <w:tc>
          <w:tcPr>
            <w:tcW w:w="720" w:type="dxa"/>
            <w:vAlign w:val="bottom"/>
          </w:tcPr>
          <w:p>
            <w:pPr>
              <w:jc w:val="right"/>
              <w:spacing w:after="0"/>
              <w:rPr>
                <w:sz w:val="20"/>
                <w:szCs w:val="20"/>
                <w:color w:val="auto"/>
              </w:rPr>
            </w:pPr>
            <w:r>
              <w:rPr>
                <w:rFonts w:ascii="Arial" w:cs="Arial" w:eastAsia="Arial" w:hAnsi="Arial"/>
                <w:sz w:val="11"/>
                <w:szCs w:val="11"/>
                <w:color w:val="auto"/>
              </w:rPr>
              <w:t>3,206,264</w:t>
            </w:r>
          </w:p>
        </w:tc>
        <w:tc>
          <w:tcPr>
            <w:tcW w:w="1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Shares -</w:t>
            </w: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Listed securities (j)</w:t>
            </w:r>
          </w:p>
        </w:tc>
        <w:tc>
          <w:tcPr>
            <w:tcW w:w="600" w:type="dxa"/>
            <w:vAlign w:val="bottom"/>
          </w:tcPr>
          <w:p>
            <w:pPr>
              <w:jc w:val="right"/>
              <w:spacing w:after="0"/>
              <w:rPr>
                <w:sz w:val="20"/>
                <w:szCs w:val="20"/>
                <w:color w:val="auto"/>
              </w:rPr>
            </w:pPr>
            <w:r>
              <w:rPr>
                <w:rFonts w:ascii="Arial" w:cs="Arial" w:eastAsia="Arial" w:hAnsi="Arial"/>
                <w:sz w:val="11"/>
                <w:szCs w:val="11"/>
                <w:color w:val="auto"/>
              </w:rPr>
              <w:t>107,332</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167,578</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(1,701)</w:t>
            </w:r>
          </w:p>
        </w:tc>
        <w:tc>
          <w:tcPr>
            <w:tcW w:w="700" w:type="dxa"/>
            <w:vAlign w:val="bottom"/>
          </w:tcPr>
          <w:p>
            <w:pPr>
              <w:jc w:val="right"/>
              <w:spacing w:after="0"/>
              <w:rPr>
                <w:sz w:val="20"/>
                <w:szCs w:val="20"/>
                <w:color w:val="auto"/>
              </w:rPr>
            </w:pPr>
            <w:r>
              <w:rPr>
                <w:rFonts w:ascii="Arial" w:cs="Arial" w:eastAsia="Arial" w:hAnsi="Arial"/>
                <w:sz w:val="11"/>
                <w:szCs w:val="11"/>
                <w:color w:val="auto"/>
              </w:rPr>
              <w:t>273,209</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78,649</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112,025</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(235)</w:t>
            </w:r>
          </w:p>
        </w:tc>
        <w:tc>
          <w:tcPr>
            <w:tcW w:w="720" w:type="dxa"/>
            <w:vAlign w:val="bottom"/>
          </w:tcPr>
          <w:p>
            <w:pPr>
              <w:jc w:val="right"/>
              <w:spacing w:after="0"/>
              <w:rPr>
                <w:sz w:val="20"/>
                <w:szCs w:val="20"/>
                <w:color w:val="auto"/>
              </w:rPr>
            </w:pPr>
            <w:r>
              <w:rPr>
                <w:rFonts w:ascii="Arial" w:cs="Arial" w:eastAsia="Arial" w:hAnsi="Arial"/>
                <w:sz w:val="11"/>
                <w:szCs w:val="11"/>
                <w:color w:val="auto"/>
              </w:rPr>
              <w:t>190,439</w:t>
            </w:r>
          </w:p>
        </w:tc>
        <w:tc>
          <w:tcPr>
            <w:tcW w:w="120" w:type="dxa"/>
            <w:vAlign w:val="bottom"/>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1"/>
                <w:szCs w:val="11"/>
                <w:color w:val="auto"/>
              </w:rPr>
              <w:t>Non-listed securities</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19,568</w:t>
            </w:r>
          </w:p>
        </w:tc>
        <w:tc>
          <w:tcPr>
            <w:tcW w:w="10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28,343</w:t>
            </w:r>
          </w:p>
        </w:tc>
        <w:tc>
          <w:tcPr>
            <w:tcW w:w="80" w:type="dxa"/>
            <w:vAlign w:val="bottom"/>
            <w:shd w:val="clear" w:color="auto" w:fill="CCFFCC"/>
          </w:tcPr>
          <w:p>
            <w:pPr>
              <w:spacing w:after="0"/>
              <w:rPr>
                <w:sz w:val="13"/>
                <w:szCs w:val="13"/>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(3)</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47,908</w:t>
            </w:r>
          </w:p>
        </w:tc>
        <w:tc>
          <w:tcPr>
            <w:tcW w:w="10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17,837</w:t>
            </w: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7,964</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(57)</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25,744</w:t>
            </w:r>
          </w:p>
        </w:tc>
        <w:tc>
          <w:tcPr>
            <w:tcW w:w="120" w:type="dxa"/>
            <w:vAlign w:val="bottom"/>
            <w:shd w:val="clear" w:color="auto" w:fill="CCFFCC"/>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126,900</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195,921</w:t>
            </w: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(1,704)</w:t>
            </w:r>
          </w:p>
        </w:tc>
        <w:tc>
          <w:tcPr>
            <w:tcW w:w="700" w:type="dxa"/>
            <w:vAlign w:val="bottom"/>
          </w:tcPr>
          <w:p>
            <w:pPr>
              <w:jc w:val="right"/>
              <w:spacing w:after="0"/>
              <w:rPr>
                <w:sz w:val="20"/>
                <w:szCs w:val="20"/>
                <w:color w:val="auto"/>
              </w:rPr>
            </w:pPr>
            <w:r>
              <w:rPr>
                <w:rFonts w:ascii="Arial" w:cs="Arial" w:eastAsia="Arial" w:hAnsi="Arial"/>
                <w:sz w:val="11"/>
                <w:szCs w:val="11"/>
                <w:color w:val="auto"/>
              </w:rPr>
              <w:t>321,117</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96,486</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119,989</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(292)</w:t>
            </w:r>
          </w:p>
        </w:tc>
        <w:tc>
          <w:tcPr>
            <w:tcW w:w="720" w:type="dxa"/>
            <w:vAlign w:val="bottom"/>
          </w:tcPr>
          <w:p>
            <w:pPr>
              <w:jc w:val="right"/>
              <w:spacing w:after="0"/>
              <w:rPr>
                <w:sz w:val="20"/>
                <w:szCs w:val="20"/>
                <w:color w:val="auto"/>
              </w:rPr>
            </w:pPr>
            <w:r>
              <w:rPr>
                <w:rFonts w:ascii="Arial" w:cs="Arial" w:eastAsia="Arial" w:hAnsi="Arial"/>
                <w:sz w:val="11"/>
                <w:szCs w:val="11"/>
                <w:color w:val="auto"/>
              </w:rPr>
              <w:t>216,183</w:t>
            </w:r>
          </w:p>
        </w:tc>
        <w:tc>
          <w:tcPr>
            <w:tcW w:w="1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4,893,877</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309,293</w:t>
            </w: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(15,527)</w:t>
            </w: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5,187,643</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3,211,592</w:t>
            </w: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217,563</w:t>
            </w:r>
          </w:p>
        </w:tc>
        <w:tc>
          <w:tcPr>
            <w:tcW w:w="820" w:type="dxa"/>
            <w:vAlign w:val="bottom"/>
            <w:gridSpan w:val="3"/>
            <w:shd w:val="clear" w:color="auto" w:fill="CCFFCC"/>
          </w:tcPr>
          <w:p>
            <w:pPr>
              <w:jc w:val="right"/>
              <w:ind w:right="60"/>
              <w:spacing w:after="0"/>
              <w:rPr>
                <w:sz w:val="20"/>
                <w:szCs w:val="20"/>
                <w:color w:val="auto"/>
              </w:rPr>
            </w:pPr>
            <w:r>
              <w:rPr>
                <w:rFonts w:ascii="Arial" w:cs="Arial" w:eastAsia="Arial" w:hAnsi="Arial"/>
                <w:sz w:val="11"/>
                <w:szCs w:val="11"/>
                <w:color w:val="auto"/>
              </w:rPr>
              <w:t>(6,708)</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3,422,447</w:t>
            </w:r>
          </w:p>
        </w:tc>
        <w:tc>
          <w:tcPr>
            <w:tcW w:w="120" w:type="dxa"/>
            <w:vAlign w:val="bottom"/>
            <w:shd w:val="clear" w:color="auto" w:fill="CCFFCC"/>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2300" w:type="dxa"/>
            <w:vAlign w:val="bottom"/>
            <w:tcBorders>
              <w:top w:val="single" w:sz="8" w:color="CCFFCC"/>
            </w:tcBorders>
          </w:tcPr>
          <w:p>
            <w:pPr>
              <w:spacing w:after="0"/>
              <w:rPr>
                <w:sz w:val="20"/>
                <w:szCs w:val="20"/>
                <w:color w:val="auto"/>
              </w:rPr>
            </w:pPr>
            <w:r>
              <w:rPr>
                <w:rFonts w:ascii="Arial" w:cs="Arial" w:eastAsia="Arial" w:hAnsi="Arial"/>
                <w:sz w:val="11"/>
                <w:szCs w:val="11"/>
                <w:color w:val="auto"/>
              </w:rPr>
              <w:t>Accrued interest</w:t>
            </w: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FFCC"/>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40,998</w:t>
            </w:r>
          </w:p>
        </w:tc>
        <w:tc>
          <w:tcPr>
            <w:tcW w:w="100" w:type="dxa"/>
            <w:vAlign w:val="bottom"/>
            <w:tcBorders>
              <w:top w:val="single" w:sz="8" w:color="CCFFCC"/>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CCFFCC"/>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CFFCC"/>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CFFCC"/>
            </w:tcBorders>
          </w:tcPr>
          <w:p>
            <w:pPr>
              <w:spacing w:after="0"/>
              <w:rPr>
                <w:sz w:val="13"/>
                <w:szCs w:val="13"/>
                <w:color w:val="auto"/>
              </w:rPr>
            </w:pPr>
          </w:p>
        </w:tc>
        <w:tc>
          <w:tcPr>
            <w:tcW w:w="720" w:type="dxa"/>
            <w:vAlign w:val="bottom"/>
            <w:tcBorders>
              <w:top w:val="single" w:sz="8" w:color="CCFFCC"/>
              <w:bottom w:val="single" w:sz="8" w:color="auto"/>
            </w:tcBorders>
          </w:tcPr>
          <w:p>
            <w:pPr>
              <w:jc w:val="right"/>
              <w:spacing w:after="0"/>
              <w:rPr>
                <w:sz w:val="20"/>
                <w:szCs w:val="20"/>
                <w:color w:val="auto"/>
              </w:rPr>
            </w:pPr>
            <w:r>
              <w:rPr>
                <w:rFonts w:ascii="Arial" w:cs="Arial" w:eastAsia="Arial" w:hAnsi="Arial"/>
                <w:sz w:val="11"/>
                <w:szCs w:val="11"/>
                <w:color w:val="auto"/>
              </w:rPr>
              <w:t>28,264</w:t>
            </w:r>
          </w:p>
        </w:tc>
        <w:tc>
          <w:tcPr>
            <w:tcW w:w="120" w:type="dxa"/>
            <w:vAlign w:val="bottom"/>
            <w:tcBorders>
              <w:top w:val="single" w:sz="8" w:color="CCFFCC"/>
            </w:tcBorders>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2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1"/>
                <w:szCs w:val="11"/>
                <w:b w:val="1"/>
                <w:bCs w:val="1"/>
                <w:color w:val="auto"/>
              </w:rPr>
              <w:t>Total</w:t>
            </w:r>
          </w:p>
        </w:tc>
        <w:tc>
          <w:tcPr>
            <w:tcW w:w="60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62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6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5,228,641</w:t>
            </w:r>
          </w:p>
        </w:tc>
        <w:tc>
          <w:tcPr>
            <w:tcW w:w="100" w:type="dxa"/>
            <w:vAlign w:val="bottom"/>
            <w:tcBorders>
              <w:bottom w:val="single" w:sz="8" w:color="CCFFCC"/>
            </w:tcBorders>
            <w:shd w:val="clear" w:color="auto" w:fill="CCFFCC"/>
          </w:tcPr>
          <w:p>
            <w:pPr>
              <w:spacing w:after="0"/>
              <w:rPr>
                <w:sz w:val="15"/>
                <w:szCs w:val="15"/>
                <w:color w:val="auto"/>
              </w:rPr>
            </w:pPr>
          </w:p>
        </w:tc>
        <w:tc>
          <w:tcPr>
            <w:tcW w:w="62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6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6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1"/>
                <w:szCs w:val="11"/>
                <w:color w:val="auto"/>
              </w:rPr>
              <w:t>3,450,711</w:t>
            </w:r>
          </w:p>
        </w:tc>
        <w:tc>
          <w:tcPr>
            <w:tcW w:w="120" w:type="dxa"/>
            <w:vAlign w:val="bottom"/>
            <w:tcBorders>
              <w:bottom w:val="single" w:sz="8" w:color="CCFFCC"/>
            </w:tcBorders>
            <w:shd w:val="clear" w:color="auto" w:fill="CCFFCC"/>
          </w:tcPr>
          <w:p>
            <w:pPr>
              <w:spacing w:after="0"/>
              <w:rPr>
                <w:sz w:val="15"/>
                <w:szCs w:val="15"/>
                <w:color w:val="auto"/>
              </w:rPr>
            </w:pPr>
          </w:p>
        </w:tc>
      </w:tr>
    </w:tbl>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line="259" w:lineRule="auto"/>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Group has determined that the unrealized losses as of December 31, 2007 and 2006, arise from the variation of the interest rates and not from changes in the risk classification of the investments. Moreover, the Group has decided and has the capacity to maintain these investments until the recovery of their fair value which can occur at their maturity; therefore, the Group has concluded that no impairment exists on the value of these investments.</w:t>
      </w:r>
    </w:p>
    <w:p>
      <w:pPr>
        <w:spacing w:after="0" w:line="240" w:lineRule="exact"/>
        <w:rPr>
          <w:rFonts w:ascii="Arial" w:cs="Arial" w:eastAsia="Arial" w:hAnsi="Arial"/>
          <w:sz w:val="18"/>
          <w:szCs w:val="18"/>
          <w:color w:val="auto"/>
        </w:rPr>
      </w:pPr>
    </w:p>
    <w:p>
      <w:pPr>
        <w:ind w:left="1140" w:right="220"/>
        <w:spacing w:after="0" w:line="277" w:lineRule="auto"/>
        <w:rPr>
          <w:rFonts w:ascii="Arial" w:cs="Arial" w:eastAsia="Arial" w:hAnsi="Arial"/>
          <w:sz w:val="18"/>
          <w:szCs w:val="18"/>
          <w:color w:val="auto"/>
        </w:rPr>
      </w:pPr>
      <w:r>
        <w:rPr>
          <w:rFonts w:ascii="Arial" w:cs="Arial" w:eastAsia="Arial" w:hAnsi="Arial"/>
          <w:sz w:val="18"/>
          <w:szCs w:val="18"/>
          <w:color w:val="auto"/>
        </w:rPr>
        <w:t>The fair value and the gross unrealized losses of available-for-sale investments that are not considered as a permanent loss, classified by the date of such losses, are as follows: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left="1220"/>
        <w:spacing w:after="0"/>
        <w:rPr>
          <w:sz w:val="20"/>
          <w:szCs w:val="20"/>
          <w:color w:val="auto"/>
        </w:rPr>
      </w:pPr>
      <w:r>
        <w:rPr>
          <w:rFonts w:ascii="Arial" w:cs="Arial" w:eastAsia="Arial" w:hAnsi="Arial"/>
          <w:sz w:val="12"/>
          <w:szCs w:val="12"/>
          <w:b w:val="1"/>
          <w:bCs w:val="1"/>
          <w:color w:val="auto"/>
        </w:rPr>
        <w:t>Available-for-sale</w:t>
      </w:r>
    </w:p>
    <w:p>
      <w:pPr>
        <w:spacing w:after="0" w:line="48" w:lineRule="exact"/>
        <w:rPr>
          <w:sz w:val="20"/>
          <w:szCs w:val="20"/>
          <w:color w:val="auto"/>
        </w:rPr>
      </w:pPr>
    </w:p>
    <w:p>
      <w:pPr>
        <w:jc w:val="center"/>
        <w:ind w:left="1220"/>
        <w:spacing w:after="0"/>
        <w:rPr>
          <w:sz w:val="20"/>
          <w:szCs w:val="20"/>
          <w:color w:val="auto"/>
        </w:rPr>
      </w:pPr>
      <w:r>
        <w:rPr>
          <w:rFonts w:ascii="Arial" w:cs="Arial" w:eastAsia="Arial" w:hAnsi="Arial"/>
          <w:sz w:val="14"/>
          <w:szCs w:val="14"/>
          <w:b w:val="1"/>
          <w:bCs w:val="1"/>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Fixed maturity</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Shares</w:t>
      </w:r>
    </w:p>
    <w:p>
      <w:pPr>
        <w:spacing w:after="0" w:line="193" w:lineRule="exact"/>
        <w:rPr>
          <w:sz w:val="20"/>
          <w:szCs w:val="20"/>
          <w:color w:val="auto"/>
        </w:rPr>
      </w:pPr>
    </w:p>
    <w:p>
      <w:pPr>
        <w:jc w:val="center"/>
        <w:ind w:left="300"/>
        <w:spacing w:after="0"/>
        <w:rPr>
          <w:sz w:val="20"/>
          <w:szCs w:val="20"/>
          <w:color w:val="auto"/>
        </w:rPr>
      </w:pPr>
      <w:r>
        <w:rPr>
          <w:rFonts w:ascii="Arial" w:cs="Arial" w:eastAsia="Arial" w:hAnsi="Arial"/>
          <w:sz w:val="13"/>
          <w:szCs w:val="13"/>
          <w:b w:val="1"/>
          <w:bCs w:val="1"/>
          <w:color w:val="auto"/>
        </w:rPr>
        <w:t>Total</w:t>
      </w:r>
    </w:p>
    <w:p>
      <w:pPr>
        <w:spacing w:after="0" w:line="200" w:lineRule="exact"/>
        <w:rPr>
          <w:sz w:val="20"/>
          <w:szCs w:val="20"/>
          <w:color w:val="auto"/>
        </w:rPr>
      </w:pPr>
    </w:p>
    <w:p>
      <w:pPr>
        <w:spacing w:after="0" w:line="326" w:lineRule="exact"/>
        <w:rPr>
          <w:sz w:val="20"/>
          <w:szCs w:val="20"/>
          <w:color w:val="auto"/>
        </w:rPr>
      </w:pPr>
    </w:p>
    <w:p>
      <w:pPr>
        <w:jc w:val="center"/>
        <w:ind w:left="1220"/>
        <w:spacing w:after="0"/>
        <w:rPr>
          <w:sz w:val="20"/>
          <w:szCs w:val="20"/>
          <w:color w:val="auto"/>
        </w:rPr>
      </w:pPr>
      <w:r>
        <w:rPr>
          <w:rFonts w:ascii="Arial" w:cs="Arial" w:eastAsia="Arial" w:hAnsi="Arial"/>
          <w:sz w:val="12"/>
          <w:szCs w:val="12"/>
          <w:b w:val="1"/>
          <w:bCs w:val="1"/>
          <w:color w:val="auto"/>
        </w:rPr>
        <w:t>Available-for-sale</w:t>
      </w:r>
    </w:p>
    <w:p>
      <w:pPr>
        <w:spacing w:after="0" w:line="48" w:lineRule="exact"/>
        <w:rPr>
          <w:sz w:val="20"/>
          <w:szCs w:val="20"/>
          <w:color w:val="auto"/>
        </w:rPr>
      </w:pPr>
    </w:p>
    <w:p>
      <w:pPr>
        <w:jc w:val="center"/>
        <w:ind w:left="1220"/>
        <w:spacing w:after="0"/>
        <w:rPr>
          <w:sz w:val="20"/>
          <w:szCs w:val="20"/>
          <w:color w:val="auto"/>
        </w:rPr>
      </w:pPr>
      <w:r>
        <w:rPr>
          <w:rFonts w:ascii="Arial" w:cs="Arial" w:eastAsia="Arial" w:hAnsi="Arial"/>
          <w:sz w:val="14"/>
          <w:szCs w:val="14"/>
          <w:b w:val="1"/>
          <w:bCs w:val="1"/>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Fixed maturity</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Shares</w:t>
      </w:r>
    </w:p>
    <w:p>
      <w:pPr>
        <w:spacing w:after="0" w:line="193" w:lineRule="exact"/>
        <w:rPr>
          <w:sz w:val="20"/>
          <w:szCs w:val="20"/>
          <w:color w:val="auto"/>
        </w:rPr>
      </w:pPr>
    </w:p>
    <w:p>
      <w:pPr>
        <w:jc w:val="center"/>
        <w:ind w:left="300"/>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42367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gridSpan w:val="4"/>
          </w:tcPr>
          <w:p>
            <w:pPr>
              <w:ind w:left="540"/>
              <w:spacing w:after="0"/>
              <w:rPr>
                <w:sz w:val="20"/>
                <w:szCs w:val="20"/>
                <w:color w:val="auto"/>
              </w:rPr>
            </w:pPr>
            <w:r>
              <w:rPr>
                <w:rFonts w:ascii="Arial" w:cs="Arial" w:eastAsia="Arial" w:hAnsi="Arial"/>
                <w:sz w:val="14"/>
                <w:szCs w:val="14"/>
                <w:b w:val="1"/>
                <w:bCs w:val="1"/>
                <w:color w:val="auto"/>
              </w:rPr>
              <w:t>Up to 12 months</w:t>
            </w:r>
          </w:p>
        </w:tc>
        <w:tc>
          <w:tcPr>
            <w:tcW w:w="2260" w:type="dxa"/>
            <w:vAlign w:val="bottom"/>
            <w:gridSpan w:val="5"/>
          </w:tcPr>
          <w:p>
            <w:pPr>
              <w:ind w:left="560"/>
              <w:spacing w:after="0"/>
              <w:rPr>
                <w:sz w:val="20"/>
                <w:szCs w:val="20"/>
                <w:color w:val="auto"/>
              </w:rPr>
            </w:pPr>
            <w:r>
              <w:rPr>
                <w:rFonts w:ascii="Arial" w:cs="Arial" w:eastAsia="Arial" w:hAnsi="Arial"/>
                <w:sz w:val="14"/>
                <w:szCs w:val="14"/>
                <w:b w:val="1"/>
                <w:bCs w:val="1"/>
                <w:color w:val="auto"/>
              </w:rPr>
              <w:t>More than 1 year</w:t>
            </w:r>
          </w:p>
        </w:tc>
        <w:tc>
          <w:tcPr>
            <w:tcW w:w="1300" w:type="dxa"/>
            <w:vAlign w:val="bottom"/>
            <w:gridSpan w:val="3"/>
          </w:tcPr>
          <w:p>
            <w:pPr>
              <w:ind w:left="94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108"/>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08"/>
              <w:spacing w:after="0" w:line="16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r>
      <w:tr>
        <w:trPr>
          <w:trHeight w:val="17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 fair</w:t>
            </w: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unrealized</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Estimate fair</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Estimate fair</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unrealized</w:t>
            </w:r>
          </w:p>
        </w:tc>
      </w:tr>
      <w:tr>
        <w:trPr>
          <w:trHeight w:val="180"/>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loss</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r>
      <w:tr>
        <w:trPr>
          <w:trHeight w:val="182"/>
        </w:trPr>
        <w:tc>
          <w:tcPr>
            <w:tcW w:w="10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US$(000)</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US$(000)</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US$(000)</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r>
      <w:tr>
        <w:trPr>
          <w:trHeight w:val="324"/>
        </w:trPr>
        <w:tc>
          <w:tcPr>
            <w:tcW w:w="1000" w:type="dxa"/>
            <w:vAlign w:val="bottom"/>
          </w:tcPr>
          <w:p>
            <w:pPr>
              <w:jc w:val="right"/>
              <w:spacing w:after="0"/>
              <w:rPr>
                <w:sz w:val="20"/>
                <w:szCs w:val="20"/>
                <w:color w:val="auto"/>
              </w:rPr>
            </w:pPr>
            <w:r>
              <w:rPr>
                <w:rFonts w:ascii="Arial" w:cs="Arial" w:eastAsia="Arial" w:hAnsi="Arial"/>
                <w:sz w:val="14"/>
                <w:szCs w:val="14"/>
                <w:color w:val="auto"/>
              </w:rPr>
              <w:t>2,044,311</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9,513</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140,237</w:t>
            </w: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4,310</w:t>
            </w:r>
          </w:p>
        </w:tc>
        <w:tc>
          <w:tcPr>
            <w:tcW w:w="1040" w:type="dxa"/>
            <w:vAlign w:val="bottom"/>
          </w:tcPr>
          <w:p>
            <w:pPr>
              <w:jc w:val="right"/>
              <w:spacing w:after="0"/>
              <w:rPr>
                <w:sz w:val="20"/>
                <w:szCs w:val="20"/>
                <w:color w:val="auto"/>
              </w:rPr>
            </w:pPr>
            <w:r>
              <w:rPr>
                <w:rFonts w:ascii="Arial" w:cs="Arial" w:eastAsia="Arial" w:hAnsi="Arial"/>
                <w:sz w:val="14"/>
                <w:szCs w:val="14"/>
                <w:color w:val="auto"/>
              </w:rPr>
              <w:t>2,184,548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13,823</w:t>
            </w:r>
          </w:p>
        </w:tc>
      </w:tr>
      <w:tr>
        <w:trPr>
          <w:trHeight w:val="201"/>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16,670</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20" w:type="dxa"/>
            <w:vAlign w:val="bottom"/>
          </w:tcPr>
          <w:p>
            <w:pPr>
              <w:spacing w:after="0"/>
              <w:rPr>
                <w:sz w:val="17"/>
                <w:szCs w:val="17"/>
                <w:color w:val="auto"/>
              </w:rPr>
            </w:pPr>
          </w:p>
        </w:tc>
      </w:tr>
      <w:tr>
        <w:trPr>
          <w:trHeight w:val="318"/>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2,060,981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11,217</w:t>
            </w:r>
          </w:p>
        </w:tc>
        <w:tc>
          <w:tcPr>
            <w:tcW w:w="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4,310</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2,201,218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15,527</w:t>
            </w:r>
          </w:p>
        </w:tc>
        <w:tc>
          <w:tcPr>
            <w:tcW w:w="20" w:type="dxa"/>
            <w:vAlign w:val="bottom"/>
          </w:tcPr>
          <w:p>
            <w:pPr>
              <w:spacing w:after="0"/>
              <w:rPr>
                <w:sz w:val="24"/>
                <w:szCs w:val="24"/>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200" w:type="dxa"/>
            <w:vAlign w:val="bottom"/>
            <w:gridSpan w:val="4"/>
          </w:tcPr>
          <w:p>
            <w:pPr>
              <w:ind w:left="540"/>
              <w:spacing w:after="0"/>
              <w:rPr>
                <w:sz w:val="20"/>
                <w:szCs w:val="20"/>
                <w:color w:val="auto"/>
              </w:rPr>
            </w:pPr>
            <w:r>
              <w:rPr>
                <w:rFonts w:ascii="Arial" w:cs="Arial" w:eastAsia="Arial" w:hAnsi="Arial"/>
                <w:sz w:val="14"/>
                <w:szCs w:val="14"/>
                <w:b w:val="1"/>
                <w:bCs w:val="1"/>
                <w:color w:val="auto"/>
              </w:rPr>
              <w:t>Up to 12 months</w:t>
            </w:r>
          </w:p>
        </w:tc>
        <w:tc>
          <w:tcPr>
            <w:tcW w:w="2260" w:type="dxa"/>
            <w:vAlign w:val="bottom"/>
            <w:gridSpan w:val="5"/>
          </w:tcPr>
          <w:p>
            <w:pPr>
              <w:ind w:left="560"/>
              <w:spacing w:after="0"/>
              <w:rPr>
                <w:sz w:val="20"/>
                <w:szCs w:val="20"/>
                <w:color w:val="auto"/>
              </w:rPr>
            </w:pPr>
            <w:r>
              <w:rPr>
                <w:rFonts w:ascii="Arial" w:cs="Arial" w:eastAsia="Arial" w:hAnsi="Arial"/>
                <w:sz w:val="14"/>
                <w:szCs w:val="14"/>
                <w:b w:val="1"/>
                <w:bCs w:val="1"/>
                <w:color w:val="auto"/>
              </w:rPr>
              <w:t>More than 1 year</w:t>
            </w:r>
          </w:p>
        </w:tc>
        <w:tc>
          <w:tcPr>
            <w:tcW w:w="1300" w:type="dxa"/>
            <w:vAlign w:val="bottom"/>
            <w:gridSpan w:val="3"/>
          </w:tcPr>
          <w:p>
            <w:pPr>
              <w:ind w:left="94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108"/>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08"/>
              <w:spacing w:after="0" w:line="16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r>
      <w:tr>
        <w:trPr>
          <w:trHeight w:val="17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 fair</w:t>
            </w: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unrealized</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Estimate fair</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Estimate fair</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unrealized</w:t>
            </w:r>
          </w:p>
        </w:tc>
      </w:tr>
      <w:tr>
        <w:trPr>
          <w:trHeight w:val="180"/>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loss</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r>
      <w:tr>
        <w:trPr>
          <w:trHeight w:val="182"/>
        </w:trPr>
        <w:tc>
          <w:tcPr>
            <w:tcW w:w="10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US$(000)</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US$(000)</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US$(000)</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r>
      <w:tr>
        <w:trPr>
          <w:trHeight w:val="324"/>
        </w:trPr>
        <w:tc>
          <w:tcPr>
            <w:tcW w:w="1000" w:type="dxa"/>
            <w:vAlign w:val="bottom"/>
          </w:tcPr>
          <w:p>
            <w:pPr>
              <w:jc w:val="right"/>
              <w:spacing w:after="0"/>
              <w:rPr>
                <w:sz w:val="20"/>
                <w:szCs w:val="20"/>
                <w:color w:val="auto"/>
              </w:rPr>
            </w:pPr>
            <w:r>
              <w:rPr>
                <w:rFonts w:ascii="Arial" w:cs="Arial" w:eastAsia="Arial" w:hAnsi="Arial"/>
                <w:sz w:val="14"/>
                <w:szCs w:val="14"/>
                <w:color w:val="auto"/>
              </w:rPr>
              <w:t>571,882</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3,686</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214,692</w:t>
            </w: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2,730</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786,574</w:t>
            </w:r>
          </w:p>
        </w:tc>
        <w:tc>
          <w:tcPr>
            <w:tcW w:w="1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6,416</w:t>
            </w:r>
          </w:p>
        </w:tc>
      </w:tr>
      <w:tr>
        <w:trPr>
          <w:trHeight w:val="201"/>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20" w:type="dxa"/>
            <w:vAlign w:val="bottom"/>
          </w:tcPr>
          <w:p>
            <w:pPr>
              <w:spacing w:after="0"/>
              <w:rPr>
                <w:sz w:val="17"/>
                <w:szCs w:val="17"/>
                <w:color w:val="auto"/>
              </w:rPr>
            </w:pPr>
          </w:p>
        </w:tc>
      </w:tr>
      <w:tr>
        <w:trPr>
          <w:trHeight w:val="318"/>
        </w:trPr>
        <w:tc>
          <w:tcPr>
            <w:tcW w:w="1000" w:type="dxa"/>
            <w:vAlign w:val="bottom"/>
          </w:tcPr>
          <w:p>
            <w:pPr>
              <w:jc w:val="right"/>
              <w:spacing w:after="0"/>
              <w:rPr>
                <w:sz w:val="20"/>
                <w:szCs w:val="20"/>
                <w:color w:val="auto"/>
              </w:rPr>
            </w:pPr>
            <w:r>
              <w:rPr>
                <w:rFonts w:ascii="Arial" w:cs="Arial" w:eastAsia="Arial" w:hAnsi="Arial"/>
                <w:sz w:val="14"/>
                <w:szCs w:val="14"/>
                <w:color w:val="auto"/>
              </w:rPr>
              <w:t>573,839</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rPr>
              <w:t>3,715</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215,545</w:t>
            </w: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2,993</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789,384</w:t>
            </w:r>
          </w:p>
        </w:tc>
        <w:tc>
          <w:tcPr>
            <w:tcW w:w="1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6,708</w:t>
            </w: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-2040255</wp:posOffset>
            </wp:positionV>
            <wp:extent cx="5213985" cy="1117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-1791970</wp:posOffset>
            </wp:positionV>
            <wp:extent cx="5213985" cy="946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9461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-479425</wp:posOffset>
            </wp:positionV>
            <wp:extent cx="5213985" cy="1117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-231140</wp:posOffset>
            </wp:positionV>
            <wp:extent cx="5213985" cy="946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80"/>
            <w:col w:w="8840"/>
          </w:cols>
          <w:pgMar w:left="240" w:top="37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240" w:hanging="484"/>
        <w:spacing w:after="0" w:line="277" w:lineRule="auto"/>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movement of “Other reserves” in equity includes mainly the net change in the realized and unrealized gains and losses, net of deferred taxes and minority interest, and the provision for impairment. This caption is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b w:val="1"/>
                <w:bCs w:val="1"/>
                <w:color w:val="auto"/>
              </w:rPr>
              <w:t>2007</w:t>
            </w: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2006</w:t>
            </w: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US$(000)</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US$(000)</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unrealized gains, net of taxes and minority</w:t>
            </w:r>
          </w:p>
        </w:tc>
        <w:tc>
          <w:tcPr>
            <w:tcW w:w="146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note 18(c)</w:t>
            </w:r>
          </w:p>
        </w:tc>
        <w:tc>
          <w:tcPr>
            <w:tcW w:w="14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85,129</w:t>
            </w:r>
          </w:p>
        </w:tc>
        <w:tc>
          <w:tcPr>
            <w:tcW w:w="14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69,411</w:t>
            </w:r>
          </w:p>
        </w:tc>
        <w:tc>
          <w:tcPr>
            <w:tcW w:w="1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5"/>
              </w:rPr>
              <w:t>Net realized gains, net of taxes and minority interest,</w:t>
            </w: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note 18(c)</w:t>
            </w:r>
          </w:p>
        </w:tc>
        <w:tc>
          <w:tcPr>
            <w:tcW w:w="1460" w:type="dxa"/>
            <w:vAlign w:val="bottom"/>
          </w:tcPr>
          <w:p>
            <w:pPr>
              <w:jc w:val="right"/>
              <w:ind w:right="190"/>
              <w:spacing w:after="0"/>
              <w:rPr>
                <w:sz w:val="20"/>
                <w:szCs w:val="20"/>
                <w:color w:val="auto"/>
              </w:rPr>
            </w:pPr>
            <w:r>
              <w:rPr>
                <w:rFonts w:ascii="Arial" w:cs="Arial" w:eastAsia="Arial" w:hAnsi="Arial"/>
                <w:sz w:val="18"/>
                <w:szCs w:val="18"/>
                <w:color w:val="auto"/>
              </w:rPr>
              <w:t>17,634</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6,620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Impairment on investments, note 18(c)</w:t>
            </w:r>
          </w:p>
        </w:tc>
        <w:tc>
          <w:tcPr>
            <w:tcW w:w="14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(5,017)</w:t>
            </w:r>
          </w:p>
        </w:tc>
        <w:tc>
          <w:tcPr>
            <w:tcW w:w="14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right="40" w:hanging="484"/>
        <w:spacing w:after="0" w:line="271" w:lineRule="auto"/>
        <w:tabs>
          <w:tab w:leader="none" w:pos="11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BCRP certificates of deposit are discounted Peruvian currency instruments with maturities due within one year. These certificates have been acquired in public auctions. Annual interest rates in Peruvian currency range between 4.93 and 6.01 percent as of December 31, 2007 (between 4.53 and 5.78 annual percent as of December 31, 2006) with maturities between January 2008 and April 2010 (between January 2007 and December 2009, of December 31, 2006). As of December 31, 2007 and 2006, the Group has entered into BCRP - Repo transactions in Peruvian currency with its clients using these securities, for approximately US$242.8 and US$167.7 million, respectively. As of December 31, 2007, these operations earn an effective annual interest rate range between 5.04 and 6.00 percent and with maturities between January 2008 and December 2009 (annual interest rate range between 4.08 and 5.26 percent and with maturities between January 2007 and June 2007 as of December 31, 2006).</w:t>
      </w:r>
    </w:p>
    <w:p>
      <w:pPr>
        <w:spacing w:after="0" w:line="232" w:lineRule="exact"/>
        <w:rPr>
          <w:rFonts w:ascii="Arial" w:cs="Arial" w:eastAsia="Arial" w:hAnsi="Arial"/>
          <w:sz w:val="17"/>
          <w:szCs w:val="17"/>
          <w:color w:val="auto"/>
        </w:rPr>
      </w:pPr>
    </w:p>
    <w:p>
      <w:pPr>
        <w:ind w:left="1140" w:right="140" w:hanging="484"/>
        <w:spacing w:after="0" w:line="285" w:lineRule="auto"/>
        <w:tabs>
          <w:tab w:leader="none" w:pos="11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As of December 31, 2007, comprise corporate bonds by US$1,053.7 million, leasing bonds by US$4.3 million and subordinated bonds by US$2.2 million (US$849.9, US$3.9 and US$4.4 million, respectively, as of December 31, 2006), with maturities between January 2008 and November 2066 (between January 2007 and May 2049 as of December 31, 2006). These bonds accrue interests at annual effective rates that range between 2.79 and 6.87 percent for the bonds denominated in Peruvian currency (between 3.36 and 7.71 percent as of December 31, 2006), and between 3.13 and 15.63 percent for the bonds denominated in U.S. Dollars (between 2.88 and 11.00 percent as of December 31,</w:t>
      </w:r>
    </w:p>
    <w:p>
      <w:pPr>
        <w:spacing w:after="0" w:line="2"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2006).</w:t>
      </w:r>
    </w:p>
    <w:p>
      <w:pPr>
        <w:spacing w:after="0" w:line="264" w:lineRule="exact"/>
        <w:rPr>
          <w:rFonts w:ascii="Arial" w:cs="Arial" w:eastAsia="Arial" w:hAnsi="Arial"/>
          <w:sz w:val="16"/>
          <w:szCs w:val="16"/>
          <w:color w:val="auto"/>
        </w:rPr>
      </w:pPr>
    </w:p>
    <w:p>
      <w:pPr>
        <w:ind w:left="1140" w:hanging="484"/>
        <w:spacing w:after="0" w:line="273" w:lineRule="auto"/>
        <w:tabs>
          <w:tab w:leader="none" w:pos="11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Includes principally debt instruments for US$88.2, US$616.1, US$85.4 and US$11.1 million issued by US Government - Sponsored Enterprises, the Peruvian Government, the Colombian Government and the Government of El Salvador, respectively, as of December 31, 2007 (US$154.2, US$425.1, US$72.0 and US$14.0 million issued by US Government - Sponsored Enterprises, the Peruvian Government, the Colombian Government and the Government of El Salvador, respectively, as of December 31, 2006). Their maturities are between January 2008 and August 2046 (between February 2007 and August 2038 as of December 31, 2006) at annual interest rates that range between 3.28 and 9.13 percent (between 2.38 and 11.75 percent as of December 31, 2006).</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100"/>
        <w:spacing w:after="0" w:line="276" w:lineRule="auto"/>
        <w:rPr>
          <w:sz w:val="20"/>
          <w:szCs w:val="20"/>
          <w:color w:val="auto"/>
        </w:rPr>
      </w:pPr>
      <w:r>
        <w:rPr>
          <w:rFonts w:ascii="Arial" w:cs="Arial" w:eastAsia="Arial" w:hAnsi="Arial"/>
          <w:sz w:val="17"/>
          <w:szCs w:val="17"/>
          <w:color w:val="auto"/>
        </w:rPr>
        <w:t>As of December 31, 2007, the Group has entered into Repo transactions in U.S. Dollars with its clients using Peruvian Treasury bonds and Colombian Government bonds for approximately US$38.9 million and US$59.3 million, respectively (approximately US$19.8 million using Peruvian Treasury bonds, as of December, 31 of 2006). Such transactions have maturities between October 2008 and December 2008 (between January 2007 and September 2007, as of December 31, of 2006) and accrue interest at annual rates that ranges between 5.35 and 6.00 percent (between 5.40 and 8.00 percent as of December, 31 of 2006).</w:t>
      </w:r>
    </w:p>
    <w:p>
      <w:pPr>
        <w:spacing w:after="0" w:line="227" w:lineRule="exact"/>
        <w:rPr>
          <w:sz w:val="20"/>
          <w:szCs w:val="20"/>
          <w:color w:val="auto"/>
        </w:rPr>
      </w:pPr>
    </w:p>
    <w:p>
      <w:pPr>
        <w:ind w:left="1140" w:right="200" w:hanging="484"/>
        <w:spacing w:after="0" w:line="312" w:lineRule="auto"/>
        <w:tabs>
          <w:tab w:leader="none" w:pos="11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restricted mutual funds comprise participation quotas on the pension funds managed by the Group as required by the legal standards of Peru and they have a restricted disposal. The profitability obtained is the same as the obtained for the funds managed. The amount as of December 31, 2006, approximately US$32.3 million comes from the purchase of AFP Unión Vida S.A. as mentioned in note 2(a).</w:t>
      </w:r>
    </w:p>
    <w:p>
      <w:pPr>
        <w:spacing w:after="0" w:line="200" w:lineRule="exact"/>
        <w:rPr>
          <w:rFonts w:ascii="Arial" w:cs="Arial" w:eastAsia="Arial" w:hAnsi="Arial"/>
          <w:sz w:val="16"/>
          <w:szCs w:val="16"/>
          <w:color w:val="auto"/>
        </w:rPr>
      </w:pPr>
    </w:p>
    <w:p>
      <w:pPr>
        <w:ind w:left="1140" w:right="20" w:hanging="484"/>
        <w:spacing w:after="0" w:line="259"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denomination), stated in Bolivian pesos, comprises investments made by the Group in the Central Bank of Bolivia as collateral for the deposits maintained with the public. Such fund has restrictions for its use and it is required for all the banks established in Bolivia. The fund accrues interest at an average annual rate of 5.42 and 5.61 as of December 31, 2007 and 2006, respectively.</w:t>
      </w:r>
    </w:p>
    <w:p>
      <w:pPr>
        <w:spacing w:after="0" w:line="240" w:lineRule="exact"/>
        <w:rPr>
          <w:rFonts w:ascii="Arial" w:cs="Arial" w:eastAsia="Arial" w:hAnsi="Arial"/>
          <w:sz w:val="18"/>
          <w:szCs w:val="18"/>
          <w:color w:val="auto"/>
        </w:rPr>
      </w:pPr>
    </w:p>
    <w:p>
      <w:pPr>
        <w:ind w:left="1140" w:hanging="484"/>
        <w:spacing w:after="0" w:line="257"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Comprise mainly of US$32.8 and US$10.0 million of debt instruments issued by Corporación Andina de Fomento - CAF and by The World Bank, respectively (mainly of US$55.1 and US$9.5 million issued by Corporación Andina de Fomento - CAF and by The World Bank, respectively, as of December 31, 2006). Such bonds have maturities between April 2008 and November 2011 (between January 2007 and July 2009 as of December 31, 2006). Annual interest rates are between 3.81 and 6.31 percent (between 5.32 and 5.92 percent as of December 31, 2006).</w:t>
      </w:r>
    </w:p>
    <w:p>
      <w:pPr>
        <w:spacing w:after="0" w:line="255" w:lineRule="exact"/>
        <w:rPr>
          <w:rFonts w:ascii="Arial" w:cs="Arial" w:eastAsia="Arial" w:hAnsi="Arial"/>
          <w:sz w:val="18"/>
          <w:szCs w:val="18"/>
          <w:color w:val="auto"/>
        </w:rPr>
      </w:pPr>
    </w:p>
    <w:p>
      <w:pPr>
        <w:ind w:left="1140" w:right="120"/>
        <w:spacing w:after="0" w:line="360" w:lineRule="auto"/>
        <w:rPr>
          <w:rFonts w:ascii="Arial" w:cs="Arial" w:eastAsia="Arial" w:hAnsi="Arial"/>
          <w:sz w:val="18"/>
          <w:szCs w:val="18"/>
          <w:color w:val="auto"/>
        </w:rPr>
      </w:pPr>
      <w:r>
        <w:rPr>
          <w:rFonts w:ascii="Arial" w:cs="Arial" w:eastAsia="Arial" w:hAnsi="Arial"/>
          <w:sz w:val="16"/>
          <w:szCs w:val="16"/>
          <w:color w:val="auto"/>
        </w:rPr>
        <w:t>As of December 31, 2006, the Group had Repo transactions in U.S. Dollars with its clients using these securities for approximately US$40.1 million. These transactions earned interests at effective rates between 5.32 and 5.92 percent and with maturity in January 2007.</w:t>
      </w:r>
    </w:p>
    <w:p>
      <w:pPr>
        <w:spacing w:after="0" w:line="163" w:lineRule="exact"/>
        <w:rPr>
          <w:rFonts w:ascii="Arial" w:cs="Arial" w:eastAsia="Arial" w:hAnsi="Arial"/>
          <w:sz w:val="18"/>
          <w:szCs w:val="18"/>
          <w:color w:val="auto"/>
        </w:rPr>
      </w:pPr>
    </w:p>
    <w:p>
      <w:pPr>
        <w:ind w:left="1140" w:right="120" w:hanging="484"/>
        <w:spacing w:after="0" w:line="264"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December 31, 2007, the unrealized gains on trade shares comes principally from the shares of Banco de Crédito e Inversiones de Chile - BCI Chile, Inversiones Centenario S.A. and Alicorp S.A.A., which amounted to US$61.3, US$31.2 and US$29.0, respectively (amounted to US$60.2, US$6.2 and US$26.9 million, respectively, as of December 31, 2006).</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amortized cost and market value of the investments available-for-sale classified by maturity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0" w:type="dxa"/>
            <w:vAlign w:val="bottom"/>
            <w:gridSpan w:val="3"/>
          </w:tcPr>
          <w:p>
            <w:pPr>
              <w:jc w:val="right"/>
              <w:ind w:right="600"/>
              <w:spacing w:after="0" w:line="191" w:lineRule="exact"/>
              <w:rPr>
                <w:sz w:val="20"/>
                <w:szCs w:val="20"/>
                <w:color w:val="auto"/>
              </w:rPr>
            </w:pPr>
            <w:r>
              <w:rPr>
                <w:rFonts w:ascii="Arial" w:cs="Arial" w:eastAsia="Arial" w:hAnsi="Arial"/>
                <w:sz w:val="18"/>
                <w:szCs w:val="18"/>
                <w:b w:val="1"/>
                <w:bCs w:val="1"/>
                <w:color w:val="auto"/>
              </w:rPr>
              <w:t>Amortized</w:t>
            </w:r>
          </w:p>
        </w:tc>
        <w:tc>
          <w:tcPr>
            <w:tcW w:w="10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Market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5"/>
          </w:tcPr>
          <w:p>
            <w:pPr>
              <w:jc w:val="right"/>
              <w:ind w:right="620"/>
              <w:spacing w:after="0" w:line="191" w:lineRule="exact"/>
              <w:rPr>
                <w:sz w:val="20"/>
                <w:szCs w:val="20"/>
                <w:color w:val="auto"/>
              </w:rPr>
            </w:pPr>
            <w:r>
              <w:rPr>
                <w:rFonts w:ascii="Arial" w:cs="Arial" w:eastAsia="Arial" w:hAnsi="Arial"/>
                <w:sz w:val="18"/>
                <w:szCs w:val="18"/>
                <w:b w:val="1"/>
                <w:bCs w:val="1"/>
                <w:color w:val="auto"/>
              </w:rPr>
              <w:t>Amortized</w:t>
            </w:r>
          </w:p>
        </w:tc>
        <w:tc>
          <w:tcPr>
            <w:tcW w:w="10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0"/>
              </w:rPr>
              <w:t>cost</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value</w:t>
            </w:r>
          </w:p>
        </w:tc>
        <w:tc>
          <w:tcPr>
            <w:tcW w:w="40" w:type="dxa"/>
            <w:vAlign w:val="bottom"/>
          </w:tcPr>
          <w:p>
            <w:pPr>
              <w:spacing w:after="0"/>
              <w:rPr>
                <w:sz w:val="20"/>
                <w:szCs w:val="20"/>
                <w:color w:val="auto"/>
              </w:rPr>
            </w:pPr>
          </w:p>
        </w:tc>
        <w:tc>
          <w:tcPr>
            <w:tcW w:w="1580" w:type="dxa"/>
            <w:vAlign w:val="bottom"/>
            <w:gridSpan w:val="5"/>
          </w:tcPr>
          <w:p>
            <w:pPr>
              <w:ind w:left="420"/>
              <w:spacing w:after="0"/>
              <w:rPr>
                <w:sz w:val="20"/>
                <w:szCs w:val="20"/>
                <w:color w:val="auto"/>
              </w:rPr>
            </w:pPr>
            <w:r>
              <w:rPr>
                <w:rFonts w:ascii="Arial" w:cs="Arial" w:eastAsia="Arial" w:hAnsi="Arial"/>
                <w:sz w:val="18"/>
                <w:szCs w:val="18"/>
                <w:b w:val="1"/>
                <w:bCs w:val="1"/>
                <w:color w:val="auto"/>
              </w:rPr>
              <w:t>cost</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value</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US$(000)</w:t>
            </w:r>
          </w:p>
        </w:tc>
        <w:tc>
          <w:tcPr>
            <w:tcW w:w="40" w:type="dxa"/>
            <w:vAlign w:val="bottom"/>
          </w:tcPr>
          <w:p>
            <w:pPr>
              <w:spacing w:after="0"/>
              <w:rPr>
                <w:sz w:val="21"/>
                <w:szCs w:val="21"/>
                <w:color w:val="auto"/>
              </w:rPr>
            </w:pPr>
          </w:p>
        </w:tc>
        <w:tc>
          <w:tcPr>
            <w:tcW w:w="1580" w:type="dxa"/>
            <w:vAlign w:val="bottom"/>
            <w:gridSpan w:val="5"/>
          </w:tcPr>
          <w:p>
            <w:pPr>
              <w:ind w:left="22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798,053</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828,839</w:t>
            </w:r>
          </w:p>
        </w:tc>
        <w:tc>
          <w:tcPr>
            <w:tcW w:w="12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766,650</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781,657</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From 3 months to 1 year</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1,961,129</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1,959,497</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866,811</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868,452</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922,822</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925,330</w:t>
            </w:r>
          </w:p>
        </w:tc>
        <w:tc>
          <w:tcPr>
            <w:tcW w:w="12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458,796</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460,967</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From 3 to 5 years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170,413</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175,532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222,215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228,805</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914,560</w:t>
            </w:r>
          </w:p>
        </w:tc>
        <w:tc>
          <w:tcPr>
            <w:tcW w:w="18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977,328</w:t>
            </w:r>
          </w:p>
        </w:tc>
        <w:tc>
          <w:tcPr>
            <w:tcW w:w="12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800,634</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866,383</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Without maturity (shares)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126,900</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321,117</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96,486</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216,183</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8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4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tcBorders>
              <w:top w:val="single" w:sz="8" w:color="auto"/>
            </w:tcBorders>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4,893,877</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5,187,643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3,211,592</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3,422,447</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330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Loans, net</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0" w:type="dxa"/>
            <w:vAlign w:val="bottom"/>
            <w:vMerge w:val="continue"/>
          </w:tcPr>
          <w:p>
            <w:pPr>
              <w:spacing w:after="0"/>
              <w:rPr>
                <w:sz w:val="24"/>
                <w:szCs w:val="24"/>
                <w:color w:val="auto"/>
              </w:rPr>
            </w:pPr>
          </w:p>
        </w:tc>
        <w:tc>
          <w:tcPr>
            <w:tcW w:w="330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(a)</w:t>
            </w: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w w:val="90"/>
              </w:rPr>
              <w:t>This caption is made up as follows: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gridSpan w:val="5"/>
          </w:tcPr>
          <w:p>
            <w:pPr>
              <w:jc w:val="right"/>
              <w:ind w:right="62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US$(000)</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Loans</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5,842,934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4,224,102</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2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1,118,301</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675,804</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Credit card receivables</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677,182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438,628</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Discount notes</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2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325,047</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256,534</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Advances and overdrafts</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127,486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84,262</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Factoring receivables</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2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109,928</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89,171</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w w:val="92"/>
              </w:rPr>
              <w:t>Refinanced and restructured loans</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88,451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126,006</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61,488</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76,770</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Borders>
              <w:top w:val="single" w:sz="8" w:color="CCFFCC"/>
            </w:tcBorders>
          </w:tcPr>
          <w:p>
            <w:pPr>
              <w:spacing w:after="0"/>
              <w:rPr>
                <w:sz w:val="20"/>
                <w:szCs w:val="20"/>
                <w:color w:val="auto"/>
              </w:rPr>
            </w:pPr>
          </w:p>
        </w:tc>
        <w:tc>
          <w:tcPr>
            <w:tcW w:w="122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6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4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8,350,817</w:t>
            </w:r>
          </w:p>
        </w:tc>
        <w:tc>
          <w:tcPr>
            <w:tcW w:w="160" w:type="dxa"/>
            <w:vAlign w:val="bottom"/>
            <w:tcBorders>
              <w:top w:val="single" w:sz="8" w:color="CCFFCC"/>
            </w:tcBorders>
          </w:tcPr>
          <w:p>
            <w:pPr>
              <w:spacing w:after="0"/>
              <w:rPr>
                <w:sz w:val="20"/>
                <w:szCs w:val="20"/>
                <w:color w:val="auto"/>
              </w:rPr>
            </w:pPr>
          </w:p>
        </w:tc>
        <w:tc>
          <w:tcPr>
            <w:tcW w:w="4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5,971,277</w:t>
            </w:r>
          </w:p>
        </w:tc>
        <w:tc>
          <w:tcPr>
            <w:tcW w:w="120" w:type="dxa"/>
            <w:vAlign w:val="bottom"/>
            <w:tcBorders>
              <w:top w:val="single" w:sz="8" w:color="CCFFCC"/>
            </w:tcBorders>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Accrued interest</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66,974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49,740</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(166,972)</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(93,916)</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(211,319)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(190,278)</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256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20" w:type="dxa"/>
            <w:vAlign w:val="bottom"/>
            <w:tcBorders>
              <w:top w:val="single" w:sz="8" w:color="auto"/>
            </w:tcBorders>
            <w:gridSpan w:val="2"/>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Total direct loans, net</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8,039,500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5,736,823</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20" w:type="dxa"/>
            <w:vAlign w:val="bottom"/>
            <w:tcBorders>
              <w:top w:val="single" w:sz="8" w:color="auto"/>
            </w:tcBorders>
            <w:gridSpan w:val="2"/>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Indirect loans, note 21(a)</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1,564,525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8"/>
                <w:szCs w:val="18"/>
                <w:color w:val="auto"/>
              </w:rPr>
              <w:t>F-43</w:t>
            </w: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Loans by class as of December 31, 2007 and 2006,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6,222,178</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4,465,837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1,253,835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Consumer loans</w:t>
            </w:r>
          </w:p>
        </w:tc>
        <w:tc>
          <w:tcPr>
            <w:tcW w:w="20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874,804</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524,167</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FFCC"/>
            </w:tcBorders>
            <w:shd w:val="clear" w:color="auto" w:fill="CCFFCC"/>
          </w:tcPr>
          <w:p>
            <w:pPr>
              <w:spacing w:after="0"/>
              <w:rPr>
                <w:sz w:val="22"/>
                <w:szCs w:val="22"/>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8,350,817</w:t>
            </w:r>
          </w:p>
        </w:tc>
        <w:tc>
          <w:tcPr>
            <w:tcW w:w="2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5,971,277</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hanging="484"/>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credits) is shown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91"/>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mortgage</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Consumer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20" w:type="dxa"/>
            <w:vAlign w:val="bottom"/>
          </w:tcPr>
          <w:p>
            <w:pPr>
              <w:spacing w:after="0"/>
              <w:rPr>
                <w:sz w:val="20"/>
                <w:szCs w:val="20"/>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loans</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loans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15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1"/>
                <w:szCs w:val="21"/>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5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Beginning balances</w:t>
            </w:r>
          </w:p>
        </w:tc>
        <w:tc>
          <w:tcPr>
            <w:tcW w:w="13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183,374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9,253</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17,959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210,586</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Provision (recoveries)</w:t>
            </w:r>
          </w:p>
        </w:tc>
        <w:tc>
          <w:tcPr>
            <w:tcW w:w="1300" w:type="dxa"/>
            <w:vAlign w:val="bottom"/>
          </w:tcPr>
          <w:p>
            <w:pPr>
              <w:jc w:val="right"/>
              <w:spacing w:after="0"/>
              <w:rPr>
                <w:sz w:val="20"/>
                <w:szCs w:val="20"/>
                <w:color w:val="auto"/>
              </w:rPr>
            </w:pPr>
            <w:r>
              <w:rPr>
                <w:rFonts w:ascii="Arial" w:cs="Arial" w:eastAsia="Arial" w:hAnsi="Arial"/>
                <w:sz w:val="18"/>
                <w:szCs w:val="18"/>
                <w:color w:val="auto"/>
              </w:rPr>
              <w:t>(5,591)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4,884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29,146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c>
          <w:tcPr>
            <w:tcW w:w="15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3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26,016</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2,587</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5,481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34,084</w:t>
            </w:r>
          </w:p>
        </w:tc>
        <w:tc>
          <w:tcPr>
            <w:tcW w:w="1560" w:type="dxa"/>
            <w:vAlign w:val="bottom"/>
          </w:tcPr>
          <w:p>
            <w:pPr>
              <w:spacing w:after="0"/>
              <w:rPr>
                <w:sz w:val="21"/>
                <w:szCs w:val="21"/>
                <w:color w:val="auto"/>
              </w:rPr>
            </w:pPr>
          </w:p>
        </w:tc>
      </w:tr>
      <w:tr>
        <w:trPr>
          <w:trHeight w:val="243"/>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Loan portfolio written-off</w:t>
            </w:r>
          </w:p>
        </w:tc>
        <w:tc>
          <w:tcPr>
            <w:tcW w:w="1300" w:type="dxa"/>
            <w:vAlign w:val="bottom"/>
          </w:tcPr>
          <w:p>
            <w:pPr>
              <w:jc w:val="right"/>
              <w:spacing w:after="0"/>
              <w:rPr>
                <w:sz w:val="20"/>
                <w:szCs w:val="20"/>
                <w:color w:val="auto"/>
              </w:rPr>
            </w:pPr>
            <w:r>
              <w:rPr>
                <w:rFonts w:ascii="Arial" w:cs="Arial" w:eastAsia="Arial" w:hAnsi="Arial"/>
                <w:sz w:val="18"/>
                <w:szCs w:val="18"/>
                <w:color w:val="auto"/>
              </w:rPr>
              <w:t>(22,079)</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(2,395)</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(22,792)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(47,266)</w:t>
            </w:r>
          </w:p>
        </w:tc>
        <w:tc>
          <w:tcPr>
            <w:tcW w:w="1560" w:type="dxa"/>
            <w:vAlign w:val="bottom"/>
          </w:tcPr>
          <w:p>
            <w:pPr>
              <w:spacing w:after="0"/>
              <w:rPr>
                <w:sz w:val="21"/>
                <w:szCs w:val="21"/>
                <w:color w:val="auto"/>
              </w:rPr>
            </w:pPr>
          </w:p>
        </w:tc>
      </w:tr>
      <w:tr>
        <w:trPr>
          <w:trHeight w:val="275"/>
        </w:trPr>
        <w:tc>
          <w:tcPr>
            <w:tcW w:w="1140" w:type="dxa"/>
            <w:vAlign w:val="bottom"/>
          </w:tcPr>
          <w:p>
            <w:pPr>
              <w:spacing w:after="0"/>
              <w:rPr>
                <w:sz w:val="23"/>
                <w:szCs w:val="23"/>
                <w:color w:val="auto"/>
              </w:rPr>
            </w:pPr>
          </w:p>
        </w:tc>
        <w:tc>
          <w:tcPr>
            <w:tcW w:w="3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0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2,864</w:t>
            </w:r>
          </w:p>
        </w:tc>
        <w:tc>
          <w:tcPr>
            <w:tcW w:w="1560" w:type="dxa"/>
            <w:vAlign w:val="bottom"/>
            <w:tcBorders>
              <w:bottom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868</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FFCC"/>
            </w:tcBorders>
            <w:shd w:val="clear" w:color="auto" w:fill="CCFFCC"/>
          </w:tcPr>
          <w:p>
            <w:pPr>
              <w:spacing w:after="0"/>
              <w:rPr>
                <w:sz w:val="23"/>
                <w:szCs w:val="23"/>
                <w:color w:val="auto"/>
              </w:rPr>
            </w:pPr>
          </w:p>
        </w:tc>
        <w:tc>
          <w:tcPr>
            <w:tcW w:w="1560" w:type="dxa"/>
            <w:vAlign w:val="bottom"/>
          </w:tcPr>
          <w:p>
            <w:pPr>
              <w:spacing w:after="0"/>
              <w:rPr>
                <w:sz w:val="23"/>
                <w:szCs w:val="23"/>
                <w:color w:val="auto"/>
              </w:rPr>
            </w:pPr>
          </w:p>
        </w:tc>
      </w:tr>
      <w:tr>
        <w:trPr>
          <w:trHeight w:val="237"/>
        </w:trPr>
        <w:tc>
          <w:tcPr>
            <w:tcW w:w="1140" w:type="dxa"/>
            <w:vAlign w:val="bottom"/>
          </w:tcPr>
          <w:p>
            <w:pPr>
              <w:spacing w:after="0"/>
              <w:rPr>
                <w:sz w:val="20"/>
                <w:szCs w:val="20"/>
                <w:color w:val="auto"/>
              </w:rPr>
            </w:pPr>
          </w:p>
        </w:tc>
        <w:tc>
          <w:tcPr>
            <w:tcW w:w="3080" w:type="dxa"/>
            <w:vAlign w:val="bottom"/>
            <w:tcBorders>
              <w:top w:val="single" w:sz="8" w:color="CCFFC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560" w:type="dxa"/>
            <w:vAlign w:val="bottom"/>
          </w:tcPr>
          <w:p>
            <w:pPr>
              <w:spacing w:after="0"/>
              <w:rPr>
                <w:sz w:val="20"/>
                <w:szCs w:val="20"/>
                <w:color w:val="auto"/>
              </w:rPr>
            </w:pPr>
          </w:p>
        </w:tc>
      </w:tr>
      <w:tr>
        <w:trPr>
          <w:trHeight w:val="263"/>
        </w:trPr>
        <w:tc>
          <w:tcPr>
            <w:tcW w:w="1140" w:type="dxa"/>
            <w:vAlign w:val="bottom"/>
          </w:tcPr>
          <w:p>
            <w:pPr>
              <w:spacing w:after="0"/>
              <w:rPr>
                <w:sz w:val="22"/>
                <w:szCs w:val="22"/>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3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184,584</w:t>
            </w:r>
          </w:p>
        </w:tc>
        <w:tc>
          <w:tcPr>
            <w:tcW w:w="12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14,454</w:t>
            </w:r>
          </w:p>
        </w:tc>
        <w:tc>
          <w:tcPr>
            <w:tcW w:w="16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30,662</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229,700</w:t>
            </w:r>
          </w:p>
        </w:tc>
        <w:tc>
          <w:tcPr>
            <w:tcW w:w="100" w:type="dxa"/>
            <w:vAlign w:val="bottom"/>
            <w:shd w:val="clear" w:color="auto" w:fill="CCFFCC"/>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94"/>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1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Residential</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mortgage</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Consumer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20" w:type="dxa"/>
            <w:vAlign w:val="bottom"/>
          </w:tcPr>
          <w:p>
            <w:pPr>
              <w:spacing w:after="0"/>
              <w:rPr>
                <w:sz w:val="20"/>
                <w:szCs w:val="20"/>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loans</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loans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15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1"/>
                <w:szCs w:val="21"/>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560" w:type="dxa"/>
            <w:vAlign w:val="bottom"/>
          </w:tcPr>
          <w:p>
            <w:pPr>
              <w:spacing w:after="0"/>
              <w:rPr>
                <w:sz w:val="21"/>
                <w:szCs w:val="21"/>
                <w:color w:val="auto"/>
              </w:rPr>
            </w:pPr>
          </w:p>
        </w:tc>
      </w:tr>
      <w:tr>
        <w:trPr>
          <w:trHeight w:val="243"/>
        </w:trPr>
        <w:tc>
          <w:tcPr>
            <w:tcW w:w="422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13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Beginning balances</w:t>
            </w:r>
          </w:p>
        </w:tc>
        <w:tc>
          <w:tcPr>
            <w:tcW w:w="13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196,059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8,528</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14,049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218,636</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Provision (recoveries)</w:t>
            </w:r>
          </w:p>
        </w:tc>
        <w:tc>
          <w:tcPr>
            <w:tcW w:w="1300" w:type="dxa"/>
            <w:vAlign w:val="bottom"/>
          </w:tcPr>
          <w:p>
            <w:pPr>
              <w:jc w:val="right"/>
              <w:spacing w:after="0"/>
              <w:rPr>
                <w:sz w:val="20"/>
                <w:szCs w:val="20"/>
                <w:color w:val="auto"/>
              </w:rPr>
            </w:pPr>
            <w:r>
              <w:rPr>
                <w:rFonts w:ascii="Arial" w:cs="Arial" w:eastAsia="Arial" w:hAnsi="Arial"/>
                <w:sz w:val="18"/>
                <w:szCs w:val="18"/>
                <w:color w:val="auto"/>
              </w:rPr>
              <w:t>(19,118)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13,673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(4,243)</w:t>
            </w:r>
          </w:p>
        </w:tc>
        <w:tc>
          <w:tcPr>
            <w:tcW w:w="15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3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31,546</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11,674</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44,284</w:t>
            </w:r>
          </w:p>
        </w:tc>
        <w:tc>
          <w:tcPr>
            <w:tcW w:w="1560" w:type="dxa"/>
            <w:vAlign w:val="bottom"/>
          </w:tcPr>
          <w:p>
            <w:pPr>
              <w:spacing w:after="0"/>
              <w:rPr>
                <w:sz w:val="21"/>
                <w:szCs w:val="21"/>
                <w:color w:val="auto"/>
              </w:rPr>
            </w:pPr>
          </w:p>
        </w:tc>
      </w:tr>
      <w:tr>
        <w:trPr>
          <w:trHeight w:val="243"/>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Loan portfolio written-off</w:t>
            </w:r>
          </w:p>
        </w:tc>
        <w:tc>
          <w:tcPr>
            <w:tcW w:w="1300" w:type="dxa"/>
            <w:vAlign w:val="bottom"/>
          </w:tcPr>
          <w:p>
            <w:pPr>
              <w:jc w:val="right"/>
              <w:spacing w:after="0"/>
              <w:rPr>
                <w:sz w:val="20"/>
                <w:szCs w:val="20"/>
                <w:color w:val="auto"/>
              </w:rPr>
            </w:pPr>
            <w:r>
              <w:rPr>
                <w:rFonts w:ascii="Arial" w:cs="Arial" w:eastAsia="Arial" w:hAnsi="Arial"/>
                <w:sz w:val="18"/>
                <w:szCs w:val="18"/>
                <w:color w:val="auto"/>
              </w:rPr>
              <w:t>(25,971)</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(2,447)</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(21,441)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(49,859)</w:t>
            </w:r>
          </w:p>
        </w:tc>
        <w:tc>
          <w:tcPr>
            <w:tcW w:w="1560" w:type="dxa"/>
            <w:vAlign w:val="bottom"/>
          </w:tcPr>
          <w:p>
            <w:pPr>
              <w:spacing w:after="0"/>
              <w:rPr>
                <w:sz w:val="21"/>
                <w:szCs w:val="21"/>
                <w:color w:val="auto"/>
              </w:rPr>
            </w:pPr>
          </w:p>
        </w:tc>
      </w:tr>
      <w:tr>
        <w:trPr>
          <w:trHeight w:val="275"/>
        </w:trPr>
        <w:tc>
          <w:tcPr>
            <w:tcW w:w="1140" w:type="dxa"/>
            <w:vAlign w:val="bottom"/>
          </w:tcPr>
          <w:p>
            <w:pPr>
              <w:spacing w:after="0"/>
              <w:rPr>
                <w:sz w:val="23"/>
                <w:szCs w:val="23"/>
                <w:color w:val="auto"/>
              </w:rPr>
            </w:pPr>
          </w:p>
        </w:tc>
        <w:tc>
          <w:tcPr>
            <w:tcW w:w="3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0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858</w:t>
            </w:r>
          </w:p>
        </w:tc>
        <w:tc>
          <w:tcPr>
            <w:tcW w:w="1560" w:type="dxa"/>
            <w:vAlign w:val="bottom"/>
            <w:tcBorders>
              <w:bottom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906</w:t>
            </w:r>
          </w:p>
        </w:tc>
        <w:tc>
          <w:tcPr>
            <w:tcW w:w="16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FFCC"/>
            </w:tcBorders>
            <w:shd w:val="clear" w:color="auto" w:fill="CCFFCC"/>
          </w:tcPr>
          <w:p>
            <w:pPr>
              <w:spacing w:after="0"/>
              <w:rPr>
                <w:sz w:val="23"/>
                <w:szCs w:val="23"/>
                <w:color w:val="auto"/>
              </w:rPr>
            </w:pPr>
          </w:p>
        </w:tc>
        <w:tc>
          <w:tcPr>
            <w:tcW w:w="1560" w:type="dxa"/>
            <w:vAlign w:val="bottom"/>
          </w:tcPr>
          <w:p>
            <w:pPr>
              <w:spacing w:after="0"/>
              <w:rPr>
                <w:sz w:val="23"/>
                <w:szCs w:val="23"/>
                <w:color w:val="auto"/>
              </w:rPr>
            </w:pPr>
          </w:p>
        </w:tc>
      </w:tr>
      <w:tr>
        <w:trPr>
          <w:trHeight w:val="237"/>
        </w:trPr>
        <w:tc>
          <w:tcPr>
            <w:tcW w:w="1140" w:type="dxa"/>
            <w:vAlign w:val="bottom"/>
          </w:tcPr>
          <w:p>
            <w:pPr>
              <w:spacing w:after="0"/>
              <w:rPr>
                <w:sz w:val="20"/>
                <w:szCs w:val="20"/>
                <w:color w:val="auto"/>
              </w:rPr>
            </w:pPr>
          </w:p>
        </w:tc>
        <w:tc>
          <w:tcPr>
            <w:tcW w:w="3080" w:type="dxa"/>
            <w:vAlign w:val="bottom"/>
            <w:tcBorders>
              <w:top w:val="single" w:sz="8" w:color="CCFFC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560" w:type="dxa"/>
            <w:vAlign w:val="bottom"/>
          </w:tcPr>
          <w:p>
            <w:pPr>
              <w:spacing w:after="0"/>
              <w:rPr>
                <w:sz w:val="20"/>
                <w:szCs w:val="20"/>
                <w:color w:val="auto"/>
              </w:rPr>
            </w:pPr>
          </w:p>
        </w:tc>
      </w:tr>
      <w:tr>
        <w:trPr>
          <w:trHeight w:val="283"/>
        </w:trPr>
        <w:tc>
          <w:tcPr>
            <w:tcW w:w="1140" w:type="dxa"/>
            <w:vAlign w:val="bottom"/>
          </w:tcPr>
          <w:p>
            <w:pPr>
              <w:spacing w:after="0"/>
              <w:rPr>
                <w:sz w:val="24"/>
                <w:szCs w:val="24"/>
                <w:color w:val="auto"/>
              </w:rPr>
            </w:pPr>
          </w:p>
        </w:tc>
        <w:tc>
          <w:tcPr>
            <w:tcW w:w="3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3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183,374</w:t>
            </w:r>
          </w:p>
        </w:tc>
        <w:tc>
          <w:tcPr>
            <w:tcW w:w="120" w:type="dxa"/>
            <w:vAlign w:val="bottom"/>
            <w:tcBorders>
              <w:bottom w:val="single" w:sz="8" w:color="CCFFCC"/>
            </w:tcBorders>
            <w:shd w:val="clear" w:color="auto" w:fill="CCFFCC"/>
          </w:tcPr>
          <w:p>
            <w:pPr>
              <w:spacing w:after="0"/>
              <w:rPr>
                <w:sz w:val="24"/>
                <w:szCs w:val="24"/>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9,253</w:t>
            </w:r>
          </w:p>
        </w:tc>
        <w:tc>
          <w:tcPr>
            <w:tcW w:w="200" w:type="dxa"/>
            <w:vAlign w:val="bottom"/>
            <w:tcBorders>
              <w:bottom w:val="single" w:sz="8" w:color="CCFFCC"/>
            </w:tcBorders>
            <w:shd w:val="clear" w:color="auto" w:fill="CCFFCC"/>
          </w:tcPr>
          <w:p>
            <w:pPr>
              <w:spacing w:after="0"/>
              <w:rPr>
                <w:sz w:val="24"/>
                <w:szCs w:val="24"/>
                <w:color w:val="auto"/>
              </w:rPr>
            </w:pPr>
          </w:p>
        </w:tc>
        <w:tc>
          <w:tcPr>
            <w:tcW w:w="160" w:type="dxa"/>
            <w:vAlign w:val="bottom"/>
            <w:tcBorders>
              <w:bottom w:val="single" w:sz="8" w:color="auto"/>
            </w:tcBorders>
            <w:shd w:val="clear" w:color="auto" w:fill="CCFFCC"/>
          </w:tcPr>
          <w:p>
            <w:pPr>
              <w:spacing w:after="0"/>
              <w:rPr>
                <w:sz w:val="24"/>
                <w:szCs w:val="24"/>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17,959</w:t>
            </w:r>
          </w:p>
        </w:tc>
        <w:tc>
          <w:tcPr>
            <w:tcW w:w="180" w:type="dxa"/>
            <w:vAlign w:val="bottom"/>
            <w:tcBorders>
              <w:bottom w:val="single" w:sz="8" w:color="CCFFCC"/>
            </w:tcBorders>
            <w:shd w:val="clear" w:color="auto" w:fill="CCFFCC"/>
          </w:tcPr>
          <w:p>
            <w:pPr>
              <w:spacing w:after="0"/>
              <w:rPr>
                <w:sz w:val="24"/>
                <w:szCs w:val="24"/>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210,586</w:t>
            </w:r>
          </w:p>
        </w:tc>
        <w:tc>
          <w:tcPr>
            <w:tcW w:w="100" w:type="dxa"/>
            <w:vAlign w:val="bottom"/>
            <w:tcBorders>
              <w:bottom w:val="single" w:sz="8" w:color="CCFFCC"/>
            </w:tcBorders>
            <w:shd w:val="clear" w:color="auto" w:fill="CCFFCC"/>
          </w:tcPr>
          <w:p>
            <w:pPr>
              <w:spacing w:after="0"/>
              <w:rPr>
                <w:sz w:val="24"/>
                <w:szCs w:val="24"/>
                <w:color w:val="auto"/>
              </w:rPr>
            </w:pPr>
          </w:p>
        </w:tc>
        <w:tc>
          <w:tcPr>
            <w:tcW w:w="1560" w:type="dxa"/>
            <w:vAlign w:val="bottom"/>
          </w:tcPr>
          <w:p>
            <w:pPr>
              <w:spacing w:after="0"/>
              <w:rPr>
                <w:sz w:val="24"/>
                <w:szCs w:val="24"/>
                <w:color w:val="auto"/>
              </w:rPr>
            </w:pPr>
          </w:p>
        </w:tc>
      </w:tr>
      <w:tr>
        <w:trPr>
          <w:trHeight w:val="440"/>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gridSpan w:val="4"/>
          </w:tcPr>
          <w:p>
            <w:pPr>
              <w:jc w:val="right"/>
              <w:ind w:right="1360"/>
              <w:spacing w:after="0"/>
              <w:rPr>
                <w:sz w:val="20"/>
                <w:szCs w:val="20"/>
                <w:color w:val="auto"/>
              </w:rPr>
            </w:pPr>
            <w:r>
              <w:rPr>
                <w:rFonts w:ascii="Arial" w:cs="Arial" w:eastAsia="Arial" w:hAnsi="Arial"/>
                <w:sz w:val="18"/>
                <w:szCs w:val="18"/>
                <w:color w:val="auto"/>
                <w:w w:val="91"/>
              </w:rPr>
              <w:t>F-44</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2005</w:t>
            </w: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Residential</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08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Commercial</w:t>
            </w: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mortgage</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Consumer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loans</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loans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43"/>
        </w:trPr>
        <w:tc>
          <w:tcPr>
            <w:tcW w:w="3080" w:type="dxa"/>
            <w:vAlign w:val="bottom"/>
          </w:tcPr>
          <w:p>
            <w:pPr>
              <w:spacing w:after="0"/>
              <w:rPr>
                <w:sz w:val="21"/>
                <w:szCs w:val="21"/>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3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243,799</w:t>
            </w:r>
          </w:p>
        </w:tc>
        <w:tc>
          <w:tcPr>
            <w:tcW w:w="18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10,604</w:t>
            </w: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17,470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271,873</w:t>
            </w:r>
          </w:p>
        </w:tc>
        <w:tc>
          <w:tcPr>
            <w:tcW w:w="100" w:type="dxa"/>
            <w:vAlign w:val="bottom"/>
            <w:shd w:val="clear" w:color="auto" w:fill="CCFFCC"/>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Provision (recoveries)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(24,812)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18,172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(6,356)</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30,497</w:t>
            </w:r>
          </w:p>
        </w:tc>
        <w:tc>
          <w:tcPr>
            <w:tcW w:w="18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3,798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35,032</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Allowance disposal related to the sale</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80" w:type="dxa"/>
            <w:vAlign w:val="bottom"/>
          </w:tcPr>
          <w:p>
            <w:pPr>
              <w:ind w:left="160"/>
              <w:spacing w:after="0"/>
              <w:rPr>
                <w:sz w:val="20"/>
                <w:szCs w:val="20"/>
                <w:color w:val="auto"/>
              </w:rPr>
            </w:pPr>
            <w:r>
              <w:rPr>
                <w:rFonts w:ascii="Arial" w:cs="Arial" w:eastAsia="Arial" w:hAnsi="Arial"/>
                <w:sz w:val="18"/>
                <w:szCs w:val="18"/>
                <w:color w:val="auto"/>
              </w:rPr>
              <w:t>of Banco Tequendama, note 2(c)</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(8,871)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(9,024)</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(43,651)</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(3,094)</w:t>
            </w: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(24,660)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(71,405)</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Translation result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(1,484)</w:t>
            </w:r>
          </w:p>
        </w:tc>
      </w:tr>
      <w:tr>
        <w:trPr>
          <w:trHeight w:val="237"/>
        </w:trPr>
        <w:tc>
          <w:tcPr>
            <w:tcW w:w="3080" w:type="dxa"/>
            <w:vAlign w:val="bottom"/>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b w:val="1"/>
                <w:bCs w:val="1"/>
                <w:color w:val="auto"/>
              </w:rPr>
              <w:t>Ending balances (*)</w:t>
            </w:r>
          </w:p>
        </w:tc>
        <w:tc>
          <w:tcPr>
            <w:tcW w:w="1240" w:type="dxa"/>
            <w:vAlign w:val="bottom"/>
          </w:tcPr>
          <w:p>
            <w:pPr>
              <w:jc w:val="right"/>
              <w:spacing w:after="0"/>
              <w:rPr>
                <w:sz w:val="20"/>
                <w:szCs w:val="20"/>
                <w:color w:val="auto"/>
              </w:rPr>
            </w:pPr>
            <w:r>
              <w:rPr>
                <w:rFonts w:ascii="Arial" w:cs="Arial" w:eastAsia="Arial" w:hAnsi="Arial"/>
                <w:sz w:val="18"/>
                <w:szCs w:val="18"/>
                <w:color w:val="auto"/>
              </w:rPr>
              <w:t>196,059</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14,049</w:t>
            </w:r>
          </w:p>
        </w:tc>
        <w:tc>
          <w:tcPr>
            <w:tcW w:w="1260" w:type="dxa"/>
            <w:vAlign w:val="bottom"/>
          </w:tcPr>
          <w:p>
            <w:pPr>
              <w:jc w:val="right"/>
              <w:spacing w:after="0"/>
              <w:rPr>
                <w:sz w:val="20"/>
                <w:szCs w:val="20"/>
                <w:color w:val="auto"/>
              </w:rPr>
            </w:pPr>
            <w:r>
              <w:rPr>
                <w:rFonts w:ascii="Arial" w:cs="Arial" w:eastAsia="Arial" w:hAnsi="Arial"/>
                <w:sz w:val="18"/>
                <w:szCs w:val="18"/>
                <w:color w:val="auto"/>
              </w:rPr>
              <w:t>218,636</w:t>
            </w:r>
          </w:p>
        </w:tc>
        <w:tc>
          <w:tcPr>
            <w:tcW w:w="1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620" w:right="160" w:hanging="478"/>
        <w:spacing w:after="0" w:line="259" w:lineRule="auto"/>
        <w:tabs>
          <w:tab w:leader="none" w:pos="1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credits for approximately US$211.3 and US$18.4 million, respectively, as of December 31, 2007 (approximately US$190.3 and US$20.3 million; and US$197.5 and US$21.1 million, as of December 31, 2006 and 2005, respectively). The allowance for indirect loan losses is included in the “Other liabilities” caption of the consolidated balance sheet, note 13(a).</w:t>
      </w:r>
    </w:p>
    <w:p>
      <w:pPr>
        <w:spacing w:after="0" w:line="241"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2007, 2006 and 2005 has been established in accordance with IAS 39 and it is sufficient to cover the losses on the loans portfolio, note 3(i).</w:t>
      </w:r>
    </w:p>
    <w:p>
      <w:pPr>
        <w:spacing w:after="0" w:line="224" w:lineRule="exact"/>
        <w:rPr>
          <w:sz w:val="20"/>
          <w:szCs w:val="20"/>
          <w:color w:val="auto"/>
        </w:rPr>
      </w:pPr>
    </w:p>
    <w:p>
      <w:pPr>
        <w:ind w:left="1140" w:right="120" w:hanging="484"/>
        <w:spacing w:after="0" w:line="277" w:lineRule="auto"/>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credit instruments, financial instruments, industrial pledges and mercantile pledges.</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Interest on past due loans and loans in legal collection are recognized when collected.</w:t>
      </w:r>
    </w:p>
    <w:p>
      <w:pPr>
        <w:spacing w:after="0" w:line="23" w:lineRule="exact"/>
        <w:rPr>
          <w:rFonts w:ascii="Arial" w:cs="Arial" w:eastAsia="Arial" w:hAnsi="Arial"/>
          <w:sz w:val="18"/>
          <w:szCs w:val="18"/>
          <w:color w:val="auto"/>
        </w:rPr>
      </w:pPr>
    </w:p>
    <w:p>
      <w:pPr>
        <w:ind w:left="1140" w:right="1000"/>
        <w:spacing w:after="0" w:line="290" w:lineRule="auto"/>
        <w:rPr>
          <w:rFonts w:ascii="Arial" w:cs="Arial" w:eastAsia="Arial" w:hAnsi="Arial"/>
          <w:sz w:val="18"/>
          <w:szCs w:val="18"/>
          <w:color w:val="auto"/>
        </w:rPr>
      </w:pPr>
      <w:r>
        <w:rPr>
          <w:rFonts w:ascii="Arial" w:cs="Arial" w:eastAsia="Arial" w:hAnsi="Arial"/>
          <w:sz w:val="17"/>
          <w:szCs w:val="17"/>
          <w:color w:val="auto"/>
        </w:rPr>
        <w:t>The interest income that would have been recorded for these credits in accordance with the terms of the original contract amount approximately US$15.0, US$28.1 and US$25.8 million as of December 31, 2007, 2006 and 2005,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 w:hanging="484"/>
        <w:spacing w:after="0" w:line="277"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of December 31, 2007 and 2006, the direct gross loan portfolio classified by maturity, based in the remaining period to the repayment date is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Up to 1 year</w:t>
            </w:r>
          </w:p>
        </w:tc>
        <w:tc>
          <w:tcPr>
            <w:tcW w:w="1220" w:type="dxa"/>
            <w:vAlign w:val="bottom"/>
          </w:tcPr>
          <w:p>
            <w:pPr>
              <w:jc w:val="right"/>
              <w:spacing w:after="0"/>
              <w:rPr>
                <w:sz w:val="20"/>
                <w:szCs w:val="20"/>
                <w:color w:val="auto"/>
              </w:rPr>
            </w:pPr>
            <w:r>
              <w:rPr>
                <w:rFonts w:ascii="Arial" w:cs="Arial" w:eastAsia="Arial" w:hAnsi="Arial"/>
                <w:sz w:val="18"/>
                <w:szCs w:val="18"/>
                <w:color w:val="auto"/>
              </w:rPr>
              <w:t>4,980,021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1,443,070</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797,458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From 3 to 5 years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666,670</w:t>
            </w:r>
          </w:p>
        </w:tc>
        <w:tc>
          <w:tcPr>
            <w:tcW w:w="1240" w:type="dxa"/>
            <w:vAlign w:val="bottom"/>
          </w:tcPr>
          <w:p>
            <w:pPr>
              <w:jc w:val="right"/>
              <w:spacing w:after="0"/>
              <w:rPr>
                <w:sz w:val="20"/>
                <w:szCs w:val="20"/>
                <w:color w:val="auto"/>
              </w:rPr>
            </w:pPr>
            <w:r>
              <w:rPr>
                <w:rFonts w:ascii="Arial" w:cs="Arial" w:eastAsia="Arial" w:hAnsi="Arial"/>
                <w:sz w:val="18"/>
                <w:szCs w:val="18"/>
                <w:color w:val="auto"/>
              </w:rPr>
              <w:t>464,718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1,199,568</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857,620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Up to 4 months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20,825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20,122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Under legal collection loans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20,541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8,350,817</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490"/>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 designated at fair value through profit and loss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gridSpan w:val="3"/>
          </w:tcPr>
          <w:p>
            <w:pPr>
              <w:ind w:left="1100"/>
              <w:spacing w:after="0"/>
              <w:rPr>
                <w:sz w:val="20"/>
                <w:szCs w:val="20"/>
                <w:color w:val="auto"/>
              </w:rPr>
            </w:pPr>
            <w:r>
              <w:rPr>
                <w:rFonts w:ascii="Arial" w:cs="Arial" w:eastAsia="Arial" w:hAnsi="Arial"/>
                <w:sz w:val="18"/>
                <w:szCs w:val="18"/>
                <w:b w:val="1"/>
                <w:bCs w:val="1"/>
                <w:color w:val="auto"/>
                <w:w w:val="84"/>
              </w:rPr>
              <w:t>Assets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4"/>
          </w:tcPr>
          <w:p>
            <w:pPr>
              <w:ind w:left="96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20" w:type="dxa"/>
            <w:vAlign w:val="bottom"/>
            <w:gridSpan w:val="3"/>
          </w:tcPr>
          <w:p>
            <w:pPr>
              <w:ind w:left="260"/>
              <w:spacing w:after="0"/>
              <w:rPr>
                <w:sz w:val="20"/>
                <w:szCs w:val="20"/>
                <w:color w:val="auto"/>
              </w:rPr>
            </w:pPr>
            <w:r>
              <w:rPr>
                <w:rFonts w:ascii="Arial" w:cs="Arial" w:eastAsia="Arial" w:hAnsi="Arial"/>
                <w:sz w:val="18"/>
                <w:szCs w:val="18"/>
                <w:color w:val="auto"/>
              </w:rPr>
              <w:t>US$(000)</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8"/>
              </w:rPr>
              <w:t>US$(000)</w:t>
            </w:r>
          </w:p>
        </w:tc>
        <w:tc>
          <w:tcPr>
            <w:tcW w:w="20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 Citigroup (b)</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162,592</w:t>
            </w:r>
          </w:p>
        </w:tc>
        <w:tc>
          <w:tcPr>
            <w:tcW w:w="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53,116</w:t>
            </w:r>
          </w:p>
        </w:tc>
        <w:tc>
          <w:tcPr>
            <w:tcW w:w="16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Credit linked notes (c)</w:t>
            </w:r>
          </w:p>
        </w:tc>
        <w:tc>
          <w:tcPr>
            <w:tcW w:w="1240" w:type="dxa"/>
            <w:vAlign w:val="bottom"/>
          </w:tcPr>
          <w:p>
            <w:pPr>
              <w:jc w:val="right"/>
              <w:spacing w:after="0"/>
              <w:rPr>
                <w:sz w:val="20"/>
                <w:szCs w:val="20"/>
                <w:color w:val="auto"/>
              </w:rPr>
            </w:pPr>
            <w:r>
              <w:rPr>
                <w:rFonts w:ascii="Arial" w:cs="Arial" w:eastAsia="Arial" w:hAnsi="Arial"/>
                <w:sz w:val="18"/>
                <w:szCs w:val="18"/>
                <w:color w:val="auto"/>
              </w:rPr>
              <w:t>50,561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50,561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213,153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53,116</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50,561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hanging="484"/>
        <w:spacing w:after="0" w:line="259" w:lineRule="auto"/>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July 2006, BCP signed a contract with Citigroup Global Markets Holdings Inc., Citigroup Capital Limited and Citigroup Capital Market Inc., with the purpose of implementing an economic hedge to offset the volatility generated by the liabilities and related expenses that result from the stock appreciation rights (SARs) of Credicorp, note 20. Likewise, in March 2007, the Bank signed an additional contract with similar conditions of the contract signed in July 2006.</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spacing w:after="0" w:line="288" w:lineRule="auto"/>
        <w:rPr>
          <w:sz w:val="20"/>
          <w:szCs w:val="20"/>
          <w:color w:val="auto"/>
        </w:rPr>
      </w:pPr>
      <w:r>
        <w:rPr>
          <w:rFonts w:ascii="Arial" w:cs="Arial" w:eastAsia="Arial" w:hAnsi="Arial"/>
          <w:sz w:val="16"/>
          <w:szCs w:val="16"/>
          <w:color w:val="auto"/>
        </w:rPr>
        <w:t>These transactions consist of the purchase of up to 2,100,000 certificates indexed to the performance of the shares of Credicorp Ltd. (BAP), in the form of “warrants”, issued by Citigroup, which are equivalent to the same number of shares of Credicorp Ltd.. These certificates will be settled in cash only. At maturity, these certificates will pay a US$ amount equal to the final settlement price minus the strike price (US$</w:t>
      </w:r>
    </w:p>
    <w:p>
      <w:pPr>
        <w:ind w:left="1140"/>
        <w:spacing w:after="0" w:line="273" w:lineRule="auto"/>
        <w:rPr>
          <w:sz w:val="20"/>
          <w:szCs w:val="20"/>
          <w:color w:val="auto"/>
        </w:rPr>
      </w:pPr>
      <w:r>
        <w:rPr>
          <w:rFonts w:ascii="Arial" w:cs="Arial" w:eastAsia="Arial" w:hAnsi="Arial"/>
          <w:sz w:val="17"/>
          <w:szCs w:val="17"/>
          <w:color w:val="auto"/>
        </w:rPr>
        <w:t>0.0000001) plus the accrued dividend adjustment amount, minus the annual fee amount multiplied by the number of warrants underlying the certificate. The final settlement price is equivalent to the daily volume-weighted average of the per share price for the underlying equity on each business day, on which the Citigroup or an affiliate of the Citigroup effects any transactions with respect to the underlying equity in order to unwind its position established and maintained to hedge its price and market risk with respect to the certificate issued.</w:t>
      </w:r>
    </w:p>
    <w:p>
      <w:pPr>
        <w:spacing w:after="0" w:line="231" w:lineRule="exact"/>
        <w:rPr>
          <w:sz w:val="20"/>
          <w:szCs w:val="20"/>
          <w:color w:val="auto"/>
        </w:rPr>
      </w:pPr>
    </w:p>
    <w:p>
      <w:pPr>
        <w:ind w:left="1140" w:right="100"/>
        <w:spacing w:after="0" w:line="291" w:lineRule="auto"/>
        <w:rPr>
          <w:sz w:val="20"/>
          <w:szCs w:val="20"/>
          <w:color w:val="auto"/>
        </w:rPr>
      </w:pPr>
      <w:r>
        <w:rPr>
          <w:rFonts w:ascii="Arial" w:cs="Arial" w:eastAsia="Arial" w:hAnsi="Arial"/>
          <w:sz w:val="16"/>
          <w:szCs w:val="16"/>
          <w:color w:val="auto"/>
        </w:rPr>
        <w:t>This program has a maturity of 5 years but can be settled at anytime before its maturity, partially or totally. As of December 31, 2007 and 2006, the Group has acquired 2,097,414 and 1,297,414 certificates, respectively, at a total cost of US$94.9 and US$49.7 million, respectively (US$45.3 and US$38.3 per certificate on average, respectively). As of December 31, 2007 and 2006, the estimate market value amounted to US$162.6 million and US$53.1 million, respectively (US$77.5 and US$41.0 per certificate on average, as of December 31, 2007 and 2006, respectively). The difference between the cost and the estimated market value of approximately US$65.1 and US$3.5 million, respectively, has been recorded in the caption “Net gain on financial assets and liabilities designated at fair value through profit and loss” of the consolidated statements of income, according to the accounting principles described in note 3(x).</w:t>
      </w:r>
    </w:p>
    <w:p>
      <w:pPr>
        <w:spacing w:after="0" w:line="221" w:lineRule="exact"/>
        <w:rPr>
          <w:sz w:val="20"/>
          <w:szCs w:val="20"/>
          <w:color w:val="auto"/>
        </w:rPr>
      </w:pPr>
    </w:p>
    <w:p>
      <w:pPr>
        <w:ind w:left="1140" w:right="180" w:hanging="484"/>
        <w:spacing w:after="0" w:line="259" w:lineRule="auto"/>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During the year 2007, the Group has acquired debt instruments in the form of "Credit linked notes”, which have been issued by the Bear Stearns Global Asset Holdings Ltd. and are linked to debt instruments issued by the Republic of Peru or any successor of this (credit default swap); these instruments have been acquired for the purpose of providing financial instruments with the same terms, risk and benefits to certain clients.</w:t>
      </w:r>
    </w:p>
    <w:p>
      <w:pPr>
        <w:spacing w:after="0" w:line="240" w:lineRule="exact"/>
        <w:rPr>
          <w:rFonts w:ascii="Arial" w:cs="Arial" w:eastAsia="Arial" w:hAnsi="Arial"/>
          <w:sz w:val="18"/>
          <w:szCs w:val="18"/>
          <w:color w:val="auto"/>
        </w:rPr>
      </w:pPr>
    </w:p>
    <w:p>
      <w:pPr>
        <w:ind w:left="1140" w:right="80"/>
        <w:spacing w:after="0" w:line="255" w:lineRule="auto"/>
        <w:rPr>
          <w:rFonts w:ascii="Arial" w:cs="Arial" w:eastAsia="Arial" w:hAnsi="Arial"/>
          <w:sz w:val="18"/>
          <w:szCs w:val="18"/>
          <w:color w:val="auto"/>
        </w:rPr>
      </w:pPr>
      <w:r>
        <w:rPr>
          <w:rFonts w:ascii="Arial" w:cs="Arial" w:eastAsia="Arial" w:hAnsi="Arial"/>
          <w:sz w:val="18"/>
          <w:szCs w:val="18"/>
          <w:color w:val="auto"/>
        </w:rPr>
        <w:t>As of December 31, 2007, the Group has purchased and, at the same time, has received deposits from its clients with the same terms of these instruments (“Credit linked deposits”) for an amount of approximately US$50.3 million, issued both in Peruvian Currency and U.S. Dollars. These instruments have a maturity of 5 years from their issuance date and earn interests on Peruvian Currency at rates between 6.95 and 7.20 percent and in U.S. Dollars between 5.50 and 6.38 percent. The estimated market value of these instruments is US$50.6. The difference between the cost and the estimated market value of the assets and liabilities has been recorded in the caption "Net gain on financial assets and liabilities designated at fair value through profit and loss" of the consolidated income statement, according with the accounting principles described in note 3(x).</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490"/>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This caption is made up as follows: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Premiums and other policies receivable (b)</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85,495</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 (c)</w:t>
            </w:r>
          </w:p>
        </w:tc>
        <w:tc>
          <w:tcPr>
            <w:tcW w:w="2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116,141</w:t>
            </w:r>
          </w:p>
        </w:tc>
        <w:tc>
          <w:tcPr>
            <w:tcW w:w="20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201,636</w:t>
            </w:r>
          </w:p>
        </w:tc>
        <w:tc>
          <w:tcPr>
            <w:tcW w:w="20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96,460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payable to re-insurers and co-insurers (c)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21,914</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hanging="484"/>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premiums and other polices receivable correspond to:</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Property and casualty insurance</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73,524</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Life insurance</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4,857</w:t>
            </w:r>
          </w:p>
        </w:tc>
        <w:tc>
          <w:tcPr>
            <w:tcW w:w="124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20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7,114</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85,495</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These accounts receivable are primarily due in a current period and there have been no guarantees provided for them.</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2" w:right="1440"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aging detail of the accounts receivable is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2006</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40" w:type="dxa"/>
            <w:vAlign w:val="bottom"/>
            <w:gridSpan w:val="3"/>
          </w:tcPr>
          <w:p>
            <w:pPr>
              <w:jc w:val="right"/>
              <w:ind w:right="760"/>
              <w:spacing w:after="0"/>
              <w:rPr>
                <w:sz w:val="20"/>
                <w:szCs w:val="20"/>
                <w:color w:val="auto"/>
              </w:rPr>
            </w:pPr>
            <w:r>
              <w:rPr>
                <w:rFonts w:ascii="Arial" w:cs="Arial" w:eastAsia="Arial" w:hAnsi="Arial"/>
                <w:sz w:val="18"/>
                <w:szCs w:val="18"/>
                <w:color w:val="auto"/>
              </w:rPr>
              <w:t>US$(000)</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40" w:type="dxa"/>
            <w:vAlign w:val="bottom"/>
            <w:gridSpan w:val="3"/>
          </w:tcPr>
          <w:p>
            <w:pPr>
              <w:jc w:val="right"/>
              <w:ind w:right="780"/>
              <w:spacing w:after="0"/>
              <w:rPr>
                <w:sz w:val="20"/>
                <w:szCs w:val="20"/>
                <w:color w:val="auto"/>
              </w:rPr>
            </w:pPr>
            <w:r>
              <w:rPr>
                <w:rFonts w:ascii="Arial" w:cs="Arial" w:eastAsia="Arial" w:hAnsi="Arial"/>
                <w:sz w:val="18"/>
                <w:szCs w:val="18"/>
                <w:color w:val="auto"/>
              </w:rPr>
              <w:t>US$(000)</w:t>
            </w:r>
          </w:p>
        </w:tc>
        <w:tc>
          <w:tcPr>
            <w:tcW w:w="9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past due accounts receivable</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71,830</w:t>
            </w:r>
          </w:p>
        </w:tc>
        <w:tc>
          <w:tcPr>
            <w:tcW w:w="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50,521</w:t>
            </w: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Past due accounts receivable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Up to 30 days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6,793</w:t>
            </w:r>
          </w:p>
        </w:tc>
        <w:tc>
          <w:tcPr>
            <w:tcW w:w="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7,117</w:t>
            </w: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From 31 to 60 days</w:t>
            </w:r>
          </w:p>
        </w:tc>
        <w:tc>
          <w:tcPr>
            <w:tcW w:w="1240" w:type="dxa"/>
            <w:vAlign w:val="bottom"/>
          </w:tcPr>
          <w:p>
            <w:pPr>
              <w:jc w:val="right"/>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1,379</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From 61 to 90 days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1,748</w:t>
            </w:r>
          </w:p>
        </w:tc>
        <w:tc>
          <w:tcPr>
            <w:tcW w:w="1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More than 90 days</w:t>
            </w:r>
          </w:p>
        </w:tc>
        <w:tc>
          <w:tcPr>
            <w:tcW w:w="1240" w:type="dxa"/>
            <w:vAlign w:val="bottom"/>
          </w:tcPr>
          <w:p>
            <w:pPr>
              <w:jc w:val="right"/>
              <w:spacing w:after="0"/>
              <w:rPr>
                <w:sz w:val="20"/>
                <w:szCs w:val="20"/>
                <w:color w:val="auto"/>
              </w:rPr>
            </w:pPr>
            <w:r>
              <w:rPr>
                <w:rFonts w:ascii="Arial" w:cs="Arial" w:eastAsia="Arial" w:hAnsi="Arial"/>
                <w:sz w:val="18"/>
                <w:szCs w:val="18"/>
                <w:color w:val="auto"/>
              </w:rPr>
              <w:t>3,108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85,495</w:t>
            </w:r>
          </w:p>
        </w:tc>
        <w:tc>
          <w:tcPr>
            <w:tcW w:w="18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auto"/>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61,279</w:t>
            </w:r>
          </w:p>
        </w:tc>
        <w:tc>
          <w:tcPr>
            <w:tcW w:w="18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auto"/>
            </w:tcBorders>
            <w:shd w:val="clear" w:color="auto" w:fill="CCFFCC"/>
          </w:tcPr>
          <w:p>
            <w:pPr>
              <w:spacing w:after="0"/>
              <w:rPr>
                <w:sz w:val="21"/>
                <w:szCs w:val="21"/>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right="2420" w:hanging="484"/>
        <w:spacing w:after="0" w:line="561" w:lineRule="auto"/>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movement and balance of accounts receivable and payable to reinsurers and coinsurers are as follows: Accounts receivable:</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20" w:type="dxa"/>
            <w:vAlign w:val="bottom"/>
            <w:shd w:val="clear" w:color="auto" w:fill="CCFFCC"/>
          </w:tcPr>
          <w:p>
            <w:pPr>
              <w:jc w:val="center"/>
              <w:ind w:left="650"/>
              <w:spacing w:after="0"/>
              <w:rPr>
                <w:sz w:val="20"/>
                <w:szCs w:val="20"/>
                <w:color w:val="auto"/>
              </w:rPr>
            </w:pPr>
            <w:r>
              <w:rPr>
                <w:rFonts w:ascii="Arial" w:cs="Arial" w:eastAsia="Arial" w:hAnsi="Arial"/>
                <w:sz w:val="18"/>
                <w:szCs w:val="18"/>
                <w:color w:val="auto"/>
                <w:w w:val="87"/>
              </w:rPr>
              <w:t>35,181</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Reported claims of premiums ceded</w:t>
            </w:r>
          </w:p>
        </w:tc>
        <w:tc>
          <w:tcPr>
            <w:tcW w:w="1220" w:type="dxa"/>
            <w:vAlign w:val="bottom"/>
          </w:tcPr>
          <w:p>
            <w:pPr>
              <w:jc w:val="center"/>
              <w:ind w:left="650"/>
              <w:spacing w:after="0"/>
              <w:rPr>
                <w:sz w:val="20"/>
                <w:szCs w:val="20"/>
                <w:color w:val="auto"/>
              </w:rPr>
            </w:pPr>
            <w:r>
              <w:rPr>
                <w:rFonts w:ascii="Arial" w:cs="Arial" w:eastAsia="Arial" w:hAnsi="Arial"/>
                <w:sz w:val="18"/>
                <w:szCs w:val="18"/>
                <w:color w:val="auto"/>
                <w:w w:val="87"/>
              </w:rPr>
              <w:t>86,458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w:t>
            </w:r>
          </w:p>
        </w:tc>
        <w:tc>
          <w:tcPr>
            <w:tcW w:w="1420" w:type="dxa"/>
            <w:vAlign w:val="bottom"/>
            <w:gridSpan w:val="2"/>
            <w:shd w:val="clear" w:color="auto" w:fill="CCFFCC"/>
          </w:tcPr>
          <w:p>
            <w:pPr>
              <w:jc w:val="center"/>
              <w:ind w:left="450"/>
              <w:spacing w:after="0"/>
              <w:rPr>
                <w:sz w:val="20"/>
                <w:szCs w:val="20"/>
                <w:color w:val="auto"/>
              </w:rPr>
            </w:pPr>
            <w:r>
              <w:rPr>
                <w:rFonts w:ascii="Arial" w:cs="Arial" w:eastAsia="Arial" w:hAnsi="Arial"/>
                <w:sz w:val="18"/>
                <w:szCs w:val="18"/>
                <w:color w:val="auto"/>
                <w:w w:val="89"/>
              </w:rPr>
              <w:t>(14,538)</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Premiums assumed</w:t>
            </w:r>
          </w:p>
        </w:tc>
        <w:tc>
          <w:tcPr>
            <w:tcW w:w="1220" w:type="dxa"/>
            <w:vAlign w:val="bottom"/>
          </w:tcPr>
          <w:p>
            <w:pPr>
              <w:jc w:val="center"/>
              <w:ind w:left="650"/>
              <w:spacing w:after="0"/>
              <w:rPr>
                <w:sz w:val="20"/>
                <w:szCs w:val="20"/>
                <w:color w:val="auto"/>
              </w:rPr>
            </w:pPr>
            <w:r>
              <w:rPr>
                <w:rFonts w:ascii="Arial" w:cs="Arial" w:eastAsia="Arial" w:hAnsi="Arial"/>
                <w:sz w:val="18"/>
                <w:szCs w:val="18"/>
                <w:color w:val="auto"/>
                <w:w w:val="87"/>
              </w:rPr>
              <w:t>15,811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w:t>
            </w:r>
          </w:p>
        </w:tc>
        <w:tc>
          <w:tcPr>
            <w:tcW w:w="1220" w:type="dxa"/>
            <w:vAlign w:val="bottom"/>
            <w:shd w:val="clear" w:color="auto" w:fill="CCFFCC"/>
          </w:tcPr>
          <w:p>
            <w:pPr>
              <w:jc w:val="center"/>
              <w:ind w:left="650"/>
              <w:spacing w:after="0"/>
              <w:rPr>
                <w:sz w:val="20"/>
                <w:szCs w:val="20"/>
                <w:color w:val="auto"/>
              </w:rPr>
            </w:pPr>
            <w:r>
              <w:rPr>
                <w:rFonts w:ascii="Arial" w:cs="Arial" w:eastAsia="Arial" w:hAnsi="Arial"/>
                <w:sz w:val="18"/>
                <w:szCs w:val="18"/>
                <w:color w:val="auto"/>
                <w:w w:val="87"/>
              </w:rPr>
              <w:t>14,213</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Collections and other</w:t>
            </w:r>
          </w:p>
        </w:tc>
        <w:tc>
          <w:tcPr>
            <w:tcW w:w="142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(20,984)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(16,161)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220" w:type="dxa"/>
            <w:vAlign w:val="bottom"/>
          </w:tcPr>
          <w:p>
            <w:pPr>
              <w:jc w:val="right"/>
              <w:spacing w:after="0"/>
              <w:rPr>
                <w:sz w:val="20"/>
                <w:szCs w:val="20"/>
                <w:color w:val="auto"/>
              </w:rPr>
            </w:pPr>
            <w:r>
              <w:rPr>
                <w:rFonts w:ascii="Arial" w:cs="Arial" w:eastAsia="Arial" w:hAnsi="Arial"/>
                <w:sz w:val="18"/>
                <w:szCs w:val="18"/>
                <w:color w:val="auto"/>
              </w:rPr>
              <w:t>116,141</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The accounts receivable as of December 31, 2007 include an amount to US$30.9 million (US$14.4 million as of December 31, 2006) which correspond to the unearned portion of the ceded premiums to the reinsurers.</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61" w:right="41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25,134</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Premiums ceded to reinsurers</w:t>
            </w:r>
          </w:p>
        </w:tc>
        <w:tc>
          <w:tcPr>
            <w:tcW w:w="1220" w:type="dxa"/>
            <w:vAlign w:val="bottom"/>
          </w:tcPr>
          <w:p>
            <w:pPr>
              <w:jc w:val="right"/>
              <w:spacing w:after="0"/>
              <w:rPr>
                <w:sz w:val="20"/>
                <w:szCs w:val="20"/>
                <w:color w:val="auto"/>
              </w:rPr>
            </w:pPr>
            <w:r>
              <w:rPr>
                <w:rFonts w:ascii="Arial" w:cs="Arial" w:eastAsia="Arial" w:hAnsi="Arial"/>
                <w:sz w:val="18"/>
                <w:szCs w:val="18"/>
                <w:color w:val="auto"/>
              </w:rPr>
              <w:t>53,180</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8,153</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Payments and other</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(64,553)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(87,943)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220" w:type="dxa"/>
            <w:vAlign w:val="bottom"/>
          </w:tcPr>
          <w:p>
            <w:pPr>
              <w:jc w:val="right"/>
              <w:spacing w:after="0"/>
              <w:rPr>
                <w:sz w:val="20"/>
                <w:szCs w:val="20"/>
                <w:color w:val="auto"/>
              </w:rPr>
            </w:pPr>
            <w:r>
              <w:rPr>
                <w:rFonts w:ascii="Arial" w:cs="Arial" w:eastAsia="Arial" w:hAnsi="Arial"/>
                <w:sz w:val="18"/>
                <w:szCs w:val="18"/>
                <w:color w:val="auto"/>
              </w:rPr>
              <w:t>21,914</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The accounts payable to reinsurers are primarily related to automatic non-proportional contracts (excess of loss) and the proportional facultative contracts for ceded premiums. For the facultative contracts, the Company transfers to the reinsurers a percentage or amount of an insurance contract or individual risk, based on the premium and the coverage period.</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61" w:right="41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490"/>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7" w:lineRule="exact"/>
        <w:rPr>
          <w:rFonts w:ascii="Arial" w:cs="Arial" w:eastAsia="Arial" w:hAnsi="Arial"/>
          <w:sz w:val="18"/>
          <w:szCs w:val="18"/>
          <w:b w:val="1"/>
          <w:bCs w:val="1"/>
          <w:color w:val="auto"/>
        </w:rPr>
      </w:pPr>
    </w:p>
    <w:p>
      <w:pPr>
        <w:ind w:left="1140" w:hanging="484"/>
        <w:spacing w:after="0" w:line="261" w:lineRule="auto"/>
        <w:tabs>
          <w:tab w:leader="none" w:pos="11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2007 and 2006, is as follows: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Buildings and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Vehicles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other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Furniture</w:t>
            </w: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Computer</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and</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Work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Land</w:t>
            </w: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construction</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9"/>
              </w:rPr>
              <w:t>Installations</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and fixtures</w:t>
            </w: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hardware</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equipment</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in progress</w:t>
            </w:r>
          </w:p>
        </w:tc>
        <w:tc>
          <w:tcPr>
            <w:tcW w:w="720" w:type="dxa"/>
            <w:vAlign w:val="bottom"/>
          </w:tcPr>
          <w:p>
            <w:pPr>
              <w:jc w:val="right"/>
              <w:ind w:right="187"/>
              <w:spacing w:after="0"/>
              <w:rPr>
                <w:sz w:val="20"/>
                <w:szCs w:val="20"/>
                <w:color w:val="auto"/>
              </w:rPr>
            </w:pPr>
            <w:r>
              <w:rPr>
                <w:rFonts w:ascii="Arial" w:cs="Arial" w:eastAsia="Arial" w:hAnsi="Arial"/>
                <w:sz w:val="11"/>
                <w:szCs w:val="11"/>
                <w:b w:val="1"/>
                <w:bCs w:val="1"/>
                <w:color w:val="auto"/>
              </w:rPr>
              <w:t>2007</w:t>
            </w:r>
          </w:p>
        </w:tc>
        <w:tc>
          <w:tcPr>
            <w:tcW w:w="100" w:type="dxa"/>
            <w:vAlign w:val="bottom"/>
          </w:tcPr>
          <w:p>
            <w:pPr>
              <w:spacing w:after="0"/>
              <w:rPr>
                <w:sz w:val="12"/>
                <w:szCs w:val="12"/>
                <w:color w:val="auto"/>
              </w:rPr>
            </w:pPr>
          </w:p>
        </w:tc>
        <w:tc>
          <w:tcPr>
            <w:tcW w:w="760" w:type="dxa"/>
            <w:vAlign w:val="bottom"/>
          </w:tcPr>
          <w:p>
            <w:pPr>
              <w:jc w:val="right"/>
              <w:ind w:right="227"/>
              <w:spacing w:after="0"/>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Cost -</w:t>
            </w: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FFCC"/>
          </w:tcPr>
          <w:p>
            <w:pPr>
              <w:spacing w:after="0" w:line="149" w:lineRule="exact"/>
              <w:rPr>
                <w:sz w:val="20"/>
                <w:szCs w:val="20"/>
                <w:color w:val="auto"/>
              </w:rPr>
            </w:pPr>
            <w:r>
              <w:rPr>
                <w:rFonts w:ascii="Arial" w:cs="Arial" w:eastAsia="Arial" w:hAnsi="Arial"/>
                <w:sz w:val="11"/>
                <w:szCs w:val="11"/>
                <w:b w:val="1"/>
                <w:bCs w:val="1"/>
                <w:color w:val="auto"/>
                <w:w w:val="88"/>
              </w:rPr>
              <w:t>Balance as of January 1</w:t>
            </w:r>
            <w:r>
              <w:rPr>
                <w:rFonts w:ascii="Arial" w:cs="Arial" w:eastAsia="Arial" w:hAnsi="Arial"/>
                <w:sz w:val="17"/>
                <w:szCs w:val="17"/>
                <w:b w:val="1"/>
                <w:bCs w:val="1"/>
                <w:color w:val="auto"/>
                <w:w w:val="88"/>
                <w:vertAlign w:val="superscript"/>
              </w:rPr>
              <w:t>st</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30,782</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250,817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88,701</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69,065</w:t>
            </w:r>
          </w:p>
        </w:tc>
        <w:tc>
          <w:tcPr>
            <w:tcW w:w="8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185,473</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17,123</w:t>
            </w:r>
          </w:p>
        </w:tc>
        <w:tc>
          <w:tcPr>
            <w:tcW w:w="8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17,373</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659,334</w:t>
            </w: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626,320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20"/>
                <w:szCs w:val="20"/>
                <w:color w:val="auto"/>
              </w:rPr>
            </w:pPr>
            <w:r>
              <w:rPr>
                <w:rFonts w:ascii="Arial" w:cs="Arial" w:eastAsia="Arial" w:hAnsi="Arial"/>
                <w:sz w:val="11"/>
                <w:szCs w:val="11"/>
                <w:color w:val="auto"/>
              </w:rPr>
              <w:t>Additions</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5,015</w:t>
            </w:r>
          </w:p>
        </w:tc>
        <w:tc>
          <w:tcPr>
            <w:tcW w:w="940" w:type="dxa"/>
            <w:vAlign w:val="bottom"/>
            <w:gridSpan w:val="3"/>
          </w:tcPr>
          <w:p>
            <w:pPr>
              <w:jc w:val="right"/>
              <w:ind w:right="80"/>
              <w:spacing w:after="0"/>
              <w:rPr>
                <w:sz w:val="20"/>
                <w:szCs w:val="20"/>
                <w:color w:val="auto"/>
              </w:rPr>
            </w:pPr>
            <w:r>
              <w:rPr>
                <w:rFonts w:ascii="Arial" w:cs="Arial" w:eastAsia="Arial" w:hAnsi="Arial"/>
                <w:sz w:val="11"/>
                <w:szCs w:val="11"/>
                <w:color w:val="auto"/>
              </w:rPr>
              <w:t>585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7,878</w:t>
            </w:r>
          </w:p>
        </w:tc>
        <w:tc>
          <w:tcPr>
            <w:tcW w:w="720" w:type="dxa"/>
            <w:vAlign w:val="bottom"/>
          </w:tcPr>
          <w:p>
            <w:pPr>
              <w:jc w:val="right"/>
              <w:spacing w:after="0"/>
              <w:rPr>
                <w:sz w:val="20"/>
                <w:szCs w:val="20"/>
                <w:color w:val="auto"/>
              </w:rPr>
            </w:pPr>
            <w:r>
              <w:rPr>
                <w:rFonts w:ascii="Arial" w:cs="Arial" w:eastAsia="Arial" w:hAnsi="Arial"/>
                <w:sz w:val="11"/>
                <w:szCs w:val="11"/>
                <w:color w:val="auto"/>
              </w:rPr>
              <w:t>3,922</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13,920</w:t>
            </w:r>
          </w:p>
        </w:tc>
        <w:tc>
          <w:tcPr>
            <w:tcW w:w="720" w:type="dxa"/>
            <w:vAlign w:val="bottom"/>
          </w:tcPr>
          <w:p>
            <w:pPr>
              <w:jc w:val="right"/>
              <w:spacing w:after="0"/>
              <w:rPr>
                <w:sz w:val="20"/>
                <w:szCs w:val="20"/>
                <w:color w:val="auto"/>
              </w:rPr>
            </w:pPr>
            <w:r>
              <w:rPr>
                <w:rFonts w:ascii="Arial" w:cs="Arial" w:eastAsia="Arial" w:hAnsi="Arial"/>
                <w:sz w:val="11"/>
                <w:szCs w:val="11"/>
                <w:color w:val="auto"/>
              </w:rPr>
              <w:t>3,847</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18,734</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53,901</w:t>
            </w:r>
          </w:p>
        </w:tc>
        <w:tc>
          <w:tcPr>
            <w:tcW w:w="760" w:type="dxa"/>
            <w:vAlign w:val="bottom"/>
          </w:tcPr>
          <w:p>
            <w:pPr>
              <w:jc w:val="right"/>
              <w:spacing w:after="0"/>
              <w:rPr>
                <w:sz w:val="20"/>
                <w:szCs w:val="20"/>
                <w:color w:val="auto"/>
              </w:rPr>
            </w:pPr>
            <w:r>
              <w:rPr>
                <w:rFonts w:ascii="Arial" w:cs="Arial" w:eastAsia="Arial" w:hAnsi="Arial"/>
                <w:sz w:val="11"/>
                <w:szCs w:val="11"/>
                <w:color w:val="auto"/>
              </w:rPr>
              <w:t>43,973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color w:val="auto"/>
                <w:w w:val="90"/>
              </w:rPr>
              <w:t>Merger additions, note 2(a)</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5,796</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1"/>
                <w:szCs w:val="11"/>
                <w:color w:val="auto"/>
              </w:rPr>
              <w:t>Sales and transfers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1,492</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11,839</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3,045</w:t>
            </w:r>
          </w:p>
        </w:tc>
        <w:tc>
          <w:tcPr>
            <w:tcW w:w="720" w:type="dxa"/>
            <w:vAlign w:val="bottom"/>
          </w:tcPr>
          <w:p>
            <w:pPr>
              <w:jc w:val="right"/>
              <w:spacing w:after="0"/>
              <w:rPr>
                <w:sz w:val="20"/>
                <w:szCs w:val="20"/>
                <w:color w:val="auto"/>
              </w:rPr>
            </w:pPr>
            <w:r>
              <w:rPr>
                <w:rFonts w:ascii="Arial" w:cs="Arial" w:eastAsia="Arial" w:hAnsi="Arial"/>
                <w:sz w:val="11"/>
                <w:szCs w:val="11"/>
                <w:color w:val="auto"/>
              </w:rPr>
              <w:t>550</w:t>
            </w:r>
          </w:p>
        </w:tc>
        <w:tc>
          <w:tcPr>
            <w:tcW w:w="80" w:type="dxa"/>
            <w:vAlign w:val="bottom"/>
          </w:tcPr>
          <w:p>
            <w:pPr>
              <w:spacing w:after="0"/>
              <w:rPr>
                <w:sz w:val="14"/>
                <w:szCs w:val="14"/>
                <w:color w:val="auto"/>
              </w:rPr>
            </w:pP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(2,261</w:t>
            </w:r>
            <w:r>
              <w:rPr>
                <w:rFonts w:ascii="Arial" w:cs="Arial" w:eastAsia="Arial" w:hAnsi="Arial"/>
                <w:sz w:val="18"/>
                <w:szCs w:val="18"/>
                <w:color w:val="auto"/>
                <w:vertAlign w:val="superscript"/>
              </w:rPr>
              <w:t>)</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(333</w:t>
            </w:r>
            <w:r>
              <w:rPr>
                <w:rFonts w:ascii="Arial" w:cs="Arial" w:eastAsia="Arial" w:hAnsi="Arial"/>
                <w:sz w:val="18"/>
                <w:szCs w:val="18"/>
                <w:color w:val="auto"/>
                <w:vertAlign w:val="superscript"/>
              </w:rPr>
              <w:t>)</w:t>
            </w: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(19,084</w:t>
            </w:r>
            <w:r>
              <w:rPr>
                <w:rFonts w:ascii="Arial" w:cs="Arial" w:eastAsia="Arial" w:hAnsi="Arial"/>
                <w:sz w:val="18"/>
                <w:szCs w:val="18"/>
                <w:color w:val="auto"/>
                <w:vertAlign w:val="superscript"/>
              </w:rPr>
              <w:t>)</w:t>
            </w: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(4,752</w:t>
            </w:r>
            <w:r>
              <w:rPr>
                <w:rFonts w:ascii="Arial" w:cs="Arial" w:eastAsia="Arial" w:hAnsi="Arial"/>
                <w:sz w:val="18"/>
                <w:szCs w:val="18"/>
                <w:color w:val="auto"/>
                <w:vertAlign w:val="superscript"/>
              </w:rPr>
              <w:t>)</w:t>
            </w:r>
          </w:p>
        </w:tc>
        <w:tc>
          <w:tcPr>
            <w:tcW w:w="86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(16,755</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1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1"/>
                <w:szCs w:val="11"/>
                <w:b w:val="1"/>
                <w:bCs w:val="1"/>
                <w:color w:val="auto"/>
                <w:w w:val="84"/>
              </w:rPr>
              <w:t>Balance as of December 31</w:t>
            </w:r>
          </w:p>
        </w:tc>
        <w:tc>
          <w:tcPr>
            <w:tcW w:w="100" w:type="dxa"/>
            <w:vAlign w:val="bottom"/>
            <w:tcBorders>
              <w:bottom w:val="single" w:sz="8" w:color="CCFFCC"/>
            </w:tcBorders>
            <w:shd w:val="clear" w:color="auto" w:fill="CCFFCC"/>
          </w:tcPr>
          <w:p>
            <w:pPr>
              <w:spacing w:after="0"/>
              <w:rPr>
                <w:sz w:val="13"/>
                <w:szCs w:val="13"/>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37,289</w:t>
            </w:r>
          </w:p>
        </w:tc>
        <w:tc>
          <w:tcPr>
            <w:tcW w:w="100" w:type="dxa"/>
            <w:vAlign w:val="bottom"/>
            <w:tcBorders>
              <w:bottom w:val="single" w:sz="8" w:color="CCFFCC"/>
            </w:tcBorders>
            <w:shd w:val="clear" w:color="auto" w:fill="CCFFCC"/>
          </w:tcPr>
          <w:p>
            <w:pPr>
              <w:spacing w:after="0"/>
              <w:rPr>
                <w:sz w:val="13"/>
                <w:szCs w:val="13"/>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263,241</w:t>
            </w:r>
          </w:p>
        </w:tc>
        <w:tc>
          <w:tcPr>
            <w:tcW w:w="8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99,624</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73,537</w:t>
            </w:r>
          </w:p>
        </w:tc>
        <w:tc>
          <w:tcPr>
            <w:tcW w:w="8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197,132</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20,637</w:t>
            </w:r>
          </w:p>
        </w:tc>
        <w:tc>
          <w:tcPr>
            <w:tcW w:w="8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17,023</w:t>
            </w: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708,483</w:t>
            </w: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659,334</w:t>
            </w:r>
          </w:p>
        </w:tc>
        <w:tc>
          <w:tcPr>
            <w:tcW w:w="10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w w:val="87"/>
              </w:rPr>
              <w:t>Accumulated depreciation</w:t>
            </w:r>
          </w:p>
        </w:tc>
        <w:tc>
          <w:tcPr>
            <w:tcW w:w="1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shd w:val="clear" w:color="auto" w:fill="CCFFCC"/>
          </w:tcPr>
          <w:p>
            <w:pPr>
              <w:spacing w:after="0" w:line="157" w:lineRule="exact"/>
              <w:rPr>
                <w:sz w:val="20"/>
                <w:szCs w:val="20"/>
                <w:color w:val="auto"/>
              </w:rPr>
            </w:pPr>
            <w:r>
              <w:rPr>
                <w:rFonts w:ascii="Arial" w:cs="Arial" w:eastAsia="Arial" w:hAnsi="Arial"/>
                <w:sz w:val="11"/>
                <w:szCs w:val="11"/>
                <w:b w:val="1"/>
                <w:bCs w:val="1"/>
                <w:color w:val="auto"/>
                <w:w w:val="88"/>
              </w:rPr>
              <w:t>Balance as of January 1</w:t>
            </w:r>
            <w:r>
              <w:rPr>
                <w:rFonts w:ascii="Arial" w:cs="Arial" w:eastAsia="Arial" w:hAnsi="Arial"/>
                <w:sz w:val="17"/>
                <w:szCs w:val="17"/>
                <w:b w:val="1"/>
                <w:bCs w:val="1"/>
                <w:color w:val="auto"/>
                <w:w w:val="88"/>
                <w:vertAlign w:val="superscript"/>
              </w:rPr>
              <w:t>st</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133,798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57,008</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55,471</w:t>
            </w:r>
          </w:p>
        </w:tc>
        <w:tc>
          <w:tcPr>
            <w:tcW w:w="80" w:type="dxa"/>
            <w:vAlign w:val="bottom"/>
            <w:shd w:val="clear" w:color="auto" w:fill="CCFFCC"/>
          </w:tcPr>
          <w:p>
            <w:pPr>
              <w:spacing w:after="0"/>
              <w:rPr>
                <w:sz w:val="13"/>
                <w:szCs w:val="13"/>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151,457</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6,122</w:t>
            </w:r>
          </w:p>
        </w:tc>
        <w:tc>
          <w:tcPr>
            <w:tcW w:w="80" w:type="dxa"/>
            <w:vAlign w:val="bottom"/>
            <w:shd w:val="clear" w:color="auto" w:fill="CCFFCC"/>
          </w:tcPr>
          <w:p>
            <w:pPr>
              <w:spacing w:after="0"/>
              <w:rPr>
                <w:sz w:val="13"/>
                <w:szCs w:val="13"/>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403,856</w:t>
            </w: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378,021</w:t>
            </w: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20"/>
                <w:szCs w:val="20"/>
                <w:color w:val="auto"/>
              </w:rPr>
            </w:pPr>
            <w:r>
              <w:rPr>
                <w:rFonts w:ascii="Arial" w:cs="Arial" w:eastAsia="Arial" w:hAnsi="Arial"/>
                <w:sz w:val="11"/>
                <w:szCs w:val="11"/>
                <w:color w:val="auto"/>
              </w:rPr>
              <w:t>Additions</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1"/>
                <w:szCs w:val="11"/>
                <w:color w:val="auto"/>
              </w:rPr>
              <w:t>6,823</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7,192</w:t>
            </w:r>
          </w:p>
        </w:tc>
        <w:tc>
          <w:tcPr>
            <w:tcW w:w="720" w:type="dxa"/>
            <w:vAlign w:val="bottom"/>
          </w:tcPr>
          <w:p>
            <w:pPr>
              <w:jc w:val="right"/>
              <w:spacing w:after="0"/>
              <w:rPr>
                <w:sz w:val="20"/>
                <w:szCs w:val="20"/>
                <w:color w:val="auto"/>
              </w:rPr>
            </w:pPr>
            <w:r>
              <w:rPr>
                <w:rFonts w:ascii="Arial" w:cs="Arial" w:eastAsia="Arial" w:hAnsi="Arial"/>
                <w:sz w:val="11"/>
                <w:szCs w:val="11"/>
                <w:color w:val="auto"/>
              </w:rPr>
              <w:t>3,380</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14,299</w:t>
            </w:r>
          </w:p>
        </w:tc>
        <w:tc>
          <w:tcPr>
            <w:tcW w:w="720" w:type="dxa"/>
            <w:vAlign w:val="bottom"/>
          </w:tcPr>
          <w:p>
            <w:pPr>
              <w:jc w:val="right"/>
              <w:spacing w:after="0"/>
              <w:rPr>
                <w:sz w:val="20"/>
                <w:szCs w:val="20"/>
                <w:color w:val="auto"/>
              </w:rPr>
            </w:pPr>
            <w:r>
              <w:rPr>
                <w:rFonts w:ascii="Arial" w:cs="Arial" w:eastAsia="Arial" w:hAnsi="Arial"/>
                <w:sz w:val="11"/>
                <w:szCs w:val="11"/>
                <w:color w:val="auto"/>
              </w:rPr>
              <w:t>1,841</w:t>
            </w: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33,535</w:t>
            </w:r>
          </w:p>
        </w:tc>
        <w:tc>
          <w:tcPr>
            <w:tcW w:w="760" w:type="dxa"/>
            <w:vAlign w:val="bottom"/>
          </w:tcPr>
          <w:p>
            <w:pPr>
              <w:jc w:val="right"/>
              <w:spacing w:after="0"/>
              <w:rPr>
                <w:sz w:val="20"/>
                <w:szCs w:val="20"/>
                <w:color w:val="auto"/>
              </w:rPr>
            </w:pPr>
            <w:r>
              <w:rPr>
                <w:rFonts w:ascii="Arial" w:cs="Arial" w:eastAsia="Arial" w:hAnsi="Arial"/>
                <w:sz w:val="11"/>
                <w:szCs w:val="11"/>
                <w:color w:val="auto"/>
              </w:rPr>
              <w:t>31,477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color w:val="auto"/>
                <w:w w:val="90"/>
              </w:rPr>
              <w:t>Merger additions, note 2(a)</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3,736</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1"/>
                <w:szCs w:val="11"/>
                <w:color w:val="auto"/>
              </w:rPr>
              <w:t>Sales and transfers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(575</w:t>
            </w:r>
            <w:r>
              <w:rPr>
                <w:rFonts w:ascii="Arial" w:cs="Arial" w:eastAsia="Arial" w:hAnsi="Arial"/>
                <w:sz w:val="18"/>
                <w:szCs w:val="18"/>
                <w:color w:val="auto"/>
                <w:vertAlign w:val="superscript"/>
              </w:rPr>
              <w:t>)</w:t>
            </w: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(387</w:t>
            </w:r>
            <w:r>
              <w:rPr>
                <w:rFonts w:ascii="Arial" w:cs="Arial" w:eastAsia="Arial" w:hAnsi="Arial"/>
                <w:sz w:val="18"/>
                <w:szCs w:val="18"/>
                <w:color w:val="auto"/>
                <w:vertAlign w:val="superscript"/>
              </w:rPr>
              <w:t>)</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(422</w:t>
            </w:r>
            <w:r>
              <w:rPr>
                <w:rFonts w:ascii="Arial" w:cs="Arial" w:eastAsia="Arial" w:hAnsi="Arial"/>
                <w:sz w:val="18"/>
                <w:szCs w:val="18"/>
                <w:color w:val="auto"/>
                <w:vertAlign w:val="superscript"/>
              </w:rPr>
              <w:t>)</w:t>
            </w: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(2,175</w:t>
            </w:r>
            <w:r>
              <w:rPr>
                <w:rFonts w:ascii="Arial" w:cs="Arial" w:eastAsia="Arial" w:hAnsi="Arial"/>
                <w:sz w:val="18"/>
                <w:szCs w:val="18"/>
                <w:color w:val="auto"/>
                <w:vertAlign w:val="superscript"/>
              </w:rPr>
              <w:t>)</w:t>
            </w: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(284</w:t>
            </w:r>
            <w:r>
              <w:rPr>
                <w:rFonts w:ascii="Arial" w:cs="Arial" w:eastAsia="Arial" w:hAnsi="Arial"/>
                <w:sz w:val="18"/>
                <w:szCs w:val="18"/>
                <w:color w:val="auto"/>
                <w:vertAlign w:val="superscript"/>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(3,843</w:t>
            </w:r>
            <w:r>
              <w:rPr>
                <w:rFonts w:ascii="Arial" w:cs="Arial" w:eastAsia="Arial" w:hAnsi="Arial"/>
                <w:sz w:val="18"/>
                <w:szCs w:val="18"/>
                <w:color w:val="auto"/>
                <w:vertAlign w:val="superscript"/>
              </w:rPr>
              <w:t>)</w:t>
            </w:r>
          </w:p>
        </w:tc>
        <w:tc>
          <w:tcPr>
            <w:tcW w:w="86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(9,378</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1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1"/>
                <w:szCs w:val="11"/>
                <w:b w:val="1"/>
                <w:bCs w:val="1"/>
                <w:color w:val="auto"/>
                <w:w w:val="84"/>
              </w:rPr>
              <w:t>Balance as of December 31</w:t>
            </w:r>
          </w:p>
        </w:tc>
        <w:tc>
          <w:tcPr>
            <w:tcW w:w="100" w:type="dxa"/>
            <w:vAlign w:val="bottom"/>
            <w:tcBorders>
              <w:bottom w:val="single" w:sz="8" w:color="CCFFCC"/>
            </w:tcBorders>
            <w:shd w:val="clear" w:color="auto" w:fill="CCFFCC"/>
          </w:tcPr>
          <w:p>
            <w:pPr>
              <w:spacing w:after="0"/>
              <w:rPr>
                <w:sz w:val="13"/>
                <w:szCs w:val="13"/>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FFCC"/>
            </w:tcBorders>
            <w:shd w:val="clear" w:color="auto" w:fill="CCFFCC"/>
          </w:tcPr>
          <w:p>
            <w:pPr>
              <w:spacing w:after="0"/>
              <w:rPr>
                <w:sz w:val="13"/>
                <w:szCs w:val="13"/>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140,046</w:t>
            </w:r>
          </w:p>
        </w:tc>
        <w:tc>
          <w:tcPr>
            <w:tcW w:w="8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63,813</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58,429</w:t>
            </w:r>
          </w:p>
        </w:tc>
        <w:tc>
          <w:tcPr>
            <w:tcW w:w="8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163,581</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7,679</w:t>
            </w:r>
          </w:p>
        </w:tc>
        <w:tc>
          <w:tcPr>
            <w:tcW w:w="8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433,548</w:t>
            </w: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403,856</w:t>
            </w:r>
          </w:p>
        </w:tc>
        <w:tc>
          <w:tcPr>
            <w:tcW w:w="10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Net book value</w:t>
            </w:r>
          </w:p>
        </w:tc>
        <w:tc>
          <w:tcPr>
            <w:tcW w:w="100" w:type="dxa"/>
            <w:vAlign w:val="bottom"/>
            <w:shd w:val="clear" w:color="auto" w:fill="CCFFCC"/>
          </w:tcPr>
          <w:p>
            <w:pPr>
              <w:spacing w:after="0"/>
              <w:rPr>
                <w:sz w:val="13"/>
                <w:szCs w:val="13"/>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37,289</w:t>
            </w:r>
          </w:p>
        </w:tc>
        <w:tc>
          <w:tcPr>
            <w:tcW w:w="100" w:type="dxa"/>
            <w:vAlign w:val="bottom"/>
            <w:shd w:val="clear" w:color="auto" w:fill="CCFFCC"/>
          </w:tcPr>
          <w:p>
            <w:pPr>
              <w:spacing w:after="0"/>
              <w:rPr>
                <w:sz w:val="13"/>
                <w:szCs w:val="13"/>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123,195</w:t>
            </w:r>
          </w:p>
        </w:tc>
        <w:tc>
          <w:tcPr>
            <w:tcW w:w="80" w:type="dxa"/>
            <w:vAlign w:val="bottom"/>
            <w:shd w:val="clear" w:color="auto" w:fill="CCFFCC"/>
          </w:tcPr>
          <w:p>
            <w:pPr>
              <w:spacing w:after="0"/>
              <w:rPr>
                <w:sz w:val="13"/>
                <w:szCs w:val="13"/>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35,811</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15,108</w:t>
            </w:r>
          </w:p>
        </w:tc>
        <w:tc>
          <w:tcPr>
            <w:tcW w:w="80" w:type="dxa"/>
            <w:vAlign w:val="bottom"/>
            <w:shd w:val="clear" w:color="auto" w:fill="CCFFCC"/>
          </w:tcPr>
          <w:p>
            <w:pPr>
              <w:spacing w:after="0"/>
              <w:rPr>
                <w:sz w:val="13"/>
                <w:szCs w:val="13"/>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33,551</w:t>
            </w:r>
          </w:p>
        </w:tc>
        <w:tc>
          <w:tcPr>
            <w:tcW w:w="7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12,958</w:t>
            </w:r>
          </w:p>
        </w:tc>
        <w:tc>
          <w:tcPr>
            <w:tcW w:w="80" w:type="dxa"/>
            <w:vAlign w:val="bottom"/>
            <w:shd w:val="clear" w:color="auto" w:fill="CCFFCC"/>
          </w:tcPr>
          <w:p>
            <w:pPr>
              <w:spacing w:after="0"/>
              <w:rPr>
                <w:sz w:val="13"/>
                <w:szCs w:val="13"/>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17,023</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274,935</w:t>
            </w: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255,478</w:t>
            </w: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540" w:right="1820" w:hanging="4884"/>
        <w:spacing w:after="0" w:line="590" w:lineRule="auto"/>
        <w:tabs>
          <w:tab w:leader="none" w:pos="11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 located in Peru are not allowed to pledge their fixed assets. 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361" w:right="5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300" w:hanging="484"/>
        <w:spacing w:after="0" w:line="342" w:lineRule="auto"/>
        <w:tabs>
          <w:tab w:leader="none" w:pos="114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As of December 31, 2007, Credicorp and its Subsidiaries have property available for sale for US$24.4 million approximately, net of its accumulated depreciation amounted US$7.3 million approximately (US$25.2 and US$7.7 million, respectively, as of December 31, 2006).</w:t>
      </w:r>
    </w:p>
    <w:p>
      <w:pPr>
        <w:spacing w:after="0" w:line="177" w:lineRule="exact"/>
        <w:rPr>
          <w:rFonts w:ascii="Arial" w:cs="Arial" w:eastAsia="Arial" w:hAnsi="Arial"/>
          <w:sz w:val="16"/>
          <w:szCs w:val="16"/>
          <w:color w:val="auto"/>
        </w:rPr>
      </w:pPr>
    </w:p>
    <w:p>
      <w:pPr>
        <w:ind w:left="1140" w:right="20" w:hanging="484"/>
        <w:spacing w:after="0" w:line="312" w:lineRule="auto"/>
        <w:tabs>
          <w:tab w:leader="none" w:pos="114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Management periodically review the assets´ residual value, the useful life and the method of depreciation to ensure that the method and period of depreciation chosen are consistent with the economic benefits and life expectations for use of property, furniture and equipment items. In Management’s opinion, there is no evidence of impairment of property, furniture and equipment as of December 31, 2007 and 2006.</w:t>
      </w:r>
    </w:p>
    <w:p>
      <w:pPr>
        <w:spacing w:after="0" w:line="196" w:lineRule="exact"/>
        <w:rPr>
          <w:rFonts w:ascii="Arial" w:cs="Arial" w:eastAsia="Arial" w:hAnsi="Arial"/>
          <w:sz w:val="16"/>
          <w:szCs w:val="16"/>
          <w:color w:val="auto"/>
        </w:rPr>
      </w:pPr>
    </w:p>
    <w:p>
      <w:pPr>
        <w:ind w:left="660" w:hanging="490"/>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Assets seized, net</w:t>
      </w:r>
    </w:p>
    <w:p>
      <w:pPr>
        <w:spacing w:after="0" w:line="27" w:lineRule="exact"/>
        <w:rPr>
          <w:rFonts w:ascii="Arial" w:cs="Arial" w:eastAsia="Arial" w:hAnsi="Arial"/>
          <w:sz w:val="18"/>
          <w:szCs w:val="18"/>
          <w:b w:val="1"/>
          <w:bCs w:val="1"/>
          <w:color w:val="auto"/>
        </w:rPr>
      </w:pPr>
    </w:p>
    <w:p>
      <w:pPr>
        <w:ind w:left="1140" w:right="320" w:hanging="484"/>
        <w:spacing w:after="0" w:line="254" w:lineRule="auto"/>
        <w:tabs>
          <w:tab w:leader="none" w:pos="11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Group obtained assets by taking possession of collateral held as security, or calling upon other credit enhancements included in the caption “Assets seized”. As of December 31, 2007 and 2006, this caption includes land, buildings, machinery and equipment received in payment of loans. Assets seized were recorded at the lower of cost or estimated fair values determined on the basis of technical third party appraisals. This item is made up as follows: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Assets seized</w:t>
            </w:r>
          </w:p>
        </w:tc>
        <w:tc>
          <w:tcPr>
            <w:tcW w:w="1220" w:type="dxa"/>
            <w:vAlign w:val="bottom"/>
            <w:shd w:val="clear" w:color="auto" w:fill="CCFFCC"/>
          </w:tcPr>
          <w:p>
            <w:pPr>
              <w:jc w:val="center"/>
              <w:ind w:left="650"/>
              <w:spacing w:after="0"/>
              <w:rPr>
                <w:sz w:val="20"/>
                <w:szCs w:val="20"/>
                <w:color w:val="auto"/>
              </w:rPr>
            </w:pPr>
            <w:r>
              <w:rPr>
                <w:rFonts w:ascii="Arial" w:cs="Arial" w:eastAsia="Arial" w:hAnsi="Arial"/>
                <w:sz w:val="18"/>
                <w:szCs w:val="18"/>
                <w:color w:val="auto"/>
                <w:w w:val="87"/>
              </w:rPr>
              <w:t>36,481</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52,432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Reserve</w:t>
            </w:r>
          </w:p>
        </w:tc>
        <w:tc>
          <w:tcPr>
            <w:tcW w:w="142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(16,866)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Pr>
          <w:p>
            <w:pPr>
              <w:jc w:val="center"/>
              <w:ind w:left="650"/>
              <w:spacing w:after="0"/>
              <w:rPr>
                <w:sz w:val="20"/>
                <w:szCs w:val="20"/>
                <w:color w:val="auto"/>
              </w:rPr>
            </w:pPr>
            <w:r>
              <w:rPr>
                <w:rFonts w:ascii="Arial" w:cs="Arial" w:eastAsia="Arial" w:hAnsi="Arial"/>
                <w:sz w:val="18"/>
                <w:szCs w:val="18"/>
                <w:color w:val="auto"/>
                <w:w w:val="87"/>
              </w:rPr>
              <w:t>19,615</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hanging="484"/>
        <w:spacing w:after="0"/>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changes in the reserve for assets seized as of December 31, 2007, 2006 and 2005 are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Opening balances</w:t>
            </w:r>
          </w:p>
        </w:tc>
        <w:tc>
          <w:tcPr>
            <w:tcW w:w="15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23,005</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32,096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34,666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3,057</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6,387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16,959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89"/>
              </w:rPr>
              <w:t>Assets retired related to the sell of Banco Tequendama, note</w:t>
            </w:r>
          </w:p>
        </w:tc>
        <w:tc>
          <w:tcPr>
            <w:tcW w:w="1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2(c)</w:t>
            </w:r>
          </w:p>
        </w:tc>
        <w:tc>
          <w:tcPr>
            <w:tcW w:w="15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(1,678)</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Sold assets</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(9,196)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(15,478)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(17,851)</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16,866</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80" w:type="dxa"/>
            <w:vAlign w:val="bottom"/>
            <w:gridSpan w:val="3"/>
          </w:tcPr>
          <w:p>
            <w:pPr>
              <w:jc w:val="right"/>
              <w:ind w:right="1200"/>
              <w:spacing w:after="0"/>
              <w:rPr>
                <w:sz w:val="20"/>
                <w:szCs w:val="20"/>
                <w:color w:val="auto"/>
              </w:rPr>
            </w:pPr>
            <w:r>
              <w:rPr>
                <w:rFonts w:ascii="Arial" w:cs="Arial" w:eastAsia="Arial" w:hAnsi="Arial"/>
                <w:sz w:val="18"/>
                <w:szCs w:val="18"/>
                <w:color w:val="auto"/>
                <w:w w:val="97"/>
              </w:rPr>
              <w:t>F-52</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490"/>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9" w:lineRule="exact"/>
        <w:rPr>
          <w:rFonts w:ascii="Arial" w:cs="Arial" w:eastAsia="Arial" w:hAnsi="Arial"/>
          <w:sz w:val="18"/>
          <w:szCs w:val="18"/>
          <w:color w:val="auto"/>
        </w:rPr>
      </w:pPr>
    </w:p>
    <w:p>
      <w:pPr>
        <w:ind w:left="1140"/>
        <w:spacing w:after="0" w:line="323" w:lineRule="auto"/>
        <w:rPr>
          <w:rFonts w:ascii="Arial" w:cs="Arial" w:eastAsia="Arial" w:hAnsi="Arial"/>
          <w:sz w:val="18"/>
          <w:szCs w:val="18"/>
          <w:color w:val="auto"/>
        </w:rPr>
      </w:pPr>
      <w:r>
        <w:rPr>
          <w:rFonts w:ascii="Arial" w:cs="Arial" w:eastAsia="Arial" w:hAnsi="Arial"/>
          <w:sz w:val="16"/>
          <w:szCs w:val="16"/>
          <w:color w:val="auto"/>
        </w:rPr>
        <w:t>Comprise mainly the identified intangible assets as result of the acquisition of the “client relationships” and other in the purchase of AFP Union Vida, note 2(a), and the incurred cost on the development and acquisition of software licenses used in the Group operations.</w:t>
      </w:r>
    </w:p>
    <w:p>
      <w:pPr>
        <w:spacing w:after="0" w:line="19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movement of intangible assets for the years ended December 31, 2007 and 2006 is as follows:</w:t>
      </w:r>
    </w:p>
    <w:p>
      <w:pPr>
        <w:sectPr>
          <w:pgSz w:w="11900" w:h="16838" w:orient="portrait"/>
          <w:cols w:equalWidth="0" w:num="1">
            <w:col w:w="11000"/>
          </w:cols>
          <w:pgMar w:left="240" w:top="362" w:right="6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Description</w:t>
      </w:r>
    </w:p>
    <w:p>
      <w:pPr>
        <w:spacing w:after="0" w:line="350"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Cost -</w:t>
      </w:r>
    </w:p>
    <w:p>
      <w:pPr>
        <w:ind w:left="1140"/>
        <w:spacing w:after="0" w:line="199" w:lineRule="auto"/>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3"/>
          <w:szCs w:val="23"/>
          <w:color w:val="auto"/>
          <w:vertAlign w:val="superscript"/>
        </w:rPr>
        <w:t>st</w:t>
      </w:r>
    </w:p>
    <w:p>
      <w:pPr>
        <w:ind w:left="1140"/>
        <w:spacing w:after="0"/>
        <w:rPr>
          <w:sz w:val="20"/>
          <w:szCs w:val="20"/>
          <w:color w:val="auto"/>
        </w:rPr>
      </w:pPr>
      <w:r>
        <w:rPr>
          <w:rFonts w:ascii="Arial" w:cs="Arial" w:eastAsia="Arial" w:hAnsi="Arial"/>
          <w:sz w:val="14"/>
          <w:szCs w:val="14"/>
          <w:color w:val="auto"/>
        </w:rPr>
        <w:t>Additions (i)</w:t>
      </w:r>
    </w:p>
    <w:p>
      <w:pPr>
        <w:spacing w:after="0" w:line="9" w:lineRule="exact"/>
        <w:rPr>
          <w:sz w:val="20"/>
          <w:szCs w:val="20"/>
          <w:color w:val="auto"/>
        </w:rPr>
      </w:pPr>
    </w:p>
    <w:p>
      <w:pPr>
        <w:ind w:left="1140" w:right="140"/>
        <w:spacing w:after="0" w:line="261" w:lineRule="auto"/>
        <w:rPr>
          <w:sz w:val="20"/>
          <w:szCs w:val="20"/>
          <w:color w:val="auto"/>
        </w:rPr>
      </w:pPr>
      <w:r>
        <w:rPr>
          <w:rFonts w:ascii="Arial" w:cs="Arial" w:eastAsia="Arial" w:hAnsi="Arial"/>
          <w:sz w:val="14"/>
          <w:szCs w:val="14"/>
          <w:color w:val="auto"/>
        </w:rPr>
        <w:t>Business combination, note 2(a)</w:t>
      </w:r>
    </w:p>
    <w:p>
      <w:pPr>
        <w:spacing w:after="0" w:line="1" w:lineRule="exact"/>
        <w:rPr>
          <w:sz w:val="20"/>
          <w:szCs w:val="20"/>
          <w:color w:val="auto"/>
        </w:rPr>
      </w:pPr>
    </w:p>
    <w:p>
      <w:pPr>
        <w:ind w:left="1140" w:right="160"/>
        <w:spacing w:after="0" w:line="283" w:lineRule="auto"/>
        <w:rPr>
          <w:sz w:val="20"/>
          <w:szCs w:val="20"/>
          <w:color w:val="auto"/>
        </w:rPr>
      </w:pPr>
      <w:r>
        <w:rPr>
          <w:rFonts w:ascii="Arial" w:cs="Arial" w:eastAsia="Arial" w:hAnsi="Arial"/>
          <w:sz w:val="14"/>
          <w:szCs w:val="14"/>
          <w:color w:val="auto"/>
        </w:rPr>
        <w:t>Retirements and write - off (ii)</w:t>
      </w:r>
    </w:p>
    <w:p>
      <w:pPr>
        <w:spacing w:after="0" w:line="150" w:lineRule="exact"/>
        <w:rPr>
          <w:sz w:val="20"/>
          <w:szCs w:val="20"/>
          <w:color w:val="auto"/>
        </w:rPr>
      </w:pPr>
    </w:p>
    <w:p>
      <w:pPr>
        <w:ind w:left="1140"/>
        <w:spacing w:after="0" w:line="322" w:lineRule="auto"/>
        <w:rPr>
          <w:sz w:val="20"/>
          <w:szCs w:val="20"/>
          <w:color w:val="auto"/>
        </w:rPr>
      </w:pPr>
      <w:r>
        <w:rPr>
          <w:rFonts w:ascii="Arial" w:cs="Arial" w:eastAsia="Arial" w:hAnsi="Arial"/>
          <w:sz w:val="13"/>
          <w:szCs w:val="13"/>
          <w:b w:val="1"/>
          <w:bCs w:val="1"/>
          <w:color w:val="auto"/>
        </w:rPr>
        <w:t>Balance as of December 31 Accumulated amortization -</w:t>
      </w:r>
    </w:p>
    <w:p>
      <w:pPr>
        <w:spacing w:after="0" w:line="1" w:lineRule="exact"/>
        <w:rPr>
          <w:sz w:val="20"/>
          <w:szCs w:val="20"/>
          <w:color w:val="auto"/>
        </w:rPr>
      </w:pPr>
    </w:p>
    <w:p>
      <w:pPr>
        <w:ind w:left="1140" w:right="140"/>
        <w:spacing w:after="0" w:line="229" w:lineRule="auto"/>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23"/>
          <w:szCs w:val="23"/>
          <w:color w:val="auto"/>
          <w:vertAlign w:val="superscript"/>
        </w:rPr>
        <w:t>st</w:t>
      </w:r>
      <w:r>
        <w:rPr>
          <w:rFonts w:ascii="Arial" w:cs="Arial" w:eastAsia="Arial" w:hAnsi="Arial"/>
          <w:sz w:val="14"/>
          <w:szCs w:val="14"/>
          <w:b w:val="1"/>
          <w:bCs w:val="1"/>
          <w:color w:val="auto"/>
        </w:rPr>
        <w:t xml:space="preserve"> </w:t>
      </w:r>
      <w:r>
        <w:rPr>
          <w:rFonts w:ascii="Arial" w:cs="Arial" w:eastAsia="Arial" w:hAnsi="Arial"/>
          <w:sz w:val="14"/>
          <w:szCs w:val="14"/>
          <w:color w:val="auto"/>
        </w:rPr>
        <w:t>Amortization of the year Business combination, note 2(a)</w:t>
      </w:r>
    </w:p>
    <w:p>
      <w:pPr>
        <w:spacing w:after="0" w:line="3" w:lineRule="exact"/>
        <w:rPr>
          <w:sz w:val="20"/>
          <w:szCs w:val="20"/>
          <w:color w:val="auto"/>
        </w:rPr>
      </w:pPr>
    </w:p>
    <w:p>
      <w:pPr>
        <w:ind w:left="1140" w:right="160"/>
        <w:spacing w:after="0" w:line="283" w:lineRule="auto"/>
        <w:rPr>
          <w:sz w:val="20"/>
          <w:szCs w:val="20"/>
          <w:color w:val="auto"/>
        </w:rPr>
      </w:pPr>
      <w:r>
        <w:rPr>
          <w:rFonts w:ascii="Arial" w:cs="Arial" w:eastAsia="Arial" w:hAnsi="Arial"/>
          <w:sz w:val="14"/>
          <w:szCs w:val="14"/>
          <w:color w:val="auto"/>
        </w:rPr>
        <w:t>Retirements and write - off (ii)</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Client</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8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Relationships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Software</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Developments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Others</w:t>
            </w: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r>
      <w:tr>
        <w:trPr>
          <w:trHeight w:val="323"/>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88,378</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40,917</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32,447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10,283</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172,025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51,082</w:t>
            </w:r>
          </w:p>
        </w:tc>
      </w:tr>
      <w:tr>
        <w:trPr>
          <w:trHeight w:val="182"/>
        </w:trPr>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14,706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15,606</w:t>
            </w: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30,404</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19,767</w:t>
            </w:r>
          </w:p>
        </w:tc>
      </w:tr>
      <w:tr>
        <w:trPr>
          <w:trHeight w:val="346"/>
        </w:trPr>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107,842</w:t>
            </w:r>
          </w:p>
        </w:tc>
      </w:tr>
      <w:tr>
        <w:trPr>
          <w:trHeight w:val="377"/>
        </w:trPr>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(7,436</w:t>
            </w:r>
            <w:r>
              <w:rPr>
                <w:rFonts w:ascii="Arial" w:cs="Arial" w:eastAsia="Arial" w:hAnsi="Arial"/>
                <w:sz w:val="28"/>
                <w:szCs w:val="28"/>
                <w:color w:val="auto"/>
                <w:vertAlign w:val="superscript"/>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(6,632</w:t>
            </w:r>
            <w:r>
              <w:rPr>
                <w:rFonts w:ascii="Arial" w:cs="Arial" w:eastAsia="Arial" w:hAnsi="Arial"/>
                <w:sz w:val="28"/>
                <w:szCs w:val="28"/>
                <w:color w:val="auto"/>
                <w:vertAlign w:val="superscript"/>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(1,124</w:t>
            </w:r>
            <w:r>
              <w:rPr>
                <w:rFonts w:ascii="Arial" w:cs="Arial" w:eastAsia="Arial" w:hAnsi="Arial"/>
                <w:sz w:val="28"/>
                <w:szCs w:val="28"/>
                <w:color w:val="auto"/>
                <w:vertAlign w:val="superscript"/>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(15,192</w:t>
            </w:r>
            <w:r>
              <w:rPr>
                <w:rFonts w:ascii="Arial" w:cs="Arial" w:eastAsia="Arial" w:hAnsi="Arial"/>
                <w:sz w:val="28"/>
                <w:szCs w:val="28"/>
                <w:color w:val="auto"/>
                <w:vertAlign w:val="superscript"/>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(6,666</w:t>
            </w:r>
            <w:r>
              <w:rPr>
                <w:rFonts w:ascii="Arial" w:cs="Arial" w:eastAsia="Arial" w:hAnsi="Arial"/>
                <w:sz w:val="28"/>
                <w:szCs w:val="28"/>
                <w:color w:val="auto"/>
                <w:vertAlign w:val="superscript"/>
              </w:rPr>
              <w:t>)</w:t>
            </w:r>
          </w:p>
        </w:tc>
      </w:tr>
      <w:tr>
        <w:trPr>
          <w:trHeight w:val="345"/>
        </w:trPr>
        <w:tc>
          <w:tcPr>
            <w:tcW w:w="18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88,378</w:t>
            </w:r>
          </w:p>
        </w:tc>
        <w:tc>
          <w:tcPr>
            <w:tcW w:w="8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48,187</w:t>
            </w:r>
          </w:p>
        </w:tc>
        <w:tc>
          <w:tcPr>
            <w:tcW w:w="8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41,421</w:t>
            </w:r>
          </w:p>
        </w:tc>
        <w:tc>
          <w:tcPr>
            <w:tcW w:w="10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9,251</w:t>
            </w:r>
          </w:p>
        </w:tc>
        <w:tc>
          <w:tcPr>
            <w:tcW w:w="10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187,237</w:t>
            </w:r>
          </w:p>
        </w:tc>
        <w:tc>
          <w:tcPr>
            <w:tcW w:w="80" w:type="dxa"/>
            <w:vAlign w:val="bottom"/>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172,025</w:t>
            </w:r>
          </w:p>
        </w:tc>
        <w:tc>
          <w:tcPr>
            <w:tcW w:w="100" w:type="dxa"/>
            <w:vAlign w:val="bottom"/>
          </w:tcPr>
          <w:p>
            <w:pPr>
              <w:spacing w:after="0"/>
              <w:rPr>
                <w:sz w:val="24"/>
                <w:szCs w:val="24"/>
                <w:color w:val="auto"/>
              </w:rPr>
            </w:pPr>
          </w:p>
        </w:tc>
      </w:tr>
      <w:tr>
        <w:trPr>
          <w:trHeight w:val="169"/>
        </w:trPr>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130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1,473</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20,665</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18,439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4,643</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45,220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26,422</w:t>
            </w:r>
          </w:p>
        </w:tc>
      </w:tr>
      <w:tr>
        <w:trPr>
          <w:trHeight w:val="182"/>
        </w:trPr>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3,544</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6,724</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4,780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2,430</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17,478</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18,840</w:t>
            </w:r>
          </w:p>
        </w:tc>
      </w:tr>
      <w:tr>
        <w:trPr>
          <w:trHeight w:val="346"/>
        </w:trPr>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6,437</w:t>
            </w:r>
          </w:p>
        </w:tc>
      </w:tr>
      <w:tr>
        <w:trPr>
          <w:trHeight w:val="377"/>
        </w:trPr>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(7,456</w:t>
            </w:r>
            <w:r>
              <w:rPr>
                <w:rFonts w:ascii="Arial" w:cs="Arial" w:eastAsia="Arial" w:hAnsi="Arial"/>
                <w:sz w:val="28"/>
                <w:szCs w:val="28"/>
                <w:color w:val="auto"/>
                <w:vertAlign w:val="superscript"/>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(6,677</w:t>
            </w:r>
            <w:r>
              <w:rPr>
                <w:rFonts w:ascii="Arial" w:cs="Arial" w:eastAsia="Arial" w:hAnsi="Arial"/>
                <w:sz w:val="28"/>
                <w:szCs w:val="28"/>
                <w:color w:val="auto"/>
                <w:vertAlign w:val="superscript"/>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(1,013</w:t>
            </w:r>
            <w:r>
              <w:rPr>
                <w:rFonts w:ascii="Arial" w:cs="Arial" w:eastAsia="Arial" w:hAnsi="Arial"/>
                <w:sz w:val="28"/>
                <w:szCs w:val="28"/>
                <w:color w:val="auto"/>
                <w:vertAlign w:val="superscript"/>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(15,146</w:t>
            </w:r>
            <w:r>
              <w:rPr>
                <w:rFonts w:ascii="Arial" w:cs="Arial" w:eastAsia="Arial" w:hAnsi="Arial"/>
                <w:sz w:val="28"/>
                <w:szCs w:val="28"/>
                <w:color w:val="auto"/>
                <w:vertAlign w:val="superscript"/>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(6,479</w:t>
            </w:r>
            <w:r>
              <w:rPr>
                <w:rFonts w:ascii="Arial" w:cs="Arial" w:eastAsia="Arial" w:hAnsi="Arial"/>
                <w:sz w:val="28"/>
                <w:szCs w:val="28"/>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-1851660</wp:posOffset>
            </wp:positionV>
            <wp:extent cx="5539740" cy="2317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39740" cy="23177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-1508760</wp:posOffset>
            </wp:positionV>
            <wp:extent cx="5539740" cy="2228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39740" cy="22288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-1036955</wp:posOffset>
            </wp:positionV>
            <wp:extent cx="5539740" cy="94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39740" cy="9461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-805180</wp:posOffset>
            </wp:positionV>
            <wp:extent cx="5539740" cy="2317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39740" cy="23177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-462280</wp:posOffset>
            </wp:positionV>
            <wp:extent cx="5539740" cy="2228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39740" cy="22288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2860" w:space="40"/>
            <w:col w:w="8100"/>
          </w:cols>
          <w:pgMar w:left="240" w:top="362" w:right="659" w:bottom="1440" w:gutter="0" w:footer="0" w:header="0"/>
          <w:type w:val="continuous"/>
        </w:sectPr>
      </w:pPr>
    </w:p>
    <w:tbl>
      <w:tblPr>
        <w:tblLayout w:type="fixed"/>
        <w:tblInd w:w="1140" w:type="dxa"/>
        <w:tblCellMar>
          <w:top w:w="0" w:type="dxa"/>
          <w:left w:w="0" w:type="dxa"/>
          <w:bottom w:w="0" w:type="dxa"/>
          <w:right w:w="0" w:type="dxa"/>
        </w:tblCellMar>
      </w:tblPr>
      <w:tr>
        <w:trPr>
          <w:trHeight w:val="198"/>
        </w:trPr>
        <w:tc>
          <w:tcPr>
            <w:tcW w:w="20" w:type="dxa"/>
            <w:vAlign w:val="bottom"/>
          </w:tcPr>
          <w:p>
            <w:pPr>
              <w:spacing w:after="0"/>
              <w:rPr>
                <w:sz w:val="16"/>
                <w:szCs w:val="16"/>
                <w:color w:val="auto"/>
              </w:rPr>
            </w:pPr>
          </w:p>
        </w:tc>
        <w:tc>
          <w:tcPr>
            <w:tcW w:w="1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Balance as of December 31</w:t>
            </w: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5,017</w:t>
            </w:r>
          </w:p>
        </w:tc>
        <w:tc>
          <w:tcPr>
            <w:tcW w:w="80" w:type="dxa"/>
            <w:vAlign w:val="bottom"/>
            <w:tcBorders>
              <w:bottom w:val="single" w:sz="8" w:color="CCFFCC"/>
            </w:tcBorders>
            <w:shd w:val="clear" w:color="auto" w:fill="CCFFCC"/>
          </w:tcPr>
          <w:p>
            <w:pPr>
              <w:spacing w:after="0"/>
              <w:rPr>
                <w:sz w:val="16"/>
                <w:szCs w:val="16"/>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19,933</w:t>
            </w:r>
          </w:p>
        </w:tc>
        <w:tc>
          <w:tcPr>
            <w:tcW w:w="80" w:type="dxa"/>
            <w:vAlign w:val="bottom"/>
            <w:tcBorders>
              <w:bottom w:val="single" w:sz="8" w:color="CCFFCC"/>
            </w:tcBorders>
            <w:shd w:val="clear" w:color="auto" w:fill="CCFFCC"/>
          </w:tcPr>
          <w:p>
            <w:pPr>
              <w:spacing w:after="0"/>
              <w:rPr>
                <w:sz w:val="16"/>
                <w:szCs w:val="16"/>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16,542</w:t>
            </w:r>
          </w:p>
        </w:tc>
        <w:tc>
          <w:tcPr>
            <w:tcW w:w="100" w:type="dxa"/>
            <w:vAlign w:val="bottom"/>
            <w:tcBorders>
              <w:bottom w:val="single" w:sz="8" w:color="CCFFCC"/>
            </w:tcBorders>
            <w:shd w:val="clear" w:color="auto" w:fill="CCFFCC"/>
          </w:tcPr>
          <w:p>
            <w:pPr>
              <w:spacing w:after="0"/>
              <w:rPr>
                <w:sz w:val="16"/>
                <w:szCs w:val="16"/>
                <w:color w:val="auto"/>
              </w:rPr>
            </w:pPr>
          </w:p>
        </w:tc>
        <w:tc>
          <w:tcPr>
            <w:tcW w:w="10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6,060</w:t>
            </w:r>
          </w:p>
        </w:tc>
        <w:tc>
          <w:tcPr>
            <w:tcW w:w="100" w:type="dxa"/>
            <w:vAlign w:val="bottom"/>
            <w:tcBorders>
              <w:bottom w:val="single" w:sz="8" w:color="CCFFCC"/>
            </w:tcBorders>
            <w:shd w:val="clear" w:color="auto" w:fill="CCFFCC"/>
          </w:tcPr>
          <w:p>
            <w:pPr>
              <w:spacing w:after="0"/>
              <w:rPr>
                <w:sz w:val="16"/>
                <w:szCs w:val="16"/>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47,552</w:t>
            </w:r>
          </w:p>
        </w:tc>
        <w:tc>
          <w:tcPr>
            <w:tcW w:w="80" w:type="dxa"/>
            <w:vAlign w:val="bottom"/>
            <w:tcBorders>
              <w:bottom w:val="single" w:sz="8" w:color="CCFFCC"/>
            </w:tcBorders>
            <w:shd w:val="clear" w:color="auto" w:fill="CCFFCC"/>
          </w:tcPr>
          <w:p>
            <w:pPr>
              <w:spacing w:after="0"/>
              <w:rPr>
                <w:sz w:val="16"/>
                <w:szCs w:val="16"/>
                <w:color w:val="auto"/>
              </w:rPr>
            </w:pPr>
          </w:p>
        </w:tc>
        <w:tc>
          <w:tcPr>
            <w:tcW w:w="10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45,220</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2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Net book value</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83,361</w:t>
            </w:r>
          </w:p>
        </w:tc>
        <w:tc>
          <w:tcPr>
            <w:tcW w:w="8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28,254</w:t>
            </w:r>
          </w:p>
        </w:tc>
        <w:tc>
          <w:tcPr>
            <w:tcW w:w="8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24,879</w:t>
            </w:r>
          </w:p>
        </w:tc>
        <w:tc>
          <w:tcPr>
            <w:tcW w:w="10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3,191</w:t>
            </w:r>
          </w:p>
        </w:tc>
        <w:tc>
          <w:tcPr>
            <w:tcW w:w="10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139,685</w:t>
            </w:r>
          </w:p>
        </w:tc>
        <w:tc>
          <w:tcPr>
            <w:tcW w:w="8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126,805</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362" w:right="659" w:bottom="1440" w:gutter="0" w:footer="0" w:header="0"/>
          <w:type w:val="continuous"/>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line="286" w:lineRule="auto"/>
        <w:tabs>
          <w:tab w:leader="none" w:pos="11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During the year ended December 31, 2007 Credicorp has capitalized disbursements related to the implementation of diverse systems projects, mainly those related to the ERP project (aimed to the implementation and development of SAP System) and the SERIVA Project (aimed to the implementation and development of the integrated module for operations of Capital Market) of its subsidiary BCP.</w:t>
      </w:r>
    </w:p>
    <w:p>
      <w:pPr>
        <w:spacing w:after="0" w:line="219" w:lineRule="exact"/>
        <w:rPr>
          <w:rFonts w:ascii="Arial" w:cs="Arial" w:eastAsia="Arial" w:hAnsi="Arial"/>
          <w:sz w:val="17"/>
          <w:szCs w:val="17"/>
          <w:color w:val="auto"/>
        </w:rPr>
      </w:pPr>
    </w:p>
    <w:p>
      <w:pPr>
        <w:ind w:left="1140" w:hanging="484"/>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During 2007, the Group wrote off certain intangibles assets fully amortized and out of use for US$15.1 million.</w:t>
      </w:r>
    </w:p>
    <w:p>
      <w:pPr>
        <w:spacing w:after="0" w:line="279" w:lineRule="exact"/>
        <w:rPr>
          <w:sz w:val="20"/>
          <w:szCs w:val="20"/>
          <w:color w:val="auto"/>
        </w:rPr>
      </w:pPr>
    </w:p>
    <w:p>
      <w:pPr>
        <w:ind w:left="1140" w:hanging="484"/>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following is the composition of the caption by subsidiary:</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Prima AFP (AFP Unión Vida S.A.), note 2(a)</w:t>
            </w:r>
          </w:p>
        </w:tc>
        <w:tc>
          <w:tcPr>
            <w:tcW w:w="1220" w:type="dxa"/>
            <w:vAlign w:val="bottom"/>
          </w:tcPr>
          <w:p>
            <w:pPr>
              <w:jc w:val="right"/>
              <w:spacing w:after="0"/>
              <w:rPr>
                <w:sz w:val="20"/>
                <w:szCs w:val="20"/>
                <w:color w:val="auto"/>
              </w:rPr>
            </w:pPr>
            <w:r>
              <w:rPr>
                <w:rFonts w:ascii="Arial" w:cs="Arial" w:eastAsia="Arial" w:hAnsi="Arial"/>
                <w:sz w:val="18"/>
                <w:szCs w:val="18"/>
                <w:color w:val="auto"/>
              </w:rPr>
              <w:t>44,594</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15,582</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El Pacífico Peruano - Suiza</w:t>
            </w:r>
          </w:p>
        </w:tc>
        <w:tc>
          <w:tcPr>
            <w:tcW w:w="1220" w:type="dxa"/>
            <w:vAlign w:val="bottom"/>
          </w:tcPr>
          <w:p>
            <w:pPr>
              <w:jc w:val="right"/>
              <w:spacing w:after="0"/>
              <w:rPr>
                <w:sz w:val="20"/>
                <w:szCs w:val="20"/>
                <w:color w:val="auto"/>
              </w:rPr>
            </w:pPr>
            <w:r>
              <w:rPr>
                <w:rFonts w:ascii="Arial" w:cs="Arial" w:eastAsia="Arial" w:hAnsi="Arial"/>
                <w:sz w:val="18"/>
                <w:szCs w:val="18"/>
                <w:color w:val="auto"/>
              </w:rPr>
              <w:t>13,007</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10,660</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Coporación Novasalud Perú S.A. EPS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Book value, net</w:t>
            </w:r>
          </w:p>
        </w:tc>
        <w:tc>
          <w:tcPr>
            <w:tcW w:w="1220" w:type="dxa"/>
            <w:vAlign w:val="bottom"/>
          </w:tcPr>
          <w:p>
            <w:pPr>
              <w:jc w:val="right"/>
              <w:spacing w:after="0"/>
              <w:rPr>
                <w:sz w:val="20"/>
                <w:szCs w:val="20"/>
                <w:color w:val="auto"/>
              </w:rPr>
            </w:pPr>
            <w:r>
              <w:rPr>
                <w:rFonts w:ascii="Arial" w:cs="Arial" w:eastAsia="Arial" w:hAnsi="Arial"/>
                <w:sz w:val="18"/>
                <w:szCs w:val="18"/>
                <w:color w:val="auto"/>
              </w:rPr>
              <w:t>87,587</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140" w:right="400"/>
        <w:spacing w:after="0" w:line="342" w:lineRule="auto"/>
        <w:rPr>
          <w:sz w:val="20"/>
          <w:szCs w:val="20"/>
          <w:color w:val="auto"/>
        </w:rPr>
      </w:pPr>
      <w:r>
        <w:rPr>
          <w:rFonts w:ascii="Arial" w:cs="Arial" w:eastAsia="Arial" w:hAnsi="Arial"/>
          <w:sz w:val="16"/>
          <w:szCs w:val="16"/>
          <w:color w:val="auto"/>
        </w:rPr>
        <w:t>Goodwill is annually assessed by impairment by Management and the assumptions used for the impairment analysis are consistence with previous years. As of December 31, 2007 and 2006, it was not necessary to record a provision for impairment of goodwill on the Group.</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goodwill for the years ended December 31, 2007, 2006 and 2005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 -</w:t>
            </w: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Opening balance</w:t>
            </w:r>
          </w:p>
        </w:tc>
        <w:tc>
          <w:tcPr>
            <w:tcW w:w="16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88,842</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33,557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33,557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Acquisition, notes 2(a) and 3(b)</w:t>
            </w: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3,282</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56,285</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4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Decreases</w:t>
            </w:r>
          </w:p>
        </w:tc>
        <w:tc>
          <w:tcPr>
            <w:tcW w:w="18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(4,537)</w:t>
            </w:r>
          </w:p>
        </w:tc>
        <w:tc>
          <w:tcPr>
            <w:tcW w:w="14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vMerge w:val="continue"/>
          </w:tcPr>
          <w:p>
            <w:pPr>
              <w:spacing w:after="0"/>
              <w:rPr>
                <w:sz w:val="22"/>
                <w:szCs w:val="22"/>
                <w:color w:val="auto"/>
              </w:rPr>
            </w:pPr>
          </w:p>
        </w:tc>
        <w:tc>
          <w:tcPr>
            <w:tcW w:w="4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Final balance</w:t>
            </w:r>
          </w:p>
        </w:tc>
        <w:tc>
          <w:tcPr>
            <w:tcW w:w="18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87,587</w:t>
            </w:r>
          </w:p>
        </w:tc>
        <w:tc>
          <w:tcPr>
            <w:tcW w:w="18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88,842</w:t>
            </w:r>
          </w:p>
        </w:tc>
        <w:tc>
          <w:tcPr>
            <w:tcW w:w="18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33,557</w:t>
            </w:r>
          </w:p>
        </w:tc>
        <w:tc>
          <w:tcPr>
            <w:tcW w:w="100" w:type="dxa"/>
            <w:vAlign w:val="bottom"/>
            <w:tcBorders>
              <w:bottom w:val="single" w:sz="8" w:color="CCFFCC"/>
            </w:tcBorders>
            <w:shd w:val="clear" w:color="auto" w:fill="CCFFCC"/>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0" w:type="dxa"/>
            <w:vAlign w:val="bottom"/>
            <w:gridSpan w:val="3"/>
          </w:tcPr>
          <w:p>
            <w:pPr>
              <w:jc w:val="right"/>
              <w:ind w:right="1200"/>
              <w:spacing w:after="0"/>
              <w:rPr>
                <w:sz w:val="20"/>
                <w:szCs w:val="20"/>
                <w:color w:val="auto"/>
              </w:rPr>
            </w:pPr>
            <w:r>
              <w:rPr>
                <w:rFonts w:ascii="Arial" w:cs="Arial" w:eastAsia="Arial" w:hAnsi="Arial"/>
                <w:sz w:val="18"/>
                <w:szCs w:val="18"/>
                <w:color w:val="auto"/>
              </w:rPr>
              <w:t>F-54</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4700" w:type="dxa"/>
            <w:vAlign w:val="bottom"/>
            <w:gridSpan w:val="3"/>
          </w:tcPr>
          <w:p>
            <w:pPr>
              <w:ind w:left="140"/>
              <w:spacing w:after="0"/>
              <w:rPr>
                <w:sz w:val="20"/>
                <w:szCs w:val="20"/>
                <w:color w:val="auto"/>
              </w:rPr>
            </w:pPr>
            <w:r>
              <w:rPr>
                <w:rFonts w:ascii="Arial" w:cs="Arial" w:eastAsia="Arial" w:hAnsi="Arial"/>
                <w:sz w:val="18"/>
                <w:szCs w:val="18"/>
                <w:b w:val="1"/>
                <w:bCs w:val="1"/>
                <w:color w:val="auto"/>
              </w:rPr>
              <w:t>Other assets and other liabilities</w:t>
            </w:r>
          </w:p>
        </w:tc>
        <w:tc>
          <w:tcPr>
            <w:tcW w:w="1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(a)</w:t>
            </w:r>
          </w:p>
        </w:tc>
        <w:tc>
          <w:tcPr>
            <w:tcW w:w="4220" w:type="dxa"/>
            <w:vAlign w:val="bottom"/>
            <w:gridSpan w:val="2"/>
          </w:tcPr>
          <w:p>
            <w:pPr>
              <w:ind w:left="140"/>
              <w:spacing w:after="0"/>
              <w:rPr>
                <w:sz w:val="20"/>
                <w:szCs w:val="20"/>
                <w:color w:val="auto"/>
              </w:rPr>
            </w:pPr>
            <w:r>
              <w:rPr>
                <w:rFonts w:ascii="Arial" w:cs="Arial" w:eastAsia="Arial" w:hAnsi="Arial"/>
                <w:sz w:val="18"/>
                <w:szCs w:val="18"/>
                <w:color w:val="auto"/>
              </w:rPr>
              <w:t>These items are made up as follows:</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20" w:type="dxa"/>
            <w:vAlign w:val="bottom"/>
            <w:gridSpan w:val="3"/>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b w:val="1"/>
                <w:bCs w:val="1"/>
                <w:color w:val="auto"/>
              </w:rPr>
              <w:t>Other assets -</w:t>
            </w:r>
          </w:p>
        </w:tc>
        <w:tc>
          <w:tcPr>
            <w:tcW w:w="1880" w:type="dxa"/>
            <w:vAlign w:val="bottom"/>
            <w:shd w:val="clear" w:color="auto" w:fill="CDFFCD"/>
          </w:tcPr>
          <w:p>
            <w:pPr>
              <w:spacing w:after="0"/>
              <w:rPr>
                <w:sz w:val="18"/>
                <w:szCs w:val="18"/>
                <w:color w:val="auto"/>
              </w:rPr>
            </w:pPr>
          </w:p>
        </w:tc>
        <w:tc>
          <w:tcPr>
            <w:tcW w:w="1220" w:type="dxa"/>
            <w:vAlign w:val="bottom"/>
            <w:shd w:val="clear" w:color="auto" w:fill="CDFFCD"/>
          </w:tcPr>
          <w:p>
            <w:pPr>
              <w:spacing w:after="0"/>
              <w:rPr>
                <w:sz w:val="18"/>
                <w:szCs w:val="18"/>
                <w:color w:val="auto"/>
              </w:rPr>
            </w:pPr>
          </w:p>
        </w:tc>
        <w:tc>
          <w:tcPr>
            <w:tcW w:w="20" w:type="dxa"/>
            <w:vAlign w:val="bottom"/>
            <w:shd w:val="clear" w:color="auto" w:fill="CDFFCD"/>
          </w:tcPr>
          <w:p>
            <w:pPr>
              <w:spacing w:after="0"/>
              <w:rPr>
                <w:sz w:val="18"/>
                <w:szCs w:val="18"/>
                <w:color w:val="auto"/>
              </w:rPr>
            </w:pPr>
          </w:p>
        </w:tc>
        <w:tc>
          <w:tcPr>
            <w:tcW w:w="180" w:type="dxa"/>
            <w:vAlign w:val="bottom"/>
            <w:shd w:val="clear" w:color="auto" w:fill="CDFFCD"/>
          </w:tcPr>
          <w:p>
            <w:pPr>
              <w:spacing w:after="0"/>
              <w:rPr>
                <w:sz w:val="18"/>
                <w:szCs w:val="18"/>
                <w:color w:val="auto"/>
              </w:rPr>
            </w:pPr>
          </w:p>
        </w:tc>
        <w:tc>
          <w:tcPr>
            <w:tcW w:w="1240" w:type="dxa"/>
            <w:vAlign w:val="bottom"/>
            <w:shd w:val="clear" w:color="auto" w:fill="CDFFCD"/>
          </w:tcPr>
          <w:p>
            <w:pPr>
              <w:spacing w:after="0"/>
              <w:rPr>
                <w:sz w:val="18"/>
                <w:szCs w:val="18"/>
                <w:color w:val="auto"/>
              </w:rPr>
            </w:pPr>
          </w:p>
        </w:tc>
        <w:tc>
          <w:tcPr>
            <w:tcW w:w="100" w:type="dxa"/>
            <w:vAlign w:val="bottom"/>
            <w:shd w:val="clear" w:color="auto" w:fill="CDFFCD"/>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rPr>
              <w:t>Accounts receivable</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47,653</w:t>
            </w:r>
          </w:p>
        </w:tc>
        <w:tc>
          <w:tcPr>
            <w:tcW w:w="180" w:type="dxa"/>
            <w:vAlign w:val="bottom"/>
            <w:shd w:val="clear" w:color="auto" w:fill="CDFFCD"/>
          </w:tcPr>
          <w:p>
            <w:pPr>
              <w:spacing w:after="0"/>
              <w:rPr>
                <w:sz w:val="18"/>
                <w:szCs w:val="18"/>
                <w:color w:val="auto"/>
              </w:rPr>
            </w:pPr>
          </w:p>
        </w:tc>
        <w:tc>
          <w:tcPr>
            <w:tcW w:w="1340" w:type="dxa"/>
            <w:vAlign w:val="bottom"/>
            <w:gridSpan w:val="2"/>
            <w:shd w:val="clear" w:color="auto" w:fill="CDFFCD"/>
          </w:tcPr>
          <w:p>
            <w:pPr>
              <w:jc w:val="right"/>
              <w:ind w:right="100"/>
              <w:spacing w:after="0"/>
              <w:rPr>
                <w:sz w:val="20"/>
                <w:szCs w:val="20"/>
                <w:color w:val="auto"/>
              </w:rPr>
            </w:pPr>
            <w:r>
              <w:rPr>
                <w:rFonts w:ascii="Arial" w:cs="Arial" w:eastAsia="Arial" w:hAnsi="Arial"/>
                <w:sz w:val="18"/>
                <w:szCs w:val="18"/>
                <w:color w:val="auto"/>
              </w:rPr>
              <w:t>48,149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Derivatives receivable (b)</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45,843</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19,134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rPr>
              <w:t>Operations in process (d)</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35,786</w:t>
            </w:r>
          </w:p>
        </w:tc>
        <w:tc>
          <w:tcPr>
            <w:tcW w:w="180" w:type="dxa"/>
            <w:vAlign w:val="bottom"/>
            <w:shd w:val="clear" w:color="auto" w:fill="CDFFCD"/>
          </w:tcPr>
          <w:p>
            <w:pPr>
              <w:spacing w:after="0"/>
              <w:rPr>
                <w:sz w:val="18"/>
                <w:szCs w:val="18"/>
                <w:color w:val="auto"/>
              </w:rPr>
            </w:pPr>
          </w:p>
        </w:tc>
        <w:tc>
          <w:tcPr>
            <w:tcW w:w="1340" w:type="dxa"/>
            <w:vAlign w:val="bottom"/>
            <w:gridSpan w:val="2"/>
            <w:shd w:val="clear" w:color="auto" w:fill="CDFFCD"/>
          </w:tcPr>
          <w:p>
            <w:pPr>
              <w:jc w:val="right"/>
              <w:ind w:right="100"/>
              <w:spacing w:after="0"/>
              <w:rPr>
                <w:sz w:val="20"/>
                <w:szCs w:val="20"/>
                <w:color w:val="auto"/>
              </w:rPr>
            </w:pPr>
            <w:r>
              <w:rPr>
                <w:rFonts w:ascii="Arial" w:cs="Arial" w:eastAsia="Arial" w:hAnsi="Arial"/>
                <w:sz w:val="18"/>
                <w:szCs w:val="18"/>
                <w:color w:val="auto"/>
              </w:rPr>
              <w:t>29,752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Value added tax credit</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55,989</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80" w:type="dxa"/>
            <w:vAlign w:val="bottom"/>
            <w:tcBorders>
              <w:bottom w:val="single" w:sz="8" w:color="CDFFCD"/>
            </w:tcBorders>
            <w:shd w:val="clear" w:color="auto" w:fill="CDFFCD"/>
          </w:tcPr>
          <w:p>
            <w:pPr>
              <w:spacing w:after="0"/>
              <w:rPr>
                <w:sz w:val="20"/>
                <w:szCs w:val="20"/>
                <w:color w:val="auto"/>
              </w:rPr>
            </w:pPr>
            <w:r>
              <w:rPr>
                <w:rFonts w:ascii="Arial" w:cs="Arial" w:eastAsia="Arial" w:hAnsi="Arial"/>
                <w:sz w:val="18"/>
                <w:szCs w:val="18"/>
                <w:color w:val="auto"/>
              </w:rPr>
              <w:t>Income tax prepayments, net</w:t>
            </w:r>
          </w:p>
        </w:tc>
        <w:tc>
          <w:tcPr>
            <w:tcW w:w="1880" w:type="dxa"/>
            <w:vAlign w:val="bottom"/>
            <w:tcBorders>
              <w:bottom w:val="single" w:sz="8" w:color="CDFFCD"/>
            </w:tcBorders>
            <w:shd w:val="clear" w:color="auto" w:fill="CDFFCD"/>
          </w:tcPr>
          <w:p>
            <w:pPr>
              <w:spacing w:after="0"/>
              <w:rPr>
                <w:sz w:val="21"/>
                <w:szCs w:val="21"/>
                <w:color w:val="auto"/>
              </w:rPr>
            </w:pPr>
          </w:p>
        </w:tc>
        <w:tc>
          <w:tcPr>
            <w:tcW w:w="1240" w:type="dxa"/>
            <w:vAlign w:val="bottom"/>
            <w:tcBorders>
              <w:bottom w:val="single" w:sz="8" w:color="CDFFCD"/>
            </w:tcBorders>
            <w:gridSpan w:val="2"/>
            <w:shd w:val="clear" w:color="auto" w:fill="CDFFCD"/>
          </w:tcPr>
          <w:p>
            <w:pPr>
              <w:jc w:val="right"/>
              <w:ind w:right="20"/>
              <w:spacing w:after="0"/>
              <w:rPr>
                <w:sz w:val="20"/>
                <w:szCs w:val="20"/>
                <w:color w:val="auto"/>
              </w:rPr>
            </w:pPr>
            <w:r>
              <w:rPr>
                <w:rFonts w:ascii="Arial" w:cs="Arial" w:eastAsia="Arial" w:hAnsi="Arial"/>
                <w:sz w:val="18"/>
                <w:szCs w:val="18"/>
                <w:color w:val="auto"/>
              </w:rPr>
              <w:t>12,397</w:t>
            </w:r>
          </w:p>
        </w:tc>
        <w:tc>
          <w:tcPr>
            <w:tcW w:w="180" w:type="dxa"/>
            <w:vAlign w:val="bottom"/>
            <w:tcBorders>
              <w:bottom w:val="single" w:sz="8" w:color="CDFFCD"/>
            </w:tcBorders>
            <w:shd w:val="clear" w:color="auto" w:fill="CDFFCD"/>
          </w:tcPr>
          <w:p>
            <w:pPr>
              <w:spacing w:after="0"/>
              <w:rPr>
                <w:sz w:val="21"/>
                <w:szCs w:val="21"/>
                <w:color w:val="auto"/>
              </w:rPr>
            </w:pPr>
          </w:p>
        </w:tc>
        <w:tc>
          <w:tcPr>
            <w:tcW w:w="1340" w:type="dxa"/>
            <w:vAlign w:val="bottom"/>
            <w:tcBorders>
              <w:bottom w:val="single" w:sz="8" w:color="CDFFCD"/>
            </w:tcBorders>
            <w:gridSpan w:val="2"/>
            <w:shd w:val="clear" w:color="auto" w:fill="CDFFCD"/>
          </w:tcPr>
          <w:p>
            <w:pPr>
              <w:jc w:val="right"/>
              <w:ind w:right="100"/>
              <w:spacing w:after="0"/>
              <w:rPr>
                <w:sz w:val="20"/>
                <w:szCs w:val="20"/>
                <w:color w:val="auto"/>
              </w:rPr>
            </w:pPr>
            <w:r>
              <w:rPr>
                <w:rFonts w:ascii="Arial" w:cs="Arial" w:eastAsia="Arial" w:hAnsi="Arial"/>
                <w:sz w:val="18"/>
                <w:szCs w:val="18"/>
                <w:color w:val="auto"/>
              </w:rPr>
              <w:t>14,509</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tcBorders>
              <w:top w:val="single" w:sz="8" w:color="CDFFCD"/>
            </w:tcBorders>
          </w:tcPr>
          <w:p>
            <w:pPr>
              <w:spacing w:after="0"/>
              <w:rPr>
                <w:sz w:val="20"/>
                <w:szCs w:val="20"/>
                <w:color w:val="auto"/>
              </w:rPr>
            </w:pPr>
          </w:p>
        </w:tc>
        <w:tc>
          <w:tcPr>
            <w:tcW w:w="1880" w:type="dxa"/>
            <w:vAlign w:val="bottom"/>
            <w:tcBorders>
              <w:top w:val="single" w:sz="8" w:color="CDFFCD"/>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197,668</w:t>
            </w:r>
          </w:p>
        </w:tc>
        <w:tc>
          <w:tcPr>
            <w:tcW w:w="20" w:type="dxa"/>
            <w:vAlign w:val="bottom"/>
            <w:tcBorders>
              <w:top w:val="single" w:sz="8" w:color="CDFFCD"/>
            </w:tcBorders>
          </w:tcPr>
          <w:p>
            <w:pPr>
              <w:spacing w:after="0"/>
              <w:rPr>
                <w:sz w:val="20"/>
                <w:szCs w:val="20"/>
                <w:color w:val="auto"/>
              </w:rPr>
            </w:pPr>
          </w:p>
        </w:tc>
        <w:tc>
          <w:tcPr>
            <w:tcW w:w="180" w:type="dxa"/>
            <w:vAlign w:val="bottom"/>
            <w:tcBorders>
              <w:top w:val="single" w:sz="8" w:color="CDFFCD"/>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117,764</w:t>
            </w:r>
          </w:p>
        </w:tc>
        <w:tc>
          <w:tcPr>
            <w:tcW w:w="100" w:type="dxa"/>
            <w:vAlign w:val="bottom"/>
            <w:tcBorders>
              <w:top w:val="single" w:sz="8" w:color="CDFFCD"/>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b w:val="1"/>
                <w:bCs w:val="1"/>
                <w:color w:val="auto"/>
              </w:rPr>
              <w:t>Non-financial instruments:</w:t>
            </w:r>
          </w:p>
        </w:tc>
        <w:tc>
          <w:tcPr>
            <w:tcW w:w="1880" w:type="dxa"/>
            <w:vAlign w:val="bottom"/>
            <w:shd w:val="clear" w:color="auto" w:fill="CDFFCD"/>
          </w:tcPr>
          <w:p>
            <w:pPr>
              <w:spacing w:after="0"/>
              <w:rPr>
                <w:sz w:val="18"/>
                <w:szCs w:val="18"/>
                <w:color w:val="auto"/>
              </w:rPr>
            </w:pPr>
          </w:p>
        </w:tc>
        <w:tc>
          <w:tcPr>
            <w:tcW w:w="1220" w:type="dxa"/>
            <w:vAlign w:val="bottom"/>
            <w:shd w:val="clear" w:color="auto" w:fill="CDFFCD"/>
          </w:tcPr>
          <w:p>
            <w:pPr>
              <w:spacing w:after="0"/>
              <w:rPr>
                <w:sz w:val="18"/>
                <w:szCs w:val="18"/>
                <w:color w:val="auto"/>
              </w:rPr>
            </w:pPr>
          </w:p>
        </w:tc>
        <w:tc>
          <w:tcPr>
            <w:tcW w:w="20" w:type="dxa"/>
            <w:vAlign w:val="bottom"/>
            <w:shd w:val="clear" w:color="auto" w:fill="CDFFCD"/>
          </w:tcPr>
          <w:p>
            <w:pPr>
              <w:spacing w:after="0"/>
              <w:rPr>
                <w:sz w:val="18"/>
                <w:szCs w:val="18"/>
                <w:color w:val="auto"/>
              </w:rPr>
            </w:pPr>
          </w:p>
        </w:tc>
        <w:tc>
          <w:tcPr>
            <w:tcW w:w="180" w:type="dxa"/>
            <w:vAlign w:val="bottom"/>
            <w:shd w:val="clear" w:color="auto" w:fill="CDFFCD"/>
          </w:tcPr>
          <w:p>
            <w:pPr>
              <w:spacing w:after="0"/>
              <w:rPr>
                <w:sz w:val="18"/>
                <w:szCs w:val="18"/>
                <w:color w:val="auto"/>
              </w:rPr>
            </w:pPr>
          </w:p>
        </w:tc>
        <w:tc>
          <w:tcPr>
            <w:tcW w:w="1240" w:type="dxa"/>
            <w:vAlign w:val="bottom"/>
            <w:shd w:val="clear" w:color="auto" w:fill="CDFFCD"/>
          </w:tcPr>
          <w:p>
            <w:pPr>
              <w:spacing w:after="0"/>
              <w:rPr>
                <w:sz w:val="18"/>
                <w:szCs w:val="18"/>
                <w:color w:val="auto"/>
              </w:rPr>
            </w:pPr>
          </w:p>
        </w:tc>
        <w:tc>
          <w:tcPr>
            <w:tcW w:w="100" w:type="dxa"/>
            <w:vAlign w:val="bottom"/>
            <w:shd w:val="clear" w:color="auto" w:fill="CDFFCD"/>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expenses (c)</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24,468</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34,721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rPr>
              <w:t>Deferred income tax asset, note 19(c)</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66,856</w:t>
            </w:r>
          </w:p>
        </w:tc>
        <w:tc>
          <w:tcPr>
            <w:tcW w:w="180" w:type="dxa"/>
            <w:vAlign w:val="bottom"/>
            <w:shd w:val="clear" w:color="auto" w:fill="CDFFCD"/>
          </w:tcPr>
          <w:p>
            <w:pPr>
              <w:spacing w:after="0"/>
              <w:rPr>
                <w:sz w:val="18"/>
                <w:szCs w:val="18"/>
                <w:color w:val="auto"/>
              </w:rPr>
            </w:pPr>
          </w:p>
        </w:tc>
        <w:tc>
          <w:tcPr>
            <w:tcW w:w="1340" w:type="dxa"/>
            <w:vAlign w:val="bottom"/>
            <w:gridSpan w:val="2"/>
            <w:shd w:val="clear" w:color="auto" w:fill="CDFFCD"/>
          </w:tcPr>
          <w:p>
            <w:pPr>
              <w:jc w:val="right"/>
              <w:ind w:right="100"/>
              <w:spacing w:after="0"/>
              <w:rPr>
                <w:sz w:val="20"/>
                <w:szCs w:val="20"/>
                <w:color w:val="auto"/>
              </w:rPr>
            </w:pPr>
            <w:r>
              <w:rPr>
                <w:rFonts w:ascii="Arial" w:cs="Arial" w:eastAsia="Arial" w:hAnsi="Arial"/>
                <w:sz w:val="18"/>
                <w:szCs w:val="18"/>
                <w:color w:val="auto"/>
              </w:rPr>
              <w:t>38,016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Deferred fees</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30,634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rPr>
              <w:t>Investments in related companies</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4,599</w:t>
            </w:r>
          </w:p>
        </w:tc>
        <w:tc>
          <w:tcPr>
            <w:tcW w:w="180" w:type="dxa"/>
            <w:vAlign w:val="bottom"/>
            <w:shd w:val="clear" w:color="auto" w:fill="CDFFCD"/>
          </w:tcPr>
          <w:p>
            <w:pPr>
              <w:spacing w:after="0"/>
              <w:rPr>
                <w:sz w:val="18"/>
                <w:szCs w:val="18"/>
                <w:color w:val="auto"/>
              </w:rPr>
            </w:pPr>
          </w:p>
        </w:tc>
        <w:tc>
          <w:tcPr>
            <w:tcW w:w="1240" w:type="dxa"/>
            <w:vAlign w:val="bottom"/>
            <w:shd w:val="clear" w:color="auto" w:fill="CDFFCD"/>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DFFCD"/>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21"/>
                <w:szCs w:val="21"/>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16,160</w:t>
            </w:r>
          </w:p>
        </w:tc>
        <w:tc>
          <w:tcPr>
            <w:tcW w:w="18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tcBorders>
              <w:bottom w:val="single" w:sz="8" w:color="CDFFCD"/>
            </w:tcBorders>
            <w:shd w:val="clear" w:color="auto" w:fill="CDFFCD"/>
          </w:tcPr>
          <w:p>
            <w:pPr>
              <w:spacing w:after="0"/>
              <w:rPr>
                <w:sz w:val="20"/>
                <w:szCs w:val="20"/>
                <w:color w:val="auto"/>
              </w:rPr>
            </w:pPr>
          </w:p>
        </w:tc>
        <w:tc>
          <w:tcPr>
            <w:tcW w:w="1880" w:type="dxa"/>
            <w:vAlign w:val="bottom"/>
            <w:tcBorders>
              <w:bottom w:val="single" w:sz="8" w:color="CDFFCD"/>
            </w:tcBorders>
            <w:shd w:val="clear" w:color="auto" w:fill="CDFFCD"/>
          </w:tcPr>
          <w:p>
            <w:pPr>
              <w:spacing w:after="0"/>
              <w:rPr>
                <w:sz w:val="20"/>
                <w:szCs w:val="20"/>
                <w:color w:val="auto"/>
              </w:rPr>
            </w:pPr>
          </w:p>
        </w:tc>
        <w:tc>
          <w:tcPr>
            <w:tcW w:w="1240" w:type="dxa"/>
            <w:vAlign w:val="bottom"/>
            <w:tcBorders>
              <w:bottom w:val="single" w:sz="8" w:color="CDFFCD"/>
            </w:tcBorders>
            <w:gridSpan w:val="2"/>
            <w:shd w:val="clear" w:color="auto" w:fill="CDFFCD"/>
          </w:tcPr>
          <w:p>
            <w:pPr>
              <w:jc w:val="right"/>
              <w:ind w:right="20"/>
              <w:spacing w:after="0"/>
              <w:rPr>
                <w:sz w:val="20"/>
                <w:szCs w:val="20"/>
                <w:color w:val="auto"/>
              </w:rPr>
            </w:pPr>
            <w:r>
              <w:rPr>
                <w:rFonts w:ascii="Arial" w:cs="Arial" w:eastAsia="Arial" w:hAnsi="Arial"/>
                <w:sz w:val="18"/>
                <w:szCs w:val="18"/>
                <w:color w:val="auto"/>
              </w:rPr>
              <w:t>142,717</w:t>
            </w:r>
          </w:p>
        </w:tc>
        <w:tc>
          <w:tcPr>
            <w:tcW w:w="180" w:type="dxa"/>
            <w:vAlign w:val="bottom"/>
            <w:tcBorders>
              <w:bottom w:val="single" w:sz="8" w:color="CDFFCD"/>
            </w:tcBorders>
            <w:shd w:val="clear" w:color="auto" w:fill="CDFFCD"/>
          </w:tcPr>
          <w:p>
            <w:pPr>
              <w:spacing w:after="0"/>
              <w:rPr>
                <w:sz w:val="20"/>
                <w:szCs w:val="20"/>
                <w:color w:val="auto"/>
              </w:rPr>
            </w:pPr>
          </w:p>
        </w:tc>
        <w:tc>
          <w:tcPr>
            <w:tcW w:w="1240" w:type="dxa"/>
            <w:vAlign w:val="bottom"/>
            <w:tcBorders>
              <w:bottom w:val="single" w:sz="8" w:color="CDFFCD"/>
            </w:tcBorders>
            <w:shd w:val="clear" w:color="auto" w:fill="CDFFCD"/>
          </w:tcPr>
          <w:p>
            <w:pPr>
              <w:jc w:val="right"/>
              <w:spacing w:after="0"/>
              <w:rPr>
                <w:sz w:val="20"/>
                <w:szCs w:val="20"/>
                <w:color w:val="auto"/>
              </w:rPr>
            </w:pPr>
            <w:r>
              <w:rPr>
                <w:rFonts w:ascii="Arial" w:cs="Arial" w:eastAsia="Arial" w:hAnsi="Arial"/>
                <w:sz w:val="18"/>
                <w:szCs w:val="18"/>
                <w:color w:val="auto"/>
              </w:rPr>
              <w:t>102,308</w:t>
            </w:r>
          </w:p>
        </w:tc>
        <w:tc>
          <w:tcPr>
            <w:tcW w:w="100" w:type="dxa"/>
            <w:vAlign w:val="bottom"/>
            <w:tcBorders>
              <w:bottom w:val="single" w:sz="8" w:color="CDFFCD"/>
            </w:tcBorders>
            <w:shd w:val="clear" w:color="auto" w:fill="CDFFCD"/>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tcBorders>
              <w:top w:val="single" w:sz="8" w:color="CDFFCD"/>
            </w:tcBorders>
          </w:tcPr>
          <w:p>
            <w:pPr>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top w:val="single" w:sz="8" w:color="CDFFCD"/>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340,385</w:t>
            </w:r>
          </w:p>
        </w:tc>
        <w:tc>
          <w:tcPr>
            <w:tcW w:w="20" w:type="dxa"/>
            <w:vAlign w:val="bottom"/>
            <w:tcBorders>
              <w:top w:val="single" w:sz="8" w:color="CDFFCD"/>
            </w:tcBorders>
          </w:tcPr>
          <w:p>
            <w:pPr>
              <w:spacing w:after="0"/>
              <w:rPr>
                <w:sz w:val="20"/>
                <w:szCs w:val="20"/>
                <w:color w:val="auto"/>
              </w:rPr>
            </w:pPr>
          </w:p>
        </w:tc>
        <w:tc>
          <w:tcPr>
            <w:tcW w:w="180" w:type="dxa"/>
            <w:vAlign w:val="bottom"/>
            <w:tcBorders>
              <w:top w:val="single" w:sz="8" w:color="CDFFCD"/>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220,072</w:t>
            </w:r>
          </w:p>
        </w:tc>
        <w:tc>
          <w:tcPr>
            <w:tcW w:w="100" w:type="dxa"/>
            <w:vAlign w:val="bottom"/>
            <w:tcBorders>
              <w:top w:val="single" w:sz="8" w:color="CDFFCD"/>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b w:val="1"/>
                <w:bCs w:val="1"/>
                <w:color w:val="auto"/>
              </w:rPr>
              <w:t>Other liabilities -</w:t>
            </w:r>
          </w:p>
        </w:tc>
        <w:tc>
          <w:tcPr>
            <w:tcW w:w="1880" w:type="dxa"/>
            <w:vAlign w:val="bottom"/>
            <w:shd w:val="clear" w:color="auto" w:fill="CDFFCD"/>
          </w:tcPr>
          <w:p>
            <w:pPr>
              <w:spacing w:after="0"/>
              <w:rPr>
                <w:sz w:val="18"/>
                <w:szCs w:val="18"/>
                <w:color w:val="auto"/>
              </w:rPr>
            </w:pPr>
          </w:p>
        </w:tc>
        <w:tc>
          <w:tcPr>
            <w:tcW w:w="1220" w:type="dxa"/>
            <w:vAlign w:val="bottom"/>
            <w:shd w:val="clear" w:color="auto" w:fill="CDFFCD"/>
          </w:tcPr>
          <w:p>
            <w:pPr>
              <w:spacing w:after="0"/>
              <w:rPr>
                <w:sz w:val="18"/>
                <w:szCs w:val="18"/>
                <w:color w:val="auto"/>
              </w:rPr>
            </w:pPr>
          </w:p>
        </w:tc>
        <w:tc>
          <w:tcPr>
            <w:tcW w:w="20" w:type="dxa"/>
            <w:vAlign w:val="bottom"/>
            <w:shd w:val="clear" w:color="auto" w:fill="CDFFCD"/>
          </w:tcPr>
          <w:p>
            <w:pPr>
              <w:spacing w:after="0"/>
              <w:rPr>
                <w:sz w:val="18"/>
                <w:szCs w:val="18"/>
                <w:color w:val="auto"/>
              </w:rPr>
            </w:pPr>
          </w:p>
        </w:tc>
        <w:tc>
          <w:tcPr>
            <w:tcW w:w="180" w:type="dxa"/>
            <w:vAlign w:val="bottom"/>
            <w:shd w:val="clear" w:color="auto" w:fill="CDFFCD"/>
          </w:tcPr>
          <w:p>
            <w:pPr>
              <w:spacing w:after="0"/>
              <w:rPr>
                <w:sz w:val="18"/>
                <w:szCs w:val="18"/>
                <w:color w:val="auto"/>
              </w:rPr>
            </w:pPr>
          </w:p>
        </w:tc>
        <w:tc>
          <w:tcPr>
            <w:tcW w:w="1240" w:type="dxa"/>
            <w:vAlign w:val="bottom"/>
            <w:shd w:val="clear" w:color="auto" w:fill="CDFFCD"/>
          </w:tcPr>
          <w:p>
            <w:pPr>
              <w:spacing w:after="0"/>
              <w:rPr>
                <w:sz w:val="18"/>
                <w:szCs w:val="18"/>
                <w:color w:val="auto"/>
              </w:rPr>
            </w:pPr>
          </w:p>
        </w:tc>
        <w:tc>
          <w:tcPr>
            <w:tcW w:w="100" w:type="dxa"/>
            <w:vAlign w:val="bottom"/>
            <w:shd w:val="clear" w:color="auto" w:fill="CDFFCD"/>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w w:val="95"/>
              </w:rPr>
              <w:t>Payroll, taxes, salaries and other personnel expenses</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181,223</w:t>
            </w:r>
          </w:p>
        </w:tc>
        <w:tc>
          <w:tcPr>
            <w:tcW w:w="180" w:type="dxa"/>
            <w:vAlign w:val="bottom"/>
            <w:shd w:val="clear" w:color="auto" w:fill="CDFFCD"/>
          </w:tcPr>
          <w:p>
            <w:pPr>
              <w:spacing w:after="0"/>
              <w:rPr>
                <w:sz w:val="18"/>
                <w:szCs w:val="18"/>
                <w:color w:val="auto"/>
              </w:rPr>
            </w:pPr>
          </w:p>
        </w:tc>
        <w:tc>
          <w:tcPr>
            <w:tcW w:w="1240" w:type="dxa"/>
            <w:vAlign w:val="bottom"/>
            <w:shd w:val="clear" w:color="auto" w:fill="CDFFCD"/>
          </w:tcPr>
          <w:p>
            <w:pPr>
              <w:jc w:val="right"/>
              <w:spacing w:after="0"/>
              <w:rPr>
                <w:sz w:val="20"/>
                <w:szCs w:val="20"/>
                <w:color w:val="auto"/>
              </w:rPr>
            </w:pPr>
            <w:r>
              <w:rPr>
                <w:rFonts w:ascii="Arial" w:cs="Arial" w:eastAsia="Arial" w:hAnsi="Arial"/>
                <w:sz w:val="18"/>
                <w:szCs w:val="18"/>
                <w:color w:val="auto"/>
              </w:rPr>
              <w:t>104,635</w:t>
            </w:r>
          </w:p>
        </w:tc>
        <w:tc>
          <w:tcPr>
            <w:tcW w:w="100" w:type="dxa"/>
            <w:vAlign w:val="bottom"/>
            <w:shd w:val="clear" w:color="auto" w:fill="CDFFCD"/>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Accounts payable</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122,029</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79,039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rPr>
              <w:t>Derivatives payable (b)</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69,662</w:t>
            </w:r>
          </w:p>
        </w:tc>
        <w:tc>
          <w:tcPr>
            <w:tcW w:w="180" w:type="dxa"/>
            <w:vAlign w:val="bottom"/>
            <w:shd w:val="clear" w:color="auto" w:fill="CDFFCD"/>
          </w:tcPr>
          <w:p>
            <w:pPr>
              <w:spacing w:after="0"/>
              <w:rPr>
                <w:sz w:val="18"/>
                <w:szCs w:val="18"/>
                <w:color w:val="auto"/>
              </w:rPr>
            </w:pPr>
          </w:p>
        </w:tc>
        <w:tc>
          <w:tcPr>
            <w:tcW w:w="1240" w:type="dxa"/>
            <w:vAlign w:val="bottom"/>
            <w:shd w:val="clear" w:color="auto" w:fill="CDFFCD"/>
          </w:tcPr>
          <w:p>
            <w:pPr>
              <w:jc w:val="right"/>
              <w:spacing w:after="0"/>
              <w:rPr>
                <w:sz w:val="20"/>
                <w:szCs w:val="20"/>
                <w:color w:val="auto"/>
              </w:rPr>
            </w:pPr>
            <w:r>
              <w:rPr>
                <w:rFonts w:ascii="Arial" w:cs="Arial" w:eastAsia="Arial" w:hAnsi="Arial"/>
                <w:sz w:val="18"/>
                <w:szCs w:val="18"/>
                <w:color w:val="auto"/>
              </w:rPr>
              <w:t>7,774</w:t>
            </w:r>
          </w:p>
        </w:tc>
        <w:tc>
          <w:tcPr>
            <w:tcW w:w="100" w:type="dxa"/>
            <w:vAlign w:val="bottom"/>
            <w:shd w:val="clear" w:color="auto" w:fill="CDFFCD"/>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Operations in process (d)</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36,063</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41,606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rPr>
              <w:t>Contributions</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31,618</w:t>
            </w:r>
          </w:p>
        </w:tc>
        <w:tc>
          <w:tcPr>
            <w:tcW w:w="180" w:type="dxa"/>
            <w:vAlign w:val="bottom"/>
            <w:shd w:val="clear" w:color="auto" w:fill="CDFFCD"/>
          </w:tcPr>
          <w:p>
            <w:pPr>
              <w:spacing w:after="0"/>
              <w:rPr>
                <w:sz w:val="18"/>
                <w:szCs w:val="18"/>
                <w:color w:val="auto"/>
              </w:rPr>
            </w:pPr>
          </w:p>
        </w:tc>
        <w:tc>
          <w:tcPr>
            <w:tcW w:w="1340" w:type="dxa"/>
            <w:vAlign w:val="bottom"/>
            <w:gridSpan w:val="2"/>
            <w:shd w:val="clear" w:color="auto" w:fill="CDFFCD"/>
          </w:tcPr>
          <w:p>
            <w:pPr>
              <w:jc w:val="right"/>
              <w:ind w:right="100"/>
              <w:spacing w:after="0"/>
              <w:rPr>
                <w:sz w:val="20"/>
                <w:szCs w:val="20"/>
                <w:color w:val="auto"/>
              </w:rPr>
            </w:pPr>
            <w:r>
              <w:rPr>
                <w:rFonts w:ascii="Arial" w:cs="Arial" w:eastAsia="Arial" w:hAnsi="Arial"/>
                <w:sz w:val="18"/>
                <w:szCs w:val="18"/>
                <w:color w:val="auto"/>
              </w:rPr>
              <w:t>12,154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Allowance for indirect loan losses, note 7(d)</w:t>
            </w:r>
          </w:p>
        </w:tc>
        <w:tc>
          <w:tcPr>
            <w:tcW w:w="1880" w:type="dxa"/>
            <w:vAlign w:val="bottom"/>
          </w:tcPr>
          <w:p>
            <w:pPr>
              <w:spacing w:after="0"/>
              <w:rPr>
                <w:sz w:val="21"/>
                <w:szCs w:val="21"/>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18,381</w:t>
            </w:r>
          </w:p>
        </w:tc>
        <w:tc>
          <w:tcPr>
            <w:tcW w:w="18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tcBorders>
              <w:bottom w:val="single" w:sz="8" w:color="CDFFCD"/>
            </w:tcBorders>
            <w:shd w:val="clear" w:color="auto" w:fill="CDFFCD"/>
          </w:tcPr>
          <w:p>
            <w:pPr>
              <w:spacing w:after="0"/>
              <w:rPr>
                <w:sz w:val="20"/>
                <w:szCs w:val="20"/>
                <w:color w:val="auto"/>
              </w:rPr>
            </w:pPr>
          </w:p>
        </w:tc>
        <w:tc>
          <w:tcPr>
            <w:tcW w:w="3120" w:type="dxa"/>
            <w:vAlign w:val="bottom"/>
            <w:tcBorders>
              <w:bottom w:val="single" w:sz="8" w:color="CDFFCD"/>
            </w:tcBorders>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458,976</w:t>
            </w:r>
          </w:p>
        </w:tc>
        <w:tc>
          <w:tcPr>
            <w:tcW w:w="180" w:type="dxa"/>
            <w:vAlign w:val="bottom"/>
            <w:tcBorders>
              <w:bottom w:val="single" w:sz="8" w:color="CDFFCD"/>
            </w:tcBorders>
            <w:shd w:val="clear" w:color="auto" w:fill="CDFFCD"/>
          </w:tcPr>
          <w:p>
            <w:pPr>
              <w:spacing w:after="0"/>
              <w:rPr>
                <w:sz w:val="20"/>
                <w:szCs w:val="20"/>
                <w:color w:val="auto"/>
              </w:rPr>
            </w:pPr>
          </w:p>
        </w:tc>
        <w:tc>
          <w:tcPr>
            <w:tcW w:w="1240" w:type="dxa"/>
            <w:vAlign w:val="bottom"/>
            <w:tcBorders>
              <w:bottom w:val="single" w:sz="8" w:color="CDFFCD"/>
            </w:tcBorders>
            <w:shd w:val="clear" w:color="auto" w:fill="CDFFCD"/>
          </w:tcPr>
          <w:p>
            <w:pPr>
              <w:jc w:val="right"/>
              <w:spacing w:after="0"/>
              <w:rPr>
                <w:sz w:val="20"/>
                <w:szCs w:val="20"/>
                <w:color w:val="auto"/>
              </w:rPr>
            </w:pPr>
            <w:r>
              <w:rPr>
                <w:rFonts w:ascii="Arial" w:cs="Arial" w:eastAsia="Arial" w:hAnsi="Arial"/>
                <w:sz w:val="18"/>
                <w:szCs w:val="18"/>
                <w:color w:val="auto"/>
              </w:rPr>
              <w:t>265,516</w:t>
            </w:r>
          </w:p>
        </w:tc>
        <w:tc>
          <w:tcPr>
            <w:tcW w:w="100" w:type="dxa"/>
            <w:vAlign w:val="bottom"/>
            <w:tcBorders>
              <w:bottom w:val="single" w:sz="8" w:color="CDFFCD"/>
            </w:tcBorders>
            <w:shd w:val="clear" w:color="auto" w:fill="CDFFCD"/>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Borders>
              <w:top w:val="single" w:sz="8" w:color="CDFFCD"/>
            </w:tcBorders>
          </w:tcPr>
          <w:p>
            <w:pPr>
              <w:spacing w:after="0"/>
              <w:rPr>
                <w:sz w:val="20"/>
                <w:szCs w:val="20"/>
                <w:color w:val="auto"/>
              </w:rPr>
            </w:pPr>
            <w:r>
              <w:rPr>
                <w:rFonts w:ascii="Arial" w:cs="Arial" w:eastAsia="Arial" w:hAnsi="Arial"/>
                <w:sz w:val="18"/>
                <w:szCs w:val="18"/>
                <w:b w:val="1"/>
                <w:bCs w:val="1"/>
                <w:color w:val="auto"/>
              </w:rPr>
              <w:t>Non-financial instruments:</w:t>
            </w:r>
          </w:p>
        </w:tc>
        <w:tc>
          <w:tcPr>
            <w:tcW w:w="1880" w:type="dxa"/>
            <w:vAlign w:val="bottom"/>
            <w:tcBorders>
              <w:top w:val="single" w:sz="8" w:color="CDFFCD"/>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CDFFCD"/>
            </w:tcBorders>
          </w:tcPr>
          <w:p>
            <w:pPr>
              <w:spacing w:after="0"/>
              <w:rPr>
                <w:sz w:val="18"/>
                <w:szCs w:val="18"/>
                <w:color w:val="auto"/>
              </w:rPr>
            </w:pPr>
          </w:p>
        </w:tc>
        <w:tc>
          <w:tcPr>
            <w:tcW w:w="180" w:type="dxa"/>
            <w:vAlign w:val="bottom"/>
            <w:tcBorders>
              <w:top w:val="single" w:sz="8" w:color="CDFFCD"/>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DFFCD"/>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shd w:val="clear" w:color="auto" w:fill="CDFFCD"/>
          </w:tcPr>
          <w:p>
            <w:pPr>
              <w:spacing w:after="0"/>
              <w:rPr>
                <w:sz w:val="20"/>
                <w:szCs w:val="20"/>
                <w:color w:val="auto"/>
              </w:rPr>
            </w:pPr>
            <w:r>
              <w:rPr>
                <w:rFonts w:ascii="Arial" w:cs="Arial" w:eastAsia="Arial" w:hAnsi="Arial"/>
                <w:sz w:val="18"/>
                <w:szCs w:val="18"/>
                <w:color w:val="auto"/>
              </w:rPr>
              <w:t>Deferred income tax liability, note 19(c)</w:t>
            </w:r>
          </w:p>
        </w:tc>
        <w:tc>
          <w:tcPr>
            <w:tcW w:w="3120" w:type="dxa"/>
            <w:vAlign w:val="bottom"/>
            <w:gridSpan w:val="3"/>
            <w:shd w:val="clear" w:color="auto" w:fill="CDFFCD"/>
          </w:tcPr>
          <w:p>
            <w:pPr>
              <w:jc w:val="right"/>
              <w:ind w:right="20"/>
              <w:spacing w:after="0"/>
              <w:rPr>
                <w:sz w:val="20"/>
                <w:szCs w:val="20"/>
                <w:color w:val="auto"/>
              </w:rPr>
            </w:pPr>
            <w:r>
              <w:rPr>
                <w:rFonts w:ascii="Arial" w:cs="Arial" w:eastAsia="Arial" w:hAnsi="Arial"/>
                <w:sz w:val="18"/>
                <w:szCs w:val="18"/>
                <w:color w:val="auto"/>
              </w:rPr>
              <w:t>89,825</w:t>
            </w:r>
          </w:p>
        </w:tc>
        <w:tc>
          <w:tcPr>
            <w:tcW w:w="180" w:type="dxa"/>
            <w:vAlign w:val="bottom"/>
            <w:shd w:val="clear" w:color="auto" w:fill="CDFFCD"/>
          </w:tcPr>
          <w:p>
            <w:pPr>
              <w:spacing w:after="0"/>
              <w:rPr>
                <w:sz w:val="18"/>
                <w:szCs w:val="18"/>
                <w:color w:val="auto"/>
              </w:rPr>
            </w:pPr>
          </w:p>
        </w:tc>
        <w:tc>
          <w:tcPr>
            <w:tcW w:w="1340" w:type="dxa"/>
            <w:vAlign w:val="bottom"/>
            <w:gridSpan w:val="2"/>
            <w:shd w:val="clear" w:color="auto" w:fill="CDFFCD"/>
          </w:tcPr>
          <w:p>
            <w:pPr>
              <w:jc w:val="right"/>
              <w:ind w:right="100"/>
              <w:spacing w:after="0"/>
              <w:rPr>
                <w:sz w:val="20"/>
                <w:szCs w:val="20"/>
                <w:color w:val="auto"/>
              </w:rPr>
            </w:pPr>
            <w:r>
              <w:rPr>
                <w:rFonts w:ascii="Arial" w:cs="Arial" w:eastAsia="Arial" w:hAnsi="Arial"/>
                <w:sz w:val="18"/>
                <w:szCs w:val="18"/>
                <w:color w:val="auto"/>
              </w:rPr>
              <w:t>65,810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Provision for sundry risks (e)</w:t>
            </w:r>
          </w:p>
        </w:tc>
        <w:tc>
          <w:tcPr>
            <w:tcW w:w="3120" w:type="dxa"/>
            <w:vAlign w:val="bottom"/>
            <w:gridSpan w:val="3"/>
          </w:tcPr>
          <w:p>
            <w:pPr>
              <w:jc w:val="right"/>
              <w:ind w:right="20"/>
              <w:spacing w:after="0"/>
              <w:rPr>
                <w:sz w:val="20"/>
                <w:szCs w:val="20"/>
                <w:color w:val="auto"/>
              </w:rPr>
            </w:pPr>
            <w:r>
              <w:rPr>
                <w:rFonts w:ascii="Arial" w:cs="Arial" w:eastAsia="Arial" w:hAnsi="Arial"/>
                <w:sz w:val="18"/>
                <w:szCs w:val="18"/>
                <w:color w:val="auto"/>
              </w:rPr>
              <w:t>24,038</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17,179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80" w:type="dxa"/>
            <w:vAlign w:val="bottom"/>
            <w:tcBorders>
              <w:bottom w:val="single" w:sz="8" w:color="CDFFCD"/>
            </w:tcBorders>
            <w:shd w:val="clear" w:color="auto" w:fill="CDFFCD"/>
          </w:tcPr>
          <w:p>
            <w:pPr>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DFFCD"/>
            </w:tcBorders>
            <w:shd w:val="clear" w:color="auto" w:fill="CDFFCD"/>
          </w:tcPr>
          <w:p>
            <w:pPr>
              <w:spacing w:after="0"/>
              <w:rPr>
                <w:sz w:val="21"/>
                <w:szCs w:val="21"/>
                <w:color w:val="auto"/>
              </w:rPr>
            </w:pPr>
          </w:p>
        </w:tc>
        <w:tc>
          <w:tcPr>
            <w:tcW w:w="1240" w:type="dxa"/>
            <w:vAlign w:val="bottom"/>
            <w:tcBorders>
              <w:bottom w:val="single" w:sz="8" w:color="CDFFCD"/>
            </w:tcBorders>
            <w:gridSpan w:val="2"/>
            <w:shd w:val="clear" w:color="auto" w:fill="CDFFCD"/>
          </w:tcPr>
          <w:p>
            <w:pPr>
              <w:jc w:val="right"/>
              <w:ind w:right="20"/>
              <w:spacing w:after="0"/>
              <w:rPr>
                <w:sz w:val="20"/>
                <w:szCs w:val="20"/>
                <w:color w:val="auto"/>
              </w:rPr>
            </w:pPr>
            <w:r>
              <w:rPr>
                <w:rFonts w:ascii="Arial" w:cs="Arial" w:eastAsia="Arial" w:hAnsi="Arial"/>
                <w:sz w:val="18"/>
                <w:szCs w:val="18"/>
                <w:color w:val="auto"/>
              </w:rPr>
              <w:t>17,206</w:t>
            </w:r>
          </w:p>
        </w:tc>
        <w:tc>
          <w:tcPr>
            <w:tcW w:w="180" w:type="dxa"/>
            <w:vAlign w:val="bottom"/>
            <w:tcBorders>
              <w:bottom w:val="single" w:sz="8" w:color="CDFFCD"/>
            </w:tcBorders>
            <w:shd w:val="clear" w:color="auto" w:fill="CDFFCD"/>
          </w:tcPr>
          <w:p>
            <w:pPr>
              <w:spacing w:after="0"/>
              <w:rPr>
                <w:sz w:val="21"/>
                <w:szCs w:val="21"/>
                <w:color w:val="auto"/>
              </w:rPr>
            </w:pPr>
          </w:p>
        </w:tc>
        <w:tc>
          <w:tcPr>
            <w:tcW w:w="1240" w:type="dxa"/>
            <w:vAlign w:val="bottom"/>
            <w:tcBorders>
              <w:bottom w:val="single" w:sz="8" w:color="CDFFCD"/>
            </w:tcBorders>
            <w:shd w:val="clear" w:color="auto" w:fill="CDFFCD"/>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DFFCD"/>
            </w:tcBorders>
            <w:shd w:val="clear" w:color="auto" w:fill="CDFFCD"/>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Borders>
              <w:top w:val="single" w:sz="8" w:color="CDFFCD"/>
            </w:tcBorders>
          </w:tcPr>
          <w:p>
            <w:pPr>
              <w:spacing w:after="0"/>
              <w:rPr>
                <w:sz w:val="18"/>
                <w:szCs w:val="18"/>
                <w:color w:val="auto"/>
              </w:rPr>
            </w:pPr>
          </w:p>
        </w:tc>
        <w:tc>
          <w:tcPr>
            <w:tcW w:w="1880" w:type="dxa"/>
            <w:vAlign w:val="bottom"/>
            <w:tcBorders>
              <w:top w:val="single" w:sz="8" w:color="CDFFCD"/>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CDFFCD"/>
            </w:tcBorders>
          </w:tcPr>
          <w:p>
            <w:pPr>
              <w:spacing w:after="0"/>
              <w:rPr>
                <w:sz w:val="18"/>
                <w:szCs w:val="18"/>
                <w:color w:val="auto"/>
              </w:rPr>
            </w:pPr>
          </w:p>
        </w:tc>
        <w:tc>
          <w:tcPr>
            <w:tcW w:w="180" w:type="dxa"/>
            <w:vAlign w:val="bottom"/>
            <w:tcBorders>
              <w:top w:val="single" w:sz="8" w:color="CDFFCD"/>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DFFCD"/>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80" w:type="dxa"/>
            <w:vAlign w:val="bottom"/>
            <w:tcBorders>
              <w:bottom w:val="single" w:sz="8" w:color="CDFFCD"/>
            </w:tcBorders>
            <w:shd w:val="clear" w:color="auto" w:fill="CDFFCD"/>
          </w:tcPr>
          <w:p>
            <w:pPr>
              <w:spacing w:after="0"/>
              <w:rPr>
                <w:sz w:val="21"/>
                <w:szCs w:val="21"/>
                <w:color w:val="auto"/>
              </w:rPr>
            </w:pPr>
          </w:p>
        </w:tc>
        <w:tc>
          <w:tcPr>
            <w:tcW w:w="1880" w:type="dxa"/>
            <w:vAlign w:val="bottom"/>
            <w:tcBorders>
              <w:bottom w:val="single" w:sz="8" w:color="CDFFCD"/>
            </w:tcBorders>
            <w:shd w:val="clear" w:color="auto" w:fill="CDFFCD"/>
          </w:tcPr>
          <w:p>
            <w:pPr>
              <w:spacing w:after="0"/>
              <w:rPr>
                <w:sz w:val="21"/>
                <w:szCs w:val="21"/>
                <w:color w:val="auto"/>
              </w:rPr>
            </w:pPr>
          </w:p>
        </w:tc>
        <w:tc>
          <w:tcPr>
            <w:tcW w:w="1240" w:type="dxa"/>
            <w:vAlign w:val="bottom"/>
            <w:tcBorders>
              <w:bottom w:val="single" w:sz="8" w:color="CDFFCD"/>
            </w:tcBorders>
            <w:gridSpan w:val="2"/>
            <w:shd w:val="clear" w:color="auto" w:fill="CDFFCD"/>
          </w:tcPr>
          <w:p>
            <w:pPr>
              <w:jc w:val="right"/>
              <w:ind w:right="20"/>
              <w:spacing w:after="0"/>
              <w:rPr>
                <w:sz w:val="20"/>
                <w:szCs w:val="20"/>
                <w:color w:val="auto"/>
              </w:rPr>
            </w:pPr>
            <w:r>
              <w:rPr>
                <w:rFonts w:ascii="Arial" w:cs="Arial" w:eastAsia="Arial" w:hAnsi="Arial"/>
                <w:sz w:val="18"/>
                <w:szCs w:val="18"/>
                <w:color w:val="auto"/>
              </w:rPr>
              <w:t>131,069</w:t>
            </w:r>
          </w:p>
        </w:tc>
        <w:tc>
          <w:tcPr>
            <w:tcW w:w="180" w:type="dxa"/>
            <w:vAlign w:val="bottom"/>
            <w:tcBorders>
              <w:bottom w:val="single" w:sz="8" w:color="CDFFCD"/>
            </w:tcBorders>
            <w:shd w:val="clear" w:color="auto" w:fill="CDFFCD"/>
          </w:tcPr>
          <w:p>
            <w:pPr>
              <w:spacing w:after="0"/>
              <w:rPr>
                <w:sz w:val="21"/>
                <w:szCs w:val="21"/>
                <w:color w:val="auto"/>
              </w:rPr>
            </w:pPr>
          </w:p>
        </w:tc>
        <w:tc>
          <w:tcPr>
            <w:tcW w:w="1340" w:type="dxa"/>
            <w:vAlign w:val="bottom"/>
            <w:tcBorders>
              <w:bottom w:val="single" w:sz="8" w:color="CDFFCD"/>
            </w:tcBorders>
            <w:gridSpan w:val="2"/>
            <w:shd w:val="clear" w:color="auto" w:fill="CDFFCD"/>
          </w:tcPr>
          <w:p>
            <w:pPr>
              <w:jc w:val="right"/>
              <w:ind w:right="100"/>
              <w:spacing w:after="0"/>
              <w:rPr>
                <w:sz w:val="20"/>
                <w:szCs w:val="20"/>
                <w:color w:val="auto"/>
              </w:rPr>
            </w:pPr>
            <w:r>
              <w:rPr>
                <w:rFonts w:ascii="Arial" w:cs="Arial" w:eastAsia="Arial" w:hAnsi="Arial"/>
                <w:sz w:val="18"/>
                <w:szCs w:val="18"/>
                <w:color w:val="auto"/>
              </w:rPr>
              <w:t>90,597</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tcBorders>
              <w:top w:val="single" w:sz="8" w:color="CDFFCD"/>
            </w:tcBorders>
          </w:tcPr>
          <w:p>
            <w:pPr>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top w:val="single" w:sz="8" w:color="CDFFCD"/>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590,045</w:t>
            </w:r>
          </w:p>
        </w:tc>
        <w:tc>
          <w:tcPr>
            <w:tcW w:w="20" w:type="dxa"/>
            <w:vAlign w:val="bottom"/>
            <w:tcBorders>
              <w:top w:val="single" w:sz="8" w:color="CDFFCD"/>
            </w:tcBorders>
          </w:tcPr>
          <w:p>
            <w:pPr>
              <w:spacing w:after="0"/>
              <w:rPr>
                <w:sz w:val="18"/>
                <w:szCs w:val="18"/>
                <w:color w:val="auto"/>
              </w:rPr>
            </w:pPr>
          </w:p>
        </w:tc>
        <w:tc>
          <w:tcPr>
            <w:tcW w:w="180" w:type="dxa"/>
            <w:vAlign w:val="bottom"/>
            <w:tcBorders>
              <w:top w:val="single" w:sz="8" w:color="CDFFCD"/>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356,113</w:t>
            </w:r>
          </w:p>
        </w:tc>
        <w:tc>
          <w:tcPr>
            <w:tcW w:w="100" w:type="dxa"/>
            <w:vAlign w:val="bottom"/>
            <w:tcBorders>
              <w:top w:val="single" w:sz="8" w:color="CDFFCD"/>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00" w:type="dxa"/>
            <w:vAlign w:val="bottom"/>
            <w:gridSpan w:val="4"/>
          </w:tcPr>
          <w:p>
            <w:pPr>
              <w:ind w:left="320"/>
              <w:spacing w:after="0"/>
              <w:rPr>
                <w:sz w:val="20"/>
                <w:szCs w:val="20"/>
                <w:color w:val="auto"/>
              </w:rPr>
            </w:pPr>
            <w:r>
              <w:rPr>
                <w:rFonts w:ascii="Arial" w:cs="Arial" w:eastAsia="Arial" w:hAnsi="Arial"/>
                <w:sz w:val="18"/>
                <w:szCs w:val="18"/>
                <w:color w:val="auto"/>
              </w:rPr>
              <w:t>F-55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line="259" w:lineRule="auto"/>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table below shows the fair value of derivative financial instruments, recorded as assets or liabilities, together with their notional amounts. The notional amount, recorded gross, is the amount of a derivative’s underlying asset and is the basis upon which changes in the value of derivatives are measured. The notional amounts indicate the volume of transactions outstanding at the year end and are not indicative of the market risk nor the credit risk, note 21(d).</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81"/>
              </w:rPr>
              <w:t>Assets</w:t>
            </w:r>
          </w:p>
        </w:tc>
        <w:tc>
          <w:tcPr>
            <w:tcW w:w="1400" w:type="dxa"/>
            <w:vAlign w:val="bottom"/>
            <w:gridSpan w:val="2"/>
          </w:tcPr>
          <w:p>
            <w:pPr>
              <w:jc w:val="right"/>
              <w:ind w:right="420"/>
              <w:spacing w:after="0" w:line="195" w:lineRule="exact"/>
              <w:rPr>
                <w:sz w:val="20"/>
                <w:szCs w:val="20"/>
                <w:color w:val="auto"/>
              </w:rPr>
            </w:pPr>
            <w:r>
              <w:rPr>
                <w:rFonts w:ascii="Arial" w:cs="Arial" w:eastAsia="Arial" w:hAnsi="Arial"/>
                <w:sz w:val="18"/>
                <w:szCs w:val="18"/>
                <w:b w:val="1"/>
                <w:bCs w:val="1"/>
                <w:color w:val="auto"/>
              </w:rPr>
              <w:t>Liabilities</w:t>
            </w:r>
          </w:p>
        </w:tc>
        <w:tc>
          <w:tcPr>
            <w:tcW w:w="1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Notional 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Derivatives held for trading (i) -</w:t>
            </w: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36,546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19,414</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2,210,179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9,297</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10,986</w:t>
            </w: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swaps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1,194</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118,552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w w:val="93"/>
              </w:rPr>
              <w:t>Derivatives held as cash flow and fair value hedge (ii) -</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37,433</w:t>
            </w: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696,000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Cross Currency Swap</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50,420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45,843</w:t>
            </w: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69,662</w:t>
            </w:r>
          </w:p>
        </w:tc>
        <w:tc>
          <w:tcPr>
            <w:tcW w:w="20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3,656,992</w:t>
            </w:r>
          </w:p>
        </w:tc>
        <w:tc>
          <w:tcPr>
            <w:tcW w:w="8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81"/>
              </w:rPr>
              <w:t>Assets</w:t>
            </w:r>
          </w:p>
        </w:tc>
        <w:tc>
          <w:tcPr>
            <w:tcW w:w="1400" w:type="dxa"/>
            <w:vAlign w:val="bottom"/>
            <w:gridSpan w:val="2"/>
          </w:tcPr>
          <w:p>
            <w:pPr>
              <w:jc w:val="right"/>
              <w:ind w:right="420"/>
              <w:spacing w:after="0" w:line="195" w:lineRule="exact"/>
              <w:rPr>
                <w:sz w:val="20"/>
                <w:szCs w:val="20"/>
                <w:color w:val="auto"/>
              </w:rPr>
            </w:pPr>
            <w:r>
              <w:rPr>
                <w:rFonts w:ascii="Arial" w:cs="Arial" w:eastAsia="Arial" w:hAnsi="Arial"/>
                <w:sz w:val="18"/>
                <w:szCs w:val="18"/>
                <w:b w:val="1"/>
                <w:bCs w:val="1"/>
                <w:color w:val="auto"/>
              </w:rPr>
              <w:t>Liabilities</w:t>
            </w:r>
          </w:p>
        </w:tc>
        <w:tc>
          <w:tcPr>
            <w:tcW w:w="1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Notional 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Derivatives held for trading (i) -</w:t>
            </w: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1200" w:type="dxa"/>
            <w:vAlign w:val="bottom"/>
          </w:tcPr>
          <w:p>
            <w:pPr>
              <w:jc w:val="right"/>
              <w:spacing w:after="0"/>
              <w:rPr>
                <w:sz w:val="20"/>
                <w:szCs w:val="20"/>
                <w:color w:val="auto"/>
              </w:rPr>
            </w:pPr>
            <w:r>
              <w:rPr>
                <w:rFonts w:ascii="Arial" w:cs="Arial" w:eastAsia="Arial" w:hAnsi="Arial"/>
                <w:sz w:val="18"/>
                <w:szCs w:val="18"/>
                <w:color w:val="auto"/>
              </w:rPr>
              <w:t>12,236</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4,491</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1,153,192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Interest rate derivatives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3,656</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1,590</w:t>
            </w: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swaps</w:t>
            </w: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1,693</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48,883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Derivatives held as cash flow hedge (ii) -</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2,938</w:t>
            </w:r>
          </w:p>
        </w:tc>
        <w:tc>
          <w:tcPr>
            <w:tcW w:w="180" w:type="dxa"/>
            <w:vAlign w:val="bottom"/>
            <w:tcBorders>
              <w:bottom w:val="single" w:sz="8" w:color="CCFFCC"/>
            </w:tcBorders>
            <w:shd w:val="clear" w:color="auto" w:fill="CCFFCC"/>
          </w:tcPr>
          <w:p>
            <w:pPr>
              <w:spacing w:after="0"/>
              <w:rPr>
                <w:sz w:val="19"/>
                <w:szCs w:val="19"/>
                <w:color w:val="auto"/>
              </w:rPr>
            </w:pPr>
          </w:p>
        </w:tc>
        <w:tc>
          <w:tcPr>
            <w:tcW w:w="14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19,134</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7,774</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1,696,233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620" w:right="240" w:hanging="478"/>
        <w:spacing w:after="0" w:line="286" w:lineRule="auto"/>
        <w:tabs>
          <w:tab w:leader="none" w:pos="16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Group’s derivative trading activities mainly relate to deals with customers which are normally laid off with counterparties. The Group may also take positions with the expectation of profiting from favorable movements in prices, rates or indices. Also included under this heading are any derivatives which do not meet IAS 39 hedging requirement.</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620" w:right="40" w:hanging="478"/>
        <w:spacing w:after="0" w:line="259" w:lineRule="auto"/>
        <w:tabs>
          <w:tab w:leader="none" w:pos="1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non-trading assets and liabilities which bear interest at a variable rate. The Group uses interest rate swaps as cash flow hedges of these interest rate risks. A schedule indicating as of December 31, 2007 the periods when the hedged cash flows are expected to occur and when they are expected to affect the consolidated income statement is as follows: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From 1 to 3</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From 3 to 5</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Up to 1 year</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years</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Over 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2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outflows (liabilities)</w:t>
            </w:r>
          </w:p>
        </w:tc>
        <w:tc>
          <w:tcPr>
            <w:tcW w:w="18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36,289</w:t>
            </w: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64,233</w:t>
            </w:r>
          </w:p>
        </w:tc>
        <w:tc>
          <w:tcPr>
            <w:tcW w:w="14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44,217</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8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statement</w:t>
            </w:r>
          </w:p>
        </w:tc>
        <w:tc>
          <w:tcPr>
            <w:tcW w:w="18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(6,693)</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(20,503)</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(7,560)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480"/>
        <w:spacing w:after="0" w:line="277" w:lineRule="auto"/>
        <w:rPr>
          <w:sz w:val="20"/>
          <w:szCs w:val="20"/>
          <w:color w:val="auto"/>
        </w:rPr>
      </w:pPr>
      <w:r>
        <w:rPr>
          <w:rFonts w:ascii="Arial" w:cs="Arial" w:eastAsia="Arial" w:hAnsi="Arial"/>
          <w:sz w:val="18"/>
          <w:szCs w:val="18"/>
          <w:color w:val="auto"/>
        </w:rPr>
        <w:t>As of December 31, 2007, the transfer of net gain on cash flow hedges to the consolidated income statement amounts to US$1.0 million (US$0.8 million as of December 31, 2006).</w:t>
      </w:r>
    </w:p>
    <w:p>
      <w:pPr>
        <w:spacing w:after="0" w:line="224" w:lineRule="exact"/>
        <w:rPr>
          <w:sz w:val="20"/>
          <w:szCs w:val="20"/>
          <w:color w:val="auto"/>
        </w:rPr>
      </w:pPr>
    </w:p>
    <w:p>
      <w:pPr>
        <w:ind w:left="1140" w:right="140" w:hanging="484"/>
        <w:spacing w:after="0" w:line="277" w:lineRule="auto"/>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 of December 31, 2007, this caption includes mainly prepaid insurance and prepaid premiums ceded to reinsurers for US$11.3 million and US$3.4 million, respectively (US$10.5 million and US$2.0 million, respectively, as of December 31, 2006).</w:t>
      </w:r>
    </w:p>
    <w:p>
      <w:pPr>
        <w:spacing w:after="0" w:line="224" w:lineRule="exact"/>
        <w:rPr>
          <w:rFonts w:ascii="Arial" w:cs="Arial" w:eastAsia="Arial" w:hAnsi="Arial"/>
          <w:sz w:val="18"/>
          <w:szCs w:val="18"/>
          <w:color w:val="auto"/>
        </w:rPr>
      </w:pPr>
    </w:p>
    <w:p>
      <w:pPr>
        <w:ind w:left="1140" w:right="20" w:hanging="484"/>
        <w:spacing w:after="0" w:line="264" w:lineRule="auto"/>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payments collected, funds transferred and other similar types of transactions, which are realized at the end of the month and not reclassified to their final consolidated balance sheets accounts until the beginning days of the following month. These transactions do not affect the Group’s net income.</w:t>
      </w:r>
    </w:p>
    <w:p>
      <w:pPr>
        <w:spacing w:after="0" w:line="235" w:lineRule="exact"/>
        <w:rPr>
          <w:rFonts w:ascii="Arial" w:cs="Arial" w:eastAsia="Arial" w:hAnsi="Arial"/>
          <w:sz w:val="18"/>
          <w:szCs w:val="18"/>
          <w:color w:val="auto"/>
        </w:rPr>
      </w:pPr>
    </w:p>
    <w:p>
      <w:pPr>
        <w:ind w:left="1140" w:hanging="484"/>
        <w:spacing w:after="0"/>
        <w:tabs>
          <w:tab w:leader="none" w:pos="11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movement of the provision for sundry risks for the three years ended December 31, 2007, 2006 and 2005 is summarized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6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17,179</w:t>
            </w: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18,768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19,379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note 26</w:t>
            </w: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8,096</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6,461</w:t>
            </w:r>
          </w:p>
        </w:tc>
        <w:tc>
          <w:tcPr>
            <w:tcW w:w="1260" w:type="dxa"/>
            <w:vAlign w:val="bottom"/>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4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Decreases</w:t>
            </w:r>
          </w:p>
        </w:tc>
        <w:tc>
          <w:tcPr>
            <w:tcW w:w="18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(1,237)</w:t>
            </w:r>
          </w:p>
        </w:tc>
        <w:tc>
          <w:tcPr>
            <w:tcW w:w="14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(8,050)</w:t>
            </w:r>
          </w:p>
        </w:tc>
        <w:tc>
          <w:tcPr>
            <w:tcW w:w="13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(6,178)</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43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vMerge w:val="continue"/>
          </w:tcPr>
          <w:p>
            <w:pPr>
              <w:spacing w:after="0"/>
              <w:rPr>
                <w:sz w:val="22"/>
                <w:szCs w:val="22"/>
                <w:color w:val="auto"/>
              </w:rPr>
            </w:pPr>
          </w:p>
        </w:tc>
        <w:tc>
          <w:tcPr>
            <w:tcW w:w="4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Ending balances</w:t>
            </w:r>
          </w:p>
        </w:tc>
        <w:tc>
          <w:tcPr>
            <w:tcW w:w="18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24,038</w:t>
            </w:r>
          </w:p>
        </w:tc>
        <w:tc>
          <w:tcPr>
            <w:tcW w:w="18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17,179</w:t>
            </w:r>
          </w:p>
        </w:tc>
        <w:tc>
          <w:tcPr>
            <w:tcW w:w="18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tcBorders>
              <w:bottom w:val="single" w:sz="8" w:color="CCFFCC"/>
            </w:tcBorders>
            <w:shd w:val="clear" w:color="auto" w:fill="CCFFCC"/>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0" w:type="dxa"/>
            <w:vAlign w:val="bottom"/>
            <w:gridSpan w:val="3"/>
          </w:tcPr>
          <w:p>
            <w:pPr>
              <w:jc w:val="right"/>
              <w:ind w:right="1200"/>
              <w:spacing w:after="0"/>
              <w:rPr>
                <w:sz w:val="20"/>
                <w:szCs w:val="20"/>
                <w:color w:val="auto"/>
              </w:rPr>
            </w:pPr>
            <w:r>
              <w:rPr>
                <w:rFonts w:ascii="Arial" w:cs="Arial" w:eastAsia="Arial" w:hAnsi="Arial"/>
                <w:sz w:val="18"/>
                <w:szCs w:val="18"/>
                <w:color w:val="auto"/>
              </w:rPr>
              <w:t>F-57</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57" w:lineRule="auto"/>
        <w:rPr>
          <w:sz w:val="20"/>
          <w:szCs w:val="20"/>
          <w:color w:val="auto"/>
        </w:rPr>
      </w:pPr>
      <w:r>
        <w:rPr>
          <w:rFonts w:ascii="Arial" w:cs="Arial" w:eastAsia="Arial" w:hAnsi="Arial"/>
          <w:sz w:val="18"/>
          <w:szCs w:val="18"/>
          <w:color w:val="auto"/>
        </w:rPr>
        <w:t>Due to the nature of the business, Credicorp and its Subsidiaries have some pending legal claims (lawsuits) related to their activities. The Group records a provision for such cases when, in Management’s and its legal advisor’s opinion, they will result in additional liabilities for the Group and the amount of the provision can be fairly estimated. Regarding the other legal claims against the Group which have not been provided for, in Management’s and its legal advisor’s opinion, they will not have a material effect on the Group’s consolidated financial statements.</w:t>
      </w:r>
    </w:p>
    <w:p>
      <w:pPr>
        <w:sectPr>
          <w:pgSz w:w="11900" w:h="16838" w:orient="portrait"/>
          <w:cols w:equalWidth="0" w:num="1">
            <w:col w:w="11420"/>
          </w:cols>
          <w:pgMar w:left="240" w:top="361" w:right="239" w:bottom="1440" w:gutter="0" w:footer="0" w:header="0"/>
        </w:sectPr>
      </w:pPr>
    </w:p>
    <w:p>
      <w:pPr>
        <w:spacing w:after="0" w:line="238" w:lineRule="exact"/>
        <w:rPr>
          <w:sz w:val="20"/>
          <w:szCs w:val="20"/>
          <w:color w:val="auto"/>
        </w:rPr>
      </w:pPr>
    </w:p>
    <w:p>
      <w:pPr>
        <w:ind w:left="660" w:hanging="490"/>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300" w:right="2120" w:hanging="162"/>
        <w:spacing w:after="0" w:line="258" w:lineRule="auto"/>
        <w:rPr>
          <w:rFonts w:ascii="Arial" w:cs="Arial" w:eastAsia="Arial" w:hAnsi="Arial"/>
          <w:sz w:val="18"/>
          <w:szCs w:val="18"/>
          <w:color w:val="auto"/>
        </w:rPr>
      </w:pPr>
      <w:r>
        <w:rPr>
          <w:rFonts w:ascii="Arial" w:cs="Arial" w:eastAsia="Arial" w:hAnsi="Arial"/>
          <w:sz w:val="18"/>
          <w:szCs w:val="18"/>
          <w:color w:val="auto"/>
        </w:rPr>
        <w:t>Non-interest bearing deposits and obligations - In Peru</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In other countries</w:t>
      </w:r>
    </w:p>
    <w:p>
      <w:pPr>
        <w:spacing w:after="0" w:line="291" w:lineRule="exact"/>
        <w:rPr>
          <w:rFonts w:ascii="Arial" w:cs="Arial" w:eastAsia="Arial" w:hAnsi="Arial"/>
          <w:sz w:val="18"/>
          <w:szCs w:val="18"/>
          <w:color w:val="auto"/>
        </w:rPr>
      </w:pPr>
    </w:p>
    <w:p>
      <w:pPr>
        <w:ind w:left="1300" w:right="2480" w:hanging="162"/>
        <w:spacing w:after="0" w:line="269" w:lineRule="auto"/>
        <w:rPr>
          <w:rFonts w:ascii="Arial" w:cs="Arial" w:eastAsia="Arial" w:hAnsi="Arial"/>
          <w:sz w:val="18"/>
          <w:szCs w:val="18"/>
          <w:color w:val="auto"/>
        </w:rPr>
      </w:pPr>
      <w:r>
        <w:rPr>
          <w:rFonts w:ascii="Arial" w:cs="Arial" w:eastAsia="Arial" w:hAnsi="Arial"/>
          <w:sz w:val="18"/>
          <w:szCs w:val="18"/>
          <w:color w:val="auto"/>
        </w:rPr>
        <w:t>Interest bearing deposits and obligations -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-885190</wp:posOffset>
            </wp:positionV>
            <wp:extent cx="553974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39740"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-285115</wp:posOffset>
            </wp:positionV>
            <wp:extent cx="553974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39740"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-610870</wp:posOffset>
            </wp:positionV>
            <wp:extent cx="5539740"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397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spacing w:after="0"/>
        <w:tabs>
          <w:tab w:leader="none" w:pos="1580" w:val="left"/>
        </w:tabs>
        <w:rPr>
          <w:sz w:val="20"/>
          <w:szCs w:val="20"/>
          <w:color w:val="auto"/>
        </w:rPr>
      </w:pP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b w:val="1"/>
          <w:bCs w:val="1"/>
          <w:color w:val="auto"/>
        </w:rPr>
        <w:t>2006</w:t>
      </w:r>
    </w:p>
    <w:p>
      <w:pPr>
        <w:spacing w:after="0" w:line="2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US$(000)</w:t>
      </w:r>
      <w:r>
        <w:rPr>
          <w:sz w:val="20"/>
          <w:szCs w:val="20"/>
          <w:color w:val="auto"/>
        </w:rPr>
        <w:tab/>
      </w:r>
      <w:r>
        <w:rPr>
          <w:rFonts w:ascii="Arial" w:cs="Arial" w:eastAsia="Arial" w:hAnsi="Arial"/>
          <w:sz w:val="16"/>
          <w:szCs w:val="16"/>
          <w:color w:val="auto"/>
        </w:rPr>
        <w:t>US$(000)</w:t>
      </w:r>
    </w:p>
    <w:p>
      <w:pPr>
        <w:spacing w:after="0" w:line="200" w:lineRule="exact"/>
        <w:rPr>
          <w:sz w:val="20"/>
          <w:szCs w:val="20"/>
          <w:color w:val="auto"/>
        </w:rPr>
      </w:pPr>
    </w:p>
    <w:p>
      <w:pPr>
        <w:spacing w:after="0" w:line="227" w:lineRule="exact"/>
        <w:rPr>
          <w:sz w:val="20"/>
          <w:szCs w:val="20"/>
          <w:color w:val="auto"/>
        </w:rPr>
      </w:pPr>
    </w:p>
    <w:p>
      <w:pPr>
        <w:jc w:val="both"/>
        <w:ind w:left="240"/>
        <w:spacing w:after="0"/>
        <w:tabs>
          <w:tab w:leader="none" w:pos="1660" w:val="left"/>
        </w:tabs>
        <w:rPr>
          <w:sz w:val="20"/>
          <w:szCs w:val="20"/>
          <w:color w:val="auto"/>
        </w:rPr>
      </w:pPr>
      <w:r>
        <w:rPr>
          <w:rFonts w:ascii="Arial" w:cs="Arial" w:eastAsia="Arial" w:hAnsi="Arial"/>
          <w:sz w:val="18"/>
          <w:szCs w:val="18"/>
          <w:color w:val="auto"/>
        </w:rPr>
        <w:t>2,257,840</w:t>
      </w:r>
      <w:r>
        <w:rPr>
          <w:sz w:val="20"/>
          <w:szCs w:val="20"/>
          <w:color w:val="auto"/>
        </w:rPr>
        <w:tab/>
      </w:r>
      <w:r>
        <w:rPr>
          <w:rFonts w:ascii="Arial" w:cs="Arial" w:eastAsia="Arial" w:hAnsi="Arial"/>
          <w:sz w:val="18"/>
          <w:szCs w:val="18"/>
          <w:color w:val="auto"/>
        </w:rPr>
        <w:t>1,577,315</w:t>
      </w:r>
    </w:p>
    <w:p>
      <w:pPr>
        <w:spacing w:after="0" w:line="36" w:lineRule="exact"/>
        <w:rPr>
          <w:sz w:val="20"/>
          <w:szCs w:val="20"/>
          <w:color w:val="auto"/>
        </w:rPr>
      </w:pPr>
    </w:p>
    <w:p>
      <w:pPr>
        <w:jc w:val="both"/>
        <w:ind w:left="380"/>
        <w:spacing w:after="0"/>
        <w:tabs>
          <w:tab w:leader="none" w:pos="1800" w:val="left"/>
        </w:tabs>
        <w:rPr>
          <w:sz w:val="20"/>
          <w:szCs w:val="20"/>
          <w:color w:val="auto"/>
        </w:rPr>
      </w:pPr>
      <w:r>
        <w:rPr>
          <w:rFonts w:ascii="Arial" w:cs="Arial" w:eastAsia="Arial" w:hAnsi="Arial"/>
          <w:sz w:val="18"/>
          <w:szCs w:val="18"/>
          <w:color w:val="auto"/>
        </w:rPr>
        <w:t>668,468</w:t>
      </w:r>
      <w:r>
        <w:rPr>
          <w:sz w:val="20"/>
          <w:szCs w:val="20"/>
          <w:color w:val="auto"/>
        </w:rPr>
        <w:tab/>
      </w:r>
      <w:r>
        <w:rPr>
          <w:rFonts w:ascii="Arial" w:cs="Arial" w:eastAsia="Arial" w:hAnsi="Arial"/>
          <w:sz w:val="18"/>
          <w:szCs w:val="18"/>
          <w:color w:val="auto"/>
        </w:rPr>
        <w:t>412,249</w:t>
      </w:r>
    </w:p>
    <w:p>
      <w:pPr>
        <w:spacing w:after="0" w:line="50" w:lineRule="exact"/>
        <w:rPr>
          <w:sz w:val="20"/>
          <w:szCs w:val="20"/>
          <w:color w:val="auto"/>
        </w:rPr>
      </w:pPr>
    </w:p>
    <w:p>
      <w:pPr>
        <w:jc w:val="both"/>
        <w:ind w:left="240"/>
        <w:spacing w:after="0"/>
        <w:tabs>
          <w:tab w:leader="none" w:pos="1660" w:val="left"/>
        </w:tabs>
        <w:rPr>
          <w:sz w:val="20"/>
          <w:szCs w:val="20"/>
          <w:color w:val="auto"/>
        </w:rPr>
      </w:pPr>
      <w:r>
        <w:rPr>
          <w:rFonts w:ascii="Arial" w:cs="Arial" w:eastAsia="Arial" w:hAnsi="Arial"/>
          <w:sz w:val="18"/>
          <w:szCs w:val="18"/>
          <w:color w:val="auto"/>
        </w:rPr>
        <w:t>2,926,308</w:t>
      </w:r>
      <w:r>
        <w:rPr>
          <w:sz w:val="20"/>
          <w:szCs w:val="20"/>
          <w:color w:val="auto"/>
        </w:rPr>
        <w:tab/>
      </w:r>
      <w:r>
        <w:rPr>
          <w:rFonts w:ascii="Arial" w:cs="Arial" w:eastAsia="Arial" w:hAnsi="Arial"/>
          <w:sz w:val="18"/>
          <w:szCs w:val="18"/>
          <w:color w:val="auto"/>
        </w:rPr>
        <w:t>1,989,564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14605</wp:posOffset>
            </wp:positionV>
            <wp:extent cx="16897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19" w:lineRule="exact"/>
        <w:rPr>
          <w:sz w:val="20"/>
          <w:szCs w:val="20"/>
          <w:color w:val="auto"/>
        </w:rPr>
      </w:pPr>
    </w:p>
    <w:p>
      <w:pPr>
        <w:jc w:val="both"/>
        <w:ind w:left="240"/>
        <w:spacing w:after="0"/>
        <w:tabs>
          <w:tab w:leader="none" w:pos="1660" w:val="left"/>
        </w:tabs>
        <w:rPr>
          <w:sz w:val="20"/>
          <w:szCs w:val="20"/>
          <w:color w:val="auto"/>
        </w:rPr>
      </w:pPr>
      <w:r>
        <w:rPr>
          <w:rFonts w:ascii="Arial" w:cs="Arial" w:eastAsia="Arial" w:hAnsi="Arial"/>
          <w:sz w:val="18"/>
          <w:szCs w:val="18"/>
          <w:color w:val="auto"/>
        </w:rPr>
        <w:t>6,591,815</w:t>
      </w:r>
      <w:r>
        <w:rPr>
          <w:sz w:val="20"/>
          <w:szCs w:val="20"/>
          <w:color w:val="auto"/>
        </w:rPr>
        <w:tab/>
      </w:r>
      <w:r>
        <w:rPr>
          <w:rFonts w:ascii="Arial" w:cs="Arial" w:eastAsia="Arial" w:hAnsi="Arial"/>
          <w:sz w:val="18"/>
          <w:szCs w:val="18"/>
          <w:color w:val="auto"/>
        </w:rPr>
        <w:t>5,213,044</w:t>
      </w:r>
    </w:p>
    <w:p>
      <w:pPr>
        <w:spacing w:after="0" w:line="41" w:lineRule="exact"/>
        <w:rPr>
          <w:sz w:val="20"/>
          <w:szCs w:val="20"/>
          <w:color w:val="auto"/>
        </w:rPr>
      </w:pPr>
    </w:p>
    <w:p>
      <w:pPr>
        <w:sectPr>
          <w:pgSz w:w="11900" w:h="16838" w:orient="portrait"/>
          <w:cols w:equalWidth="0" w:num="2">
            <w:col w:w="6640" w:space="720"/>
            <w:col w:w="4060"/>
          </w:cols>
          <w:pgMar w:left="240" w:top="361" w:right="239" w:bottom="1440" w:gutter="0" w:footer="0" w:header="0"/>
          <w:type w:val="continuous"/>
        </w:sectPr>
      </w:pPr>
    </w:p>
    <w:tbl>
      <w:tblPr>
        <w:tblLayout w:type="fixed"/>
        <w:tblInd w:w="1140" w:type="dxa"/>
        <w:tblCellMar>
          <w:top w:w="0" w:type="dxa"/>
          <w:left w:w="0" w:type="dxa"/>
          <w:bottom w:w="0" w:type="dxa"/>
          <w:right w:w="0" w:type="dxa"/>
        </w:tblCellMar>
      </w:tblPr>
      <w:tr>
        <w:trPr>
          <w:trHeight w:val="231"/>
        </w:trPr>
        <w:tc>
          <w:tcPr>
            <w:tcW w:w="20" w:type="dxa"/>
            <w:vAlign w:val="bottom"/>
          </w:tcPr>
          <w:p>
            <w:pPr>
              <w:spacing w:after="0"/>
              <w:rPr>
                <w:sz w:val="19"/>
                <w:szCs w:val="19"/>
                <w:color w:val="auto"/>
              </w:rPr>
            </w:pPr>
          </w:p>
        </w:tc>
        <w:tc>
          <w:tcPr>
            <w:tcW w:w="5740" w:type="dxa"/>
            <w:vAlign w:val="bottom"/>
            <w:tcBorders>
              <w:bottom w:val="single" w:sz="8" w:color="CCFFCC"/>
            </w:tcBorders>
            <w:shd w:val="clear" w:color="auto" w:fill="CCFFCC"/>
          </w:tcPr>
          <w:p>
            <w:pPr>
              <w:ind w:left="140"/>
              <w:spacing w:after="0" w:line="199" w:lineRule="exact"/>
              <w:rPr>
                <w:sz w:val="20"/>
                <w:szCs w:val="20"/>
                <w:color w:val="auto"/>
              </w:rPr>
            </w:pPr>
            <w:r>
              <w:rPr>
                <w:rFonts w:ascii="Arial" w:cs="Arial" w:eastAsia="Arial" w:hAnsi="Arial"/>
                <w:sz w:val="18"/>
                <w:szCs w:val="18"/>
                <w:color w:val="auto"/>
              </w:rPr>
              <w:t>In other countries</w:t>
            </w:r>
          </w:p>
        </w:tc>
        <w:tc>
          <w:tcPr>
            <w:tcW w:w="200" w:type="dxa"/>
            <w:vAlign w:val="bottom"/>
            <w:tcBorders>
              <w:bottom w:val="single" w:sz="8" w:color="CCFFCC"/>
            </w:tcBorders>
            <w:shd w:val="clear" w:color="auto" w:fill="CCFFCC"/>
          </w:tcPr>
          <w:p>
            <w:pPr>
              <w:spacing w:after="0"/>
              <w:rPr>
                <w:sz w:val="19"/>
                <w:szCs w:val="19"/>
                <w:color w:val="auto"/>
              </w:rPr>
            </w:pPr>
          </w:p>
        </w:tc>
        <w:tc>
          <w:tcPr>
            <w:tcW w:w="1220" w:type="dxa"/>
            <w:vAlign w:val="bottom"/>
            <w:tcBorders>
              <w:bottom w:val="single" w:sz="8" w:color="CCFFCC"/>
            </w:tcBorders>
            <w:shd w:val="clear" w:color="auto" w:fill="CCFFCC"/>
          </w:tcPr>
          <w:p>
            <w:pPr>
              <w:jc w:val="right"/>
              <w:spacing w:after="0" w:line="199" w:lineRule="exact"/>
              <w:rPr>
                <w:sz w:val="20"/>
                <w:szCs w:val="20"/>
                <w:color w:val="auto"/>
              </w:rPr>
            </w:pPr>
            <w:r>
              <w:rPr>
                <w:rFonts w:ascii="Arial" w:cs="Arial" w:eastAsia="Arial" w:hAnsi="Arial"/>
                <w:sz w:val="18"/>
                <w:szCs w:val="18"/>
                <w:color w:val="auto"/>
              </w:rPr>
              <w:t>1,781,548</w:t>
            </w:r>
          </w:p>
        </w:tc>
        <w:tc>
          <w:tcPr>
            <w:tcW w:w="20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spacing w:after="0" w:line="199" w:lineRule="exact"/>
              <w:rPr>
                <w:sz w:val="20"/>
                <w:szCs w:val="20"/>
                <w:color w:val="auto"/>
              </w:rPr>
            </w:pPr>
            <w:r>
              <w:rPr>
                <w:rFonts w:ascii="Arial" w:cs="Arial" w:eastAsia="Arial" w:hAnsi="Arial"/>
                <w:sz w:val="18"/>
                <w:szCs w:val="18"/>
                <w:color w:val="auto"/>
              </w:rPr>
              <w:t>1,596,526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8,373,363</w:t>
            </w:r>
          </w:p>
        </w:tc>
        <w:tc>
          <w:tcPr>
            <w:tcW w:w="200" w:type="dxa"/>
            <w:vAlign w:val="bottom"/>
            <w:tcBorders>
              <w:top w:val="single" w:sz="8" w:color="CCFFCC"/>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6,809,570</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11,299,671</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8,799,134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payable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51,043</w:t>
            </w:r>
          </w:p>
        </w:tc>
        <w:tc>
          <w:tcPr>
            <w:tcW w:w="2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39,857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11,350,714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8,838,991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 of December 31, 2007 and 2006, the balance of deposits and obligations by type of transaction is made up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3,967,864</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3,218,157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Demand deposits</w:t>
            </w:r>
          </w:p>
        </w:tc>
        <w:tc>
          <w:tcPr>
            <w:tcW w:w="1220" w:type="dxa"/>
            <w:vAlign w:val="bottom"/>
          </w:tcPr>
          <w:p>
            <w:pPr>
              <w:jc w:val="right"/>
              <w:spacing w:after="0"/>
              <w:rPr>
                <w:sz w:val="20"/>
                <w:szCs w:val="20"/>
                <w:color w:val="auto"/>
              </w:rPr>
            </w:pPr>
            <w:r>
              <w:rPr>
                <w:rFonts w:ascii="Arial" w:cs="Arial" w:eastAsia="Arial" w:hAnsi="Arial"/>
                <w:sz w:val="18"/>
                <w:szCs w:val="18"/>
                <w:color w:val="auto"/>
              </w:rPr>
              <w:t>3,638,593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2,564,268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2,380,904</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1,951,978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220" w:type="dxa"/>
            <w:vAlign w:val="bottom"/>
          </w:tcPr>
          <w:p>
            <w:pPr>
              <w:jc w:val="right"/>
              <w:spacing w:after="0"/>
              <w:rPr>
                <w:sz w:val="20"/>
                <w:szCs w:val="20"/>
                <w:color w:val="auto"/>
              </w:rPr>
            </w:pPr>
            <w:r>
              <w:rPr>
                <w:rFonts w:ascii="Arial" w:cs="Arial" w:eastAsia="Arial" w:hAnsi="Arial"/>
                <w:sz w:val="18"/>
                <w:szCs w:val="18"/>
                <w:color w:val="auto"/>
              </w:rPr>
              <w:t>896,283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Client - Repurchase agreements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325,908</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228,165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Bank’s negotiable certificates</w:t>
            </w:r>
          </w:p>
        </w:tc>
        <w:tc>
          <w:tcPr>
            <w:tcW w:w="1220" w:type="dxa"/>
            <w:vAlign w:val="bottom"/>
          </w:tcPr>
          <w:p>
            <w:pPr>
              <w:jc w:val="right"/>
              <w:spacing w:after="0"/>
              <w:rPr>
                <w:sz w:val="20"/>
                <w:szCs w:val="20"/>
                <w:color w:val="auto"/>
              </w:rPr>
            </w:pPr>
            <w:r>
              <w:rPr>
                <w:rFonts w:ascii="Arial" w:cs="Arial" w:eastAsia="Arial" w:hAnsi="Arial"/>
                <w:sz w:val="18"/>
                <w:szCs w:val="18"/>
                <w:color w:val="auto"/>
              </w:rPr>
              <w:t>90,119</w:t>
            </w:r>
          </w:p>
        </w:tc>
        <w:tc>
          <w:tcPr>
            <w:tcW w:w="2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61,539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11,299,671</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8,799,134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right="500" w:hanging="484"/>
        <w:spacing w:after="0" w:line="342" w:lineRule="auto"/>
        <w:tabs>
          <w:tab w:leader="none" w:pos="11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As of December 31, 2007, the total amount of individual time deposits and bank certificates that exceed US$100,000 are approximately US$3,706.3 and US$49.0 million, respectively (US$2,722.6 and US$35.9 million, respectively, as of December 31, 2006).</w:t>
      </w:r>
    </w:p>
    <w:p>
      <w:pPr>
        <w:spacing w:after="0" w:line="177" w:lineRule="exact"/>
        <w:rPr>
          <w:rFonts w:ascii="Arial" w:cs="Arial" w:eastAsia="Arial" w:hAnsi="Arial"/>
          <w:sz w:val="16"/>
          <w:szCs w:val="16"/>
          <w:color w:val="auto"/>
        </w:rPr>
      </w:pPr>
    </w:p>
    <w:p>
      <w:pPr>
        <w:ind w:left="1140" w:right="280" w:hanging="484"/>
        <w:spacing w:after="0" w:line="277" w:lineRule="auto"/>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Interest rates applied to different deposits and obligations accounts are determined by the Group considering interest rates prevailing in the market in which the subsidiaries operate.</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time deposits balance classified by maturity is made up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4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2,944,189</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2,219,948</w:t>
            </w:r>
          </w:p>
        </w:tc>
        <w:tc>
          <w:tcPr>
            <w:tcW w:w="10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699,479</w:t>
            </w:r>
          </w:p>
        </w:tc>
        <w:tc>
          <w:tcPr>
            <w:tcW w:w="1240" w:type="dxa"/>
            <w:vAlign w:val="bottom"/>
          </w:tcPr>
          <w:p>
            <w:pPr>
              <w:jc w:val="right"/>
              <w:spacing w:after="0"/>
              <w:rPr>
                <w:sz w:val="20"/>
                <w:szCs w:val="20"/>
                <w:color w:val="auto"/>
              </w:rPr>
            </w:pPr>
            <w:r>
              <w:rPr>
                <w:rFonts w:ascii="Arial" w:cs="Arial" w:eastAsia="Arial" w:hAnsi="Arial"/>
                <w:sz w:val="18"/>
                <w:szCs w:val="18"/>
                <w:color w:val="auto"/>
              </w:rPr>
              <w:t>799,584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42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254,750</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163,283</w:t>
            </w:r>
          </w:p>
        </w:tc>
        <w:tc>
          <w:tcPr>
            <w:tcW w:w="10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From 3 to 5 years</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30,743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29,226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3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286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38,703</w:t>
            </w: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6,116</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100" w:type="dxa"/>
            <w:vAlign w:val="bottom"/>
            <w:tcBorders>
              <w:top w:val="single" w:sz="8" w:color="CCFFCC"/>
            </w:tcBorders>
          </w:tcPr>
          <w:p>
            <w:pPr>
              <w:spacing w:after="0"/>
              <w:rPr>
                <w:sz w:val="18"/>
                <w:szCs w:val="18"/>
                <w:color w:val="auto"/>
              </w:rPr>
            </w:pPr>
          </w:p>
        </w:tc>
        <w:tc>
          <w:tcPr>
            <w:tcW w:w="286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vMerge w:val="continue"/>
          </w:tcPr>
          <w:p>
            <w:pPr>
              <w:spacing w:after="0"/>
              <w:rPr>
                <w:sz w:val="21"/>
                <w:szCs w:val="21"/>
                <w:color w:val="auto"/>
              </w:rPr>
            </w:pPr>
          </w:p>
        </w:tc>
        <w:tc>
          <w:tcPr>
            <w:tcW w:w="3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3,967,864</w:t>
            </w:r>
          </w:p>
        </w:tc>
        <w:tc>
          <w:tcPr>
            <w:tcW w:w="2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3,218,157</w:t>
            </w:r>
          </w:p>
        </w:tc>
        <w:tc>
          <w:tcPr>
            <w:tcW w:w="100" w:type="dxa"/>
            <w:vAlign w:val="bottom"/>
            <w:tcBorders>
              <w:bottom w:val="single" w:sz="8" w:color="CCFFCC"/>
            </w:tcBorders>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3100" w:type="dxa"/>
            <w:vAlign w:val="bottom"/>
            <w:tcBorders>
              <w:top w:val="single" w:sz="8" w:color="CCFFCC"/>
            </w:tcBorders>
          </w:tcPr>
          <w:p>
            <w:pPr>
              <w:spacing w:after="0"/>
              <w:rPr>
                <w:sz w:val="24"/>
                <w:szCs w:val="24"/>
                <w:color w:val="auto"/>
              </w:rPr>
            </w:pPr>
          </w:p>
        </w:tc>
        <w:tc>
          <w:tcPr>
            <w:tcW w:w="2860" w:type="dxa"/>
            <w:vAlign w:val="bottom"/>
            <w:tcBorders>
              <w:top w:val="single" w:sz="8" w:color="CCFFCC"/>
            </w:tcBorders>
          </w:tcPr>
          <w:p>
            <w:pPr>
              <w:ind w:left="1300"/>
              <w:spacing w:after="0"/>
              <w:rPr>
                <w:sz w:val="20"/>
                <w:szCs w:val="20"/>
                <w:color w:val="auto"/>
              </w:rPr>
            </w:pPr>
            <w:r>
              <w:rPr>
                <w:rFonts w:ascii="Arial" w:cs="Arial" w:eastAsia="Arial" w:hAnsi="Arial"/>
                <w:sz w:val="18"/>
                <w:szCs w:val="18"/>
                <w:color w:val="auto"/>
              </w:rPr>
              <w:t>F-59</w:t>
            </w: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490"/>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Due to banks and correspondents and borrowed funds</w:t>
      </w:r>
    </w:p>
    <w:p>
      <w:pPr>
        <w:spacing w:after="0" w:line="27" w:lineRule="exact"/>
        <w:rPr>
          <w:rFonts w:ascii="Arial" w:cs="Arial" w:eastAsia="Arial" w:hAnsi="Arial"/>
          <w:sz w:val="18"/>
          <w:szCs w:val="18"/>
          <w:b w:val="1"/>
          <w:bCs w:val="1"/>
          <w:color w:val="auto"/>
        </w:rPr>
      </w:pPr>
    </w:p>
    <w:p>
      <w:pPr>
        <w:ind w:left="1140" w:right="7820" w:hanging="484"/>
        <w:spacing w:after="0" w:line="323" w:lineRule="auto"/>
        <w:tabs>
          <w:tab w:leader="none" w:pos="114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Due to bank and correspondents - This item is made up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1,145,340</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346,945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196,204</w:t>
            </w:r>
          </w:p>
        </w:tc>
        <w:tc>
          <w:tcPr>
            <w:tcW w:w="1240" w:type="dxa"/>
            <w:vAlign w:val="bottom"/>
          </w:tcPr>
          <w:p>
            <w:pPr>
              <w:jc w:val="right"/>
              <w:spacing w:after="0"/>
              <w:rPr>
                <w:sz w:val="20"/>
                <w:szCs w:val="20"/>
                <w:color w:val="auto"/>
              </w:rPr>
            </w:pPr>
            <w:r>
              <w:rPr>
                <w:rFonts w:ascii="Arial" w:cs="Arial" w:eastAsia="Arial" w:hAnsi="Arial"/>
                <w:sz w:val="18"/>
                <w:szCs w:val="18"/>
                <w:color w:val="auto"/>
              </w:rPr>
              <w:t>177,900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20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102,470</w:t>
            </w: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1,444,014</w:t>
            </w: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565,922</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20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9,247</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FFCC"/>
            </w:tcBorders>
            <w:shd w:val="clear" w:color="auto" w:fill="CCFFCC"/>
          </w:tcPr>
          <w:p>
            <w:pPr>
              <w:spacing w:after="0"/>
              <w:rPr>
                <w:sz w:val="22"/>
                <w:szCs w:val="22"/>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1,453,261</w:t>
            </w:r>
          </w:p>
        </w:tc>
        <w:tc>
          <w:tcPr>
            <w:tcW w:w="2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570,989</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620" w:hanging="478"/>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balance of international funds and others corresponds to the following operations:</w:t>
      </w:r>
    </w:p>
    <w:p>
      <w:pPr>
        <w:spacing w:after="0" w:line="275" w:lineRule="exact"/>
        <w:rPr>
          <w:sz w:val="20"/>
          <w:szCs w:val="20"/>
          <w:color w:val="auto"/>
        </w:rPr>
      </w:pPr>
    </w:p>
    <w:tbl>
      <w:tblPr>
        <w:tblLayout w:type="fixed"/>
        <w:tblInd w:w="16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Syndicated facility (*)</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Wachovia Bank</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145,000</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Banco Latinoamericano de Exportaciones - BLADEX</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80,000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JP Morgan Chase &amp; Co.</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Commerz Bank</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44,780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Citibank</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40,000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Bayerische Landersbank</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Scotiabank Peru S.A.A.</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295,560</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40,745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1,145,340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346,945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960" w:right="640" w:hanging="493"/>
        <w:spacing w:after="0" w:line="277" w:lineRule="auto"/>
        <w:tabs>
          <w:tab w:leader="none" w:pos="1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facility is related to three loans of US$100 million each one, with three months maturity; which will be replaced by a medium-term syndicated loan currently under negotiation.</w:t>
      </w:r>
    </w:p>
    <w:p>
      <w:pPr>
        <w:spacing w:after="0" w:line="224" w:lineRule="exact"/>
        <w:rPr>
          <w:sz w:val="20"/>
          <w:szCs w:val="20"/>
          <w:color w:val="auto"/>
        </w:rPr>
      </w:pPr>
    </w:p>
    <w:p>
      <w:pPr>
        <w:ind w:left="1620"/>
        <w:spacing w:after="0" w:line="259" w:lineRule="auto"/>
        <w:rPr>
          <w:sz w:val="20"/>
          <w:szCs w:val="20"/>
          <w:color w:val="auto"/>
        </w:rPr>
      </w:pPr>
      <w:r>
        <w:rPr>
          <w:rFonts w:ascii="Arial" w:cs="Arial" w:eastAsia="Arial" w:hAnsi="Arial"/>
          <w:sz w:val="18"/>
          <w:szCs w:val="18"/>
          <w:color w:val="auto"/>
        </w:rPr>
        <w:t>These funds and other received by the Group, are obtained mainly to finance foreign trade operations and working capital, obtained from 31 foreign financial entities (11 as of December 31, 2006). As of December 31, 2007 these loans have maturities between January 2008 and February 2011 (between January and March 2007 as of December 31, 2006). The annual interest rate range between 4.88 and 5.73 (between 3.73 and 5.76 as of December 2006).</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jc w:val="both"/>
        <w:ind w:left="1620" w:right="500"/>
        <w:spacing w:after="0" w:line="264" w:lineRule="auto"/>
        <w:rPr>
          <w:sz w:val="20"/>
          <w:szCs w:val="20"/>
          <w:color w:val="auto"/>
        </w:rPr>
      </w:pPr>
      <w:r>
        <w:rPr>
          <w:rFonts w:ascii="Arial" w:cs="Arial" w:eastAsia="Arial" w:hAnsi="Arial"/>
          <w:sz w:val="18"/>
          <w:szCs w:val="18"/>
          <w:color w:val="auto"/>
        </w:rPr>
        <w:t>Some of these borrowings include standard covenants related to financial ratios, use of funds and other administrative matters. In management’s opinion, such covenants do not limit the Group’s operations and is in compliance with them as of the consolidated balance sheet date.</w:t>
      </w:r>
    </w:p>
    <w:p>
      <w:pPr>
        <w:spacing w:after="0" w:line="235" w:lineRule="exact"/>
        <w:rPr>
          <w:sz w:val="20"/>
          <w:szCs w:val="20"/>
          <w:color w:val="auto"/>
        </w:rPr>
      </w:pPr>
    </w:p>
    <w:p>
      <w:pPr>
        <w:ind w:left="1620" w:hanging="478"/>
        <w:spacing w:after="0" w:line="272" w:lineRule="auto"/>
        <w:tabs>
          <w:tab w:leader="none" w:pos="16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promotional credit lines represent loans granted to BCP by Corporación Financiera de Desarrollo (COFIDE), to promote the development of Peru, have maturities between March 2008 and December 2027 and their interest rates fluctuated between 5.73 and 7.75 percent annual (between January 2007 and December 2021 and their interest effective rate fluctuated between 5.65 and 7.90 percent annual as of December 31, 2006). These credit lines are secured by a loan portfolio amounting to US$196.2 and US$177.9 million as of December 31, 2007 and 2006, respectively. These lines include covenants specifying the use of the funds, financial conditions that the borrower must maintain and other administrative matters. In Management’s opinion, these covenants do not limit the Group’s operations and the Group is in compliance at the consolidated balance sheet date.</w:t>
      </w:r>
    </w:p>
    <w:p>
      <w:pPr>
        <w:spacing w:after="0" w:line="231" w:lineRule="exact"/>
        <w:rPr>
          <w:rFonts w:ascii="Arial" w:cs="Arial" w:eastAsia="Arial" w:hAnsi="Arial"/>
          <w:sz w:val="17"/>
          <w:szCs w:val="17"/>
          <w:color w:val="auto"/>
        </w:rPr>
      </w:pPr>
    </w:p>
    <w:p>
      <w:pPr>
        <w:ind w:left="1140" w:hanging="484"/>
        <w:spacing w:after="0"/>
        <w:tabs>
          <w:tab w:leader="none" w:pos="1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Borrowed funds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balance of the borrowed funds corresponds to the following operations: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CCR Inc. MT-100, Payment rights master Trust -</w:t>
            </w: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2005</w:t>
            </w:r>
          </w:p>
        </w:tc>
        <w:tc>
          <w:tcPr>
            <w:tcW w:w="5220" w:type="dxa"/>
            <w:vAlign w:val="bottom"/>
          </w:tcPr>
          <w:p>
            <w:pPr>
              <w:ind w:left="20"/>
              <w:spacing w:after="0"/>
              <w:rPr>
                <w:sz w:val="20"/>
                <w:szCs w:val="20"/>
                <w:color w:val="auto"/>
              </w:rPr>
            </w:pPr>
            <w:r>
              <w:rPr>
                <w:rFonts w:ascii="Arial" w:cs="Arial" w:eastAsia="Arial" w:hAnsi="Arial"/>
                <w:sz w:val="18"/>
                <w:szCs w:val="18"/>
                <w:color w:val="auto"/>
              </w:rPr>
              <w:t>Series A and B (i)</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280,000</w:t>
            </w:r>
          </w:p>
        </w:tc>
        <w:tc>
          <w:tcPr>
            <w:tcW w:w="1240" w:type="dxa"/>
            <w:vAlign w:val="bottom"/>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2006</w:t>
            </w:r>
          </w:p>
        </w:tc>
        <w:tc>
          <w:tcPr>
            <w:tcW w:w="5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Series A (ii)</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90,404</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2007</w:t>
            </w:r>
          </w:p>
        </w:tc>
        <w:tc>
          <w:tcPr>
            <w:tcW w:w="5220" w:type="dxa"/>
            <w:vAlign w:val="bottom"/>
          </w:tcPr>
          <w:p>
            <w:pPr>
              <w:ind w:left="20"/>
              <w:spacing w:after="0"/>
              <w:rPr>
                <w:sz w:val="20"/>
                <w:szCs w:val="20"/>
                <w:color w:val="auto"/>
              </w:rPr>
            </w:pPr>
            <w:r>
              <w:rPr>
                <w:rFonts w:ascii="Arial" w:cs="Arial" w:eastAsia="Arial" w:hAnsi="Arial"/>
                <w:sz w:val="18"/>
                <w:szCs w:val="18"/>
                <w:color w:val="auto"/>
              </w:rPr>
              <w:t>Serie A (iii)</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350,000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2007</w:t>
            </w:r>
          </w:p>
        </w:tc>
        <w:tc>
          <w:tcPr>
            <w:tcW w:w="5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Serie B (iii)</w:t>
            </w:r>
          </w:p>
        </w:tc>
        <w:tc>
          <w:tcPr>
            <w:tcW w:w="20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150,000</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52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870,404</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370,612</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52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620" w:right="60" w:hanging="478"/>
        <w:spacing w:after="0" w:line="255" w:lineRule="auto"/>
        <w:tabs>
          <w:tab w:leader="none" w:pos="1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Amount represents the loan transaction made by BCP in November 2005 for US$230.0 million, related to Series 2005-A Floating Rate Certificates due 2012, and US$50.0 million related to Series 2005-B Floating Rate Certificates due 2009. The certificates bear a variable interest rate of one month Libor plus 0.21 percent for the 2005-A Series and one month Libor plus 0.60 percent for the Series 2005-B. As of December 31, 2007 and December 31, 2006, the balance of this obligation amounts to US$280.0 million. A portion of the loan (70 percent), subject to variable interest rate risk, has been hedged through an interest rate swap hedge operation for a notional amount of US$196.0 million, note 21(d).</w:t>
      </w:r>
    </w:p>
    <w:p>
      <w:pPr>
        <w:spacing w:after="0" w:line="247" w:lineRule="exact"/>
        <w:rPr>
          <w:rFonts w:ascii="Arial" w:cs="Arial" w:eastAsia="Arial" w:hAnsi="Arial"/>
          <w:sz w:val="18"/>
          <w:szCs w:val="18"/>
          <w:color w:val="auto"/>
        </w:rPr>
      </w:pPr>
    </w:p>
    <w:p>
      <w:pPr>
        <w:jc w:val="both"/>
        <w:ind w:left="1620" w:right="80" w:hanging="478"/>
        <w:spacing w:after="0" w:line="286" w:lineRule="auto"/>
        <w:tabs>
          <w:tab w:leader="none" w:pos="16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Amount represents the loan transaction made by the BCP in March 2006 for US$100.0 million, related to Series 2006-A Floating Rate Certificates due 2016. The certificates bear a variable interest rate of one month Libor plus 0.24 percent. As of December 31, 2007, the balance of this obligation amounts to US$90.4 million (US$90.6 million as of December 31,2006).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jc w:val="both"/>
        <w:ind w:left="1620" w:right="320"/>
        <w:spacing w:after="0" w:line="286" w:lineRule="auto"/>
        <w:rPr>
          <w:sz w:val="20"/>
          <w:szCs w:val="20"/>
          <w:color w:val="auto"/>
        </w:rPr>
      </w:pPr>
      <w:r>
        <w:rPr>
          <w:rFonts w:ascii="Arial" w:cs="Arial" w:eastAsia="Arial" w:hAnsi="Arial"/>
          <w:sz w:val="17"/>
          <w:szCs w:val="17"/>
          <w:color w:val="auto"/>
        </w:rPr>
        <w:t>For the US$100.0 million of the Series 2006-A and the US$230.0 and US$50.0 million of the Series 2005-A and 2005-B, BCP has signed an insurance policy with AMBAC Assurance Corporation, which guarantees the timely payment of scheduled principal and certain accrued interest to pay the monthly payments with maturities in 2016, 2012 and 2009, respectively.</w:t>
      </w:r>
    </w:p>
    <w:p>
      <w:pPr>
        <w:spacing w:after="0" w:line="220" w:lineRule="exact"/>
        <w:rPr>
          <w:sz w:val="20"/>
          <w:szCs w:val="20"/>
          <w:color w:val="auto"/>
        </w:rPr>
      </w:pPr>
    </w:p>
    <w:p>
      <w:pPr>
        <w:ind w:left="1620" w:hanging="478"/>
        <w:spacing w:after="0" w:line="257" w:lineRule="auto"/>
        <w:tabs>
          <w:tab w:leader="none" w:pos="1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Amount represents the loan transaction made by the BCP in July 2007 for US$350.0 million and US$150 million, related to Series 2007-A Floating Rate Certificates due 2017 and Series 2007-B Floating Rate Certificates due 2014. The certificates bear a variable interest rate of one month Libor plus 0.28 percent and 0.25 percents for series 2007-A and 2007-B, respectively. These loans, subject to variable interest rate risk, have been hedged through three interest rate swap hedge operations for a notional amount of US$500.0 million, note 21(d).</w:t>
      </w:r>
    </w:p>
    <w:p>
      <w:pPr>
        <w:spacing w:after="0" w:line="242" w:lineRule="exact"/>
        <w:rPr>
          <w:rFonts w:ascii="Arial" w:cs="Arial" w:eastAsia="Arial" w:hAnsi="Arial"/>
          <w:sz w:val="18"/>
          <w:szCs w:val="18"/>
          <w:color w:val="auto"/>
        </w:rPr>
      </w:pPr>
    </w:p>
    <w:p>
      <w:pPr>
        <w:ind w:left="1620" w:right="40"/>
        <w:spacing w:after="0" w:line="259" w:lineRule="auto"/>
        <w:rPr>
          <w:rFonts w:ascii="Arial" w:cs="Arial" w:eastAsia="Arial" w:hAnsi="Arial"/>
          <w:sz w:val="18"/>
          <w:szCs w:val="18"/>
          <w:color w:val="auto"/>
        </w:rPr>
      </w:pPr>
      <w:r>
        <w:rPr>
          <w:rFonts w:ascii="Arial" w:cs="Arial" w:eastAsia="Arial" w:hAnsi="Arial"/>
          <w:sz w:val="18"/>
          <w:szCs w:val="18"/>
          <w:color w:val="auto"/>
        </w:rPr>
        <w:t>For the US$350.0 million of the Series 2007 - A floating Rates Certificates and the US$150.0 million of the Series 2007 - B Floating Rates Certificates, BCP has signed an insurance policy with AMBAC Assurance Corporation, which guarantees the timely payment of scheduled principal and certain accrued interest to pay the monthly payments with maturities through November 2017 and November 2014 respectively.</w:t>
      </w:r>
    </w:p>
    <w:p>
      <w:pPr>
        <w:spacing w:after="0" w:line="241" w:lineRule="exact"/>
        <w:rPr>
          <w:sz w:val="20"/>
          <w:szCs w:val="20"/>
          <w:color w:val="auto"/>
        </w:rPr>
      </w:pPr>
    </w:p>
    <w:p>
      <w:pPr>
        <w:ind w:left="1140" w:right="80"/>
        <w:spacing w:after="0" w:line="279" w:lineRule="auto"/>
        <w:rPr>
          <w:sz w:val="20"/>
          <w:szCs w:val="20"/>
          <w:color w:val="auto"/>
        </w:rPr>
      </w:pPr>
      <w:r>
        <w:rPr>
          <w:rFonts w:ascii="Arial" w:cs="Arial" w:eastAsia="Arial" w:hAnsi="Arial"/>
          <w:sz w:val="17"/>
          <w:szCs w:val="17"/>
          <w:color w:val="auto"/>
        </w:rPr>
        <w:t>All these loans are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these transactions, Wilmington Trust Company acted as Trustee under the trust agreement and Bank of New York as Indenture Trustee and administrator of the contracts.</w:t>
      </w:r>
    </w:p>
    <w:p>
      <w:pPr>
        <w:spacing w:after="0" w:line="225"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The loans obtained by the Group include covenants which in Management’s opinion, the Group is in compliance at the consolidated balance sheet 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00" w:hanging="484"/>
        <w:spacing w:after="0" w:line="277" w:lineRule="auto"/>
        <w:tabs>
          <w:tab w:leader="none" w:pos="11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 of December 31, 2007 and 2006, maturities of due to bank and correspondents and borrowed funds are shown below, based in the remaining period to the repayment date:</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Due to bank and correspondents</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670,153</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279,802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307,170</w:t>
            </w:r>
          </w:p>
        </w:tc>
        <w:tc>
          <w:tcPr>
            <w:tcW w:w="1240" w:type="dxa"/>
            <w:vAlign w:val="bottom"/>
          </w:tcPr>
          <w:p>
            <w:pPr>
              <w:jc w:val="right"/>
              <w:spacing w:after="0"/>
              <w:rPr>
                <w:sz w:val="20"/>
                <w:szCs w:val="20"/>
                <w:color w:val="auto"/>
              </w:rPr>
            </w:pPr>
            <w:r>
              <w:rPr>
                <w:rFonts w:ascii="Arial" w:cs="Arial" w:eastAsia="Arial" w:hAnsi="Arial"/>
                <w:sz w:val="18"/>
                <w:szCs w:val="18"/>
                <w:color w:val="auto"/>
              </w:rPr>
              <w:t>126,447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338,802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From 3 to 5 years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105,694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22,001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20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22,195</w:t>
            </w: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114,215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FFCC"/>
            </w:tcBorders>
            <w:shd w:val="clear" w:color="auto" w:fill="CCFFCC"/>
          </w:tcPr>
          <w:p>
            <w:pPr>
              <w:spacing w:after="0"/>
              <w:rPr>
                <w:sz w:val="22"/>
                <w:szCs w:val="22"/>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1,444,014</w:t>
            </w:r>
          </w:p>
        </w:tc>
        <w:tc>
          <w:tcPr>
            <w:tcW w:w="2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565,922</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Borrowed funds</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Up to 1 year</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8,165</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From 1 to 3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148,921</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From 3 to 5 years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303,476</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166,817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More than 5 years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409,842</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870,404</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140" w:hanging="484"/>
        <w:spacing w:after="0" w:line="342" w:lineRule="auto"/>
        <w:tabs>
          <w:tab w:leader="none" w:pos="11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As of December 31, 2007, the Group has credit lines granted by several local and foreign financial institutions amounted to US$1,390.5 million (US$1,162.5 million as of December 31, 2006) that are available for future operating activities or to settle capital commitments.</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361" w:right="73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490"/>
        <w:spacing w:after="0"/>
        <w:tabs>
          <w:tab w:leader="none" w:pos="6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insurance claims reserves and reserves for unearned premiums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98"/>
              </w:rPr>
              <w:t>Technical reserves</w:t>
            </w:r>
          </w:p>
        </w:tc>
        <w:tc>
          <w:tcPr>
            <w:tcW w:w="2140" w:type="dxa"/>
            <w:vAlign w:val="bottom"/>
            <w:gridSpan w:val="2"/>
          </w:tcPr>
          <w:p>
            <w:pPr>
              <w:jc w:val="center"/>
              <w:ind w:right="160"/>
              <w:spacing w:after="0" w:line="195" w:lineRule="exact"/>
              <w:rPr>
                <w:sz w:val="20"/>
                <w:szCs w:val="20"/>
                <w:color w:val="auto"/>
              </w:rPr>
            </w:pPr>
            <w:r>
              <w:rPr>
                <w:rFonts w:ascii="Arial" w:cs="Arial" w:eastAsia="Arial" w:hAnsi="Arial"/>
                <w:sz w:val="18"/>
                <w:szCs w:val="18"/>
                <w:b w:val="1"/>
                <w:bCs w:val="1"/>
                <w:color w:val="auto"/>
                <w:w w:val="88"/>
              </w:rPr>
              <w:t>Reserves for direct claims</w:t>
            </w:r>
          </w:p>
        </w:tc>
        <w:tc>
          <w:tcPr>
            <w:tcW w:w="146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87"/>
              </w:rPr>
              <w:t>Claims assumed</w:t>
            </w:r>
          </w:p>
        </w:tc>
        <w:tc>
          <w:tcPr>
            <w:tcW w:w="10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rPr>
              <w:t>US$(000)</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500,768</w:t>
            </w:r>
          </w:p>
        </w:tc>
        <w:tc>
          <w:tcPr>
            <w:tcW w:w="2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50,046</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550,814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Property and casualty</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109,695</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92,887</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21,257</w:t>
            </w:r>
          </w:p>
        </w:tc>
        <w:tc>
          <w:tcPr>
            <w:tcW w:w="1000" w:type="dxa"/>
            <w:vAlign w:val="bottom"/>
          </w:tcPr>
          <w:p>
            <w:pPr>
              <w:jc w:val="right"/>
              <w:spacing w:after="0"/>
              <w:rPr>
                <w:sz w:val="20"/>
                <w:szCs w:val="20"/>
                <w:color w:val="auto"/>
              </w:rPr>
            </w:pPr>
            <w:r>
              <w:rPr>
                <w:rFonts w:ascii="Arial" w:cs="Arial" w:eastAsia="Arial" w:hAnsi="Arial"/>
                <w:sz w:val="18"/>
                <w:szCs w:val="18"/>
                <w:color w:val="auto"/>
              </w:rPr>
              <w:t>223,839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62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15,766</w:t>
            </w:r>
          </w:p>
        </w:tc>
        <w:tc>
          <w:tcPr>
            <w:tcW w:w="214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25,059</w:t>
            </w: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FFC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626,229</w:t>
            </w:r>
          </w:p>
        </w:tc>
        <w:tc>
          <w:tcPr>
            <w:tcW w:w="160" w:type="dxa"/>
            <w:vAlign w:val="bottom"/>
            <w:tcBorders>
              <w:bottom w:val="single" w:sz="8" w:color="CCFFCC"/>
            </w:tcBorders>
            <w:shd w:val="clear" w:color="auto" w:fill="CCFFCC"/>
          </w:tcPr>
          <w:p>
            <w:pPr>
              <w:spacing w:after="0"/>
              <w:rPr>
                <w:sz w:val="22"/>
                <w:szCs w:val="22"/>
                <w:color w:val="auto"/>
              </w:rPr>
            </w:pPr>
          </w:p>
        </w:tc>
        <w:tc>
          <w:tcPr>
            <w:tcW w:w="1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167,992</w:t>
            </w:r>
          </w:p>
        </w:tc>
        <w:tc>
          <w:tcPr>
            <w:tcW w:w="16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21,306</w:t>
            </w:r>
          </w:p>
        </w:tc>
        <w:tc>
          <w:tcPr>
            <w:tcW w:w="1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815,527</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40" w:type="dxa"/>
            <w:vAlign w:val="bottom"/>
            <w:gridSpan w:val="2"/>
          </w:tcPr>
          <w:p>
            <w:pPr>
              <w:jc w:val="right"/>
              <w:ind w:right="120"/>
              <w:spacing w:after="0" w:line="195" w:lineRule="exact"/>
              <w:rPr>
                <w:sz w:val="20"/>
                <w:szCs w:val="20"/>
                <w:color w:val="auto"/>
              </w:rPr>
            </w:pPr>
            <w:r>
              <w:rPr>
                <w:rFonts w:ascii="Arial" w:cs="Arial" w:eastAsia="Arial" w:hAnsi="Arial"/>
                <w:sz w:val="18"/>
                <w:szCs w:val="18"/>
                <w:b w:val="1"/>
                <w:bCs w:val="1"/>
                <w:color w:val="auto"/>
                <w:w w:val="86"/>
              </w:rPr>
              <w:t>Technical reserves</w:t>
            </w:r>
          </w:p>
        </w:tc>
        <w:tc>
          <w:tcPr>
            <w:tcW w:w="2220" w:type="dxa"/>
            <w:vAlign w:val="bottom"/>
            <w:gridSpan w:val="3"/>
          </w:tcPr>
          <w:p>
            <w:pPr>
              <w:jc w:val="center"/>
              <w:ind w:right="80"/>
              <w:spacing w:after="0" w:line="195" w:lineRule="exact"/>
              <w:rPr>
                <w:sz w:val="20"/>
                <w:szCs w:val="20"/>
                <w:color w:val="auto"/>
              </w:rPr>
            </w:pPr>
            <w:r>
              <w:rPr>
                <w:rFonts w:ascii="Arial" w:cs="Arial" w:eastAsia="Arial" w:hAnsi="Arial"/>
                <w:sz w:val="18"/>
                <w:szCs w:val="18"/>
                <w:b w:val="1"/>
                <w:bCs w:val="1"/>
                <w:color w:val="auto"/>
                <w:w w:val="88"/>
              </w:rPr>
              <w:t>Reserves for direct claims</w:t>
            </w:r>
          </w:p>
        </w:tc>
        <w:tc>
          <w:tcPr>
            <w:tcW w:w="14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Claims assumed</w:t>
            </w:r>
          </w:p>
        </w:tc>
        <w:tc>
          <w:tcPr>
            <w:tcW w:w="1020" w:type="dxa"/>
            <w:vAlign w:val="bottom"/>
          </w:tcPr>
          <w:p>
            <w:pPr>
              <w:jc w:val="right"/>
              <w:ind w:right="230"/>
              <w:spacing w:after="0" w:line="195"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442,172</w:t>
            </w:r>
          </w:p>
        </w:tc>
        <w:tc>
          <w:tcPr>
            <w:tcW w:w="22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41,932</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484,898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Property and casualty</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67,640</w:t>
            </w:r>
          </w:p>
        </w:tc>
        <w:tc>
          <w:tcPr>
            <w:tcW w:w="2220" w:type="dxa"/>
            <w:vAlign w:val="bottom"/>
            <w:gridSpan w:val="3"/>
          </w:tcPr>
          <w:p>
            <w:pPr>
              <w:jc w:val="right"/>
              <w:ind w:right="160"/>
              <w:spacing w:after="0"/>
              <w:rPr>
                <w:sz w:val="20"/>
                <w:szCs w:val="20"/>
                <w:color w:val="auto"/>
              </w:rPr>
            </w:pPr>
            <w:r>
              <w:rPr>
                <w:rFonts w:ascii="Arial" w:cs="Arial" w:eastAsia="Arial" w:hAnsi="Arial"/>
                <w:sz w:val="18"/>
                <w:szCs w:val="18"/>
                <w:color w:val="auto"/>
              </w:rPr>
              <w:t>39,429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2,164</w:t>
            </w:r>
          </w:p>
        </w:tc>
        <w:tc>
          <w:tcPr>
            <w:tcW w:w="1020" w:type="dxa"/>
            <w:vAlign w:val="bottom"/>
          </w:tcPr>
          <w:p>
            <w:pPr>
              <w:jc w:val="right"/>
              <w:spacing w:after="0"/>
              <w:rPr>
                <w:sz w:val="20"/>
                <w:szCs w:val="20"/>
                <w:color w:val="auto"/>
              </w:rPr>
            </w:pPr>
            <w:r>
              <w:rPr>
                <w:rFonts w:ascii="Arial" w:cs="Arial" w:eastAsia="Arial" w:hAnsi="Arial"/>
                <w:sz w:val="18"/>
                <w:szCs w:val="18"/>
                <w:color w:val="auto"/>
              </w:rPr>
              <w:t>109,233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5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15,029</w:t>
            </w:r>
          </w:p>
        </w:tc>
        <w:tc>
          <w:tcPr>
            <w:tcW w:w="2220" w:type="dxa"/>
            <w:vAlign w:val="bottom"/>
            <w:tcBorders>
              <w:bottom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19,053</w:t>
            </w:r>
          </w:p>
        </w:tc>
        <w:tc>
          <w:tcPr>
            <w:tcW w:w="146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34,090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Borders>
              <w:top w:val="single" w:sz="8" w:color="CCFFC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524,841</w:t>
            </w:r>
          </w:p>
        </w:tc>
        <w:tc>
          <w:tcPr>
            <w:tcW w:w="2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100,414</w:t>
            </w:r>
          </w:p>
        </w:tc>
        <w:tc>
          <w:tcPr>
            <w:tcW w:w="16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2,966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628,221</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The reserves for claims represent the reported claims and the reserve for the incurred and non-reported claims by the policyholders chargeable to the Group and its Subsidiaries. The reported claims are adjusted on the basis of the technical reports received from the adjusters. The claims to be paid by the reinsurers and coinsurers are shown as ceded claims.</w:t>
      </w:r>
    </w:p>
    <w:p>
      <w:pPr>
        <w:spacing w:after="0" w:line="235" w:lineRule="exact"/>
        <w:rPr>
          <w:sz w:val="20"/>
          <w:szCs w:val="20"/>
          <w:color w:val="auto"/>
        </w:rPr>
      </w:pPr>
    </w:p>
    <w:p>
      <w:pPr>
        <w:jc w:val="both"/>
        <w:ind w:left="1140" w:right="120"/>
        <w:spacing w:after="0" w:line="297" w:lineRule="auto"/>
        <w:rPr>
          <w:sz w:val="20"/>
          <w:szCs w:val="20"/>
          <w:color w:val="auto"/>
        </w:rPr>
      </w:pPr>
      <w:r>
        <w:rPr>
          <w:rFonts w:ascii="Arial" w:cs="Arial" w:eastAsia="Arial" w:hAnsi="Arial"/>
          <w:sz w:val="16"/>
          <w:szCs w:val="16"/>
          <w:color w:val="auto"/>
        </w:rPr>
        <w:t>The reserves for direct claims include reserves for incurred and non-reported claims for the three types of risks that the Group manages; such amounts at December 31, 2007 were US$36.6 million (US$27.6 million as of December 31, 2006), of which US$14,9 million correspond to life risks, US$3.1 million to property and casualty and US$18.6 million to health risks (US$11.7, US$3.7 and US$12.2 million, respectively, as of December 31, 2006). The IBNR reserves have been determined on the basis of the Bornhuetter - Ferguson methodology - BF, which is applied to compare statistical occurrences of claims, excluding payments made to the policyholders.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
        <w:spacing w:after="0" w:line="259" w:lineRule="auto"/>
        <w:rPr>
          <w:sz w:val="20"/>
          <w:szCs w:val="20"/>
          <w:color w:val="auto"/>
        </w:rPr>
      </w:pPr>
      <w:r>
        <w:rPr>
          <w:rFonts w:ascii="Arial" w:cs="Arial" w:eastAsia="Arial" w:hAnsi="Arial"/>
          <w:sz w:val="18"/>
          <w:szCs w:val="18"/>
          <w:color w:val="auto"/>
        </w:rPr>
        <w:t>During 2007 and previous years, the differences between the estimations for the incurred and non-reported claims and the settled and pending liquidation claims have not been significant. In the case of property and casualty and health risks, retrospective analysis indicate that the amounts provisioned are greater than the settled claims and those pending liquidation by a percentage that does not exceed 10 percent of the provisioned amounts.</w:t>
      </w:r>
    </w:p>
    <w:p>
      <w:pPr>
        <w:spacing w:after="0" w:line="2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for the years ended December 31, 2007 and 2006 of technical and insurance claims reserves is as follows:</w:t>
      </w:r>
    </w:p>
    <w:p>
      <w:pPr>
        <w:spacing w:after="0" w:line="279" w:lineRule="exact"/>
        <w:rPr>
          <w:sz w:val="20"/>
          <w:szCs w:val="20"/>
          <w:color w:val="auto"/>
        </w:rPr>
      </w:pPr>
    </w:p>
    <w:p>
      <w:pPr>
        <w:ind w:left="1140" w:hanging="484"/>
        <w:spacing w:after="0"/>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Reserves for insurance claims (direct and assumed):</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1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Life insurance</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Health insurance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US$(000)</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42,726</w:t>
            </w:r>
          </w:p>
        </w:tc>
        <w:tc>
          <w:tcPr>
            <w:tcW w:w="16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41,593</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19,061</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Claims</w:t>
            </w:r>
          </w:p>
        </w:tc>
        <w:tc>
          <w:tcPr>
            <w:tcW w:w="1180" w:type="dxa"/>
            <w:vAlign w:val="bottom"/>
          </w:tcPr>
          <w:p>
            <w:pPr>
              <w:jc w:val="right"/>
              <w:spacing w:after="0"/>
              <w:rPr>
                <w:sz w:val="20"/>
                <w:szCs w:val="20"/>
                <w:color w:val="auto"/>
              </w:rPr>
            </w:pPr>
            <w:r>
              <w:rPr>
                <w:rFonts w:ascii="Arial" w:cs="Arial" w:eastAsia="Arial" w:hAnsi="Arial"/>
                <w:sz w:val="18"/>
                <w:szCs w:val="18"/>
                <w:color w:val="auto"/>
              </w:rPr>
              <w:t>63,744</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152,351</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108,767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(57,626)</w:t>
            </w: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(79,817)</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(103,061)</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(240,504)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Translation result</w:t>
            </w:r>
          </w:p>
        </w:tc>
        <w:tc>
          <w:tcPr>
            <w:tcW w:w="1180" w:type="dxa"/>
            <w:vAlign w:val="bottom"/>
          </w:tcPr>
          <w:p>
            <w:pPr>
              <w:jc w:val="right"/>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80" w:type="dxa"/>
            <w:vAlign w:val="bottom"/>
          </w:tcPr>
          <w:p>
            <w:pPr>
              <w:jc w:val="right"/>
              <w:spacing w:after="0"/>
              <w:rPr>
                <w:sz w:val="20"/>
                <w:szCs w:val="20"/>
                <w:color w:val="auto"/>
              </w:rPr>
            </w:pPr>
            <w:r>
              <w:rPr>
                <w:rFonts w:ascii="Arial" w:cs="Arial" w:eastAsia="Arial" w:hAnsi="Arial"/>
                <w:sz w:val="18"/>
                <w:szCs w:val="18"/>
                <w:color w:val="auto"/>
              </w:rPr>
              <w:t>50,046</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114,144</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25,108</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189,298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1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Life insurance</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Health insurance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US$(000)</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36,839</w:t>
            </w: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30,690</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15,139</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82,668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Claims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52,713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60,285</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89,797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202,795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(49,369)</w:t>
            </w: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(49,386)</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(86,119)</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(184,874)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Translation result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2,543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2,791</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284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80" w:type="dxa"/>
            <w:vAlign w:val="bottom"/>
          </w:tcPr>
          <w:p>
            <w:pPr>
              <w:jc w:val="right"/>
              <w:spacing w:after="0"/>
              <w:rPr>
                <w:sz w:val="20"/>
                <w:szCs w:val="20"/>
                <w:color w:val="auto"/>
              </w:rPr>
            </w:pPr>
            <w:r>
              <w:rPr>
                <w:rFonts w:ascii="Arial" w:cs="Arial" w:eastAsia="Arial" w:hAnsi="Arial"/>
                <w:sz w:val="18"/>
                <w:szCs w:val="18"/>
                <w:color w:val="auto"/>
              </w:rPr>
              <w:t>42,726</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41,593</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19,061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103,380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ind w:right="1180"/>
              <w:spacing w:after="0"/>
              <w:rPr>
                <w:sz w:val="20"/>
                <w:szCs w:val="20"/>
                <w:color w:val="auto"/>
              </w:rPr>
            </w:pPr>
            <w:r>
              <w:rPr>
                <w:rFonts w:ascii="Arial" w:cs="Arial" w:eastAsia="Arial" w:hAnsi="Arial"/>
                <w:sz w:val="18"/>
                <w:szCs w:val="18"/>
                <w:color w:val="auto"/>
              </w:rPr>
              <w:t>F-65</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2980" w:type="dxa"/>
            <w:vAlign w:val="bottom"/>
            <w:gridSpan w:val="2"/>
          </w:tcPr>
          <w:p>
            <w:pPr>
              <w:ind w:left="140"/>
              <w:spacing w:after="0"/>
              <w:rPr>
                <w:sz w:val="20"/>
                <w:szCs w:val="20"/>
                <w:color w:val="auto"/>
              </w:rPr>
            </w:pPr>
            <w:r>
              <w:rPr>
                <w:rFonts w:ascii="Arial" w:cs="Arial" w:eastAsia="Arial" w:hAnsi="Arial"/>
                <w:sz w:val="18"/>
                <w:szCs w:val="18"/>
                <w:color w:val="auto"/>
              </w:rPr>
              <w:t>Technical Reserves: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Life insurance</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Health insurance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US$(000)</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442,172</w:t>
            </w:r>
          </w:p>
        </w:tc>
        <w:tc>
          <w:tcPr>
            <w:tcW w:w="16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67,640</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15,029</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524,841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Accretion expenses and other</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16,499</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16,499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Unearned premium reserves and</w:t>
            </w:r>
          </w:p>
        </w:tc>
        <w:tc>
          <w:tcPr>
            <w:tcW w:w="1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annual variation, net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FFCC"/>
          </w:tcPr>
          <w:p>
            <w:pPr>
              <w:spacing w:after="0"/>
              <w:rPr>
                <w:sz w:val="20"/>
                <w:szCs w:val="20"/>
                <w:color w:val="auto"/>
              </w:rPr>
            </w:pP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42,055</w:t>
            </w:r>
          </w:p>
        </w:tc>
        <w:tc>
          <w:tcPr>
            <w:tcW w:w="40" w:type="dxa"/>
            <w:vAlign w:val="bottom"/>
            <w:shd w:val="clear" w:color="auto" w:fill="CCFFCC"/>
          </w:tcPr>
          <w:p>
            <w:pPr>
              <w:spacing w:after="0"/>
              <w:rPr>
                <w:sz w:val="20"/>
                <w:szCs w:val="20"/>
                <w:color w:val="auto"/>
              </w:rPr>
            </w:pP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737</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43,012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78,342</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78,342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(26,868)</w:t>
            </w: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(26,868)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Translation result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(9,597)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84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80" w:type="dxa"/>
            <w:vAlign w:val="bottom"/>
          </w:tcPr>
          <w:p>
            <w:pPr>
              <w:jc w:val="right"/>
              <w:spacing w:after="0"/>
              <w:rPr>
                <w:sz w:val="20"/>
                <w:szCs w:val="20"/>
                <w:color w:val="auto"/>
              </w:rPr>
            </w:pPr>
            <w:r>
              <w:rPr>
                <w:rFonts w:ascii="Arial" w:cs="Arial" w:eastAsia="Arial" w:hAnsi="Arial"/>
                <w:sz w:val="18"/>
                <w:szCs w:val="18"/>
                <w:color w:val="auto"/>
              </w:rPr>
              <w:t>500,768</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109,695</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15,766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626,229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Life insurance</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Health insurance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US$(000)</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383,158</w:t>
            </w:r>
          </w:p>
        </w:tc>
        <w:tc>
          <w:tcPr>
            <w:tcW w:w="16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63,976</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16,292</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463,426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Accretion expenses and other</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12,683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12,683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Unearned premium reserves and</w:t>
            </w:r>
          </w:p>
        </w:tc>
        <w:tc>
          <w:tcPr>
            <w:tcW w:w="1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annual variation, net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0"/>
                <w:szCs w:val="20"/>
                <w:color w:val="auto"/>
              </w:rPr>
            </w:pP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3,664</w:t>
            </w:r>
          </w:p>
        </w:tc>
        <w:tc>
          <w:tcPr>
            <w:tcW w:w="40" w:type="dxa"/>
            <w:vAlign w:val="bottom"/>
            <w:shd w:val="clear" w:color="auto" w:fill="CCFFCC"/>
          </w:tcPr>
          <w:p>
            <w:pPr>
              <w:spacing w:after="0"/>
              <w:rPr>
                <w:sz w:val="20"/>
                <w:szCs w:val="20"/>
                <w:color w:val="auto"/>
              </w:rPr>
            </w:pPr>
          </w:p>
        </w:tc>
        <w:tc>
          <w:tcPr>
            <w:tcW w:w="1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(1,263)</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60,227</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60,227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(23,356)</w:t>
            </w:r>
          </w:p>
        </w:tc>
        <w:tc>
          <w:tcPr>
            <w:tcW w:w="17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Translation result</w:t>
            </w:r>
          </w:p>
        </w:tc>
        <w:tc>
          <w:tcPr>
            <w:tcW w:w="1180" w:type="dxa"/>
            <w:vAlign w:val="bottom"/>
          </w:tcPr>
          <w:p>
            <w:pPr>
              <w:jc w:val="right"/>
              <w:spacing w:after="0"/>
              <w:rPr>
                <w:sz w:val="20"/>
                <w:szCs w:val="20"/>
                <w:color w:val="auto"/>
              </w:rPr>
            </w:pPr>
            <w:r>
              <w:rPr>
                <w:rFonts w:ascii="Arial" w:cs="Arial" w:eastAsia="Arial" w:hAnsi="Arial"/>
                <w:sz w:val="18"/>
                <w:szCs w:val="18"/>
                <w:color w:val="auto"/>
              </w:rPr>
              <w:t>9,460</w:t>
            </w:r>
          </w:p>
        </w:tc>
        <w:tc>
          <w:tcPr>
            <w:tcW w:w="160" w:type="dxa"/>
            <w:vAlign w:val="bottom"/>
          </w:tcPr>
          <w:p>
            <w:pPr>
              <w:spacing w:after="0"/>
              <w:rPr>
                <w:sz w:val="21"/>
                <w:szCs w:val="21"/>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84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80" w:type="dxa"/>
            <w:vAlign w:val="bottom"/>
          </w:tcPr>
          <w:p>
            <w:pPr>
              <w:jc w:val="right"/>
              <w:spacing w:after="0"/>
              <w:rPr>
                <w:sz w:val="20"/>
                <w:szCs w:val="20"/>
                <w:color w:val="auto"/>
              </w:rPr>
            </w:pPr>
            <w:r>
              <w:rPr>
                <w:rFonts w:ascii="Arial" w:cs="Arial" w:eastAsia="Arial" w:hAnsi="Arial"/>
                <w:sz w:val="18"/>
                <w:szCs w:val="18"/>
                <w:color w:val="auto"/>
              </w:rPr>
              <w:t>442,172</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67,640</w:t>
            </w:r>
          </w:p>
        </w:tc>
        <w:tc>
          <w:tcPr>
            <w:tcW w:w="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15,029</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524,841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spacing w:after="0" w:line="308" w:lineRule="auto"/>
        <w:rPr>
          <w:sz w:val="20"/>
          <w:szCs w:val="20"/>
          <w:color w:val="auto"/>
        </w:rPr>
      </w:pPr>
      <w:r>
        <w:rPr>
          <w:rFonts w:ascii="Arial" w:cs="Arial" w:eastAsia="Arial" w:hAnsi="Arial"/>
          <w:sz w:val="17"/>
          <w:szCs w:val="17"/>
          <w:color w:val="auto"/>
        </w:rPr>
        <w:t>As of December 31, 2007 and 2006, no additional reserves were needed as a result of the liability adequacy test. The main assumptions used in estimation of annuities, disability and survivor reserves as of December 31, 2007 and 2006, were the following:</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1" w:right="39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700" w:type="dxa"/>
            <w:vAlign w:val="bottom"/>
          </w:tcPr>
          <w:p>
            <w:pPr>
              <w:ind w:left="1080"/>
              <w:spacing w:after="0"/>
              <w:rPr>
                <w:sz w:val="20"/>
                <w:szCs w:val="20"/>
                <w:color w:val="auto"/>
              </w:rPr>
            </w:pPr>
            <w:r>
              <w:rPr>
                <w:rFonts w:ascii="Arial" w:cs="Arial" w:eastAsia="Arial" w:hAnsi="Arial"/>
                <w:sz w:val="18"/>
                <w:szCs w:val="18"/>
                <w:b w:val="1"/>
                <w:bCs w:val="1"/>
                <w:color w:val="auto"/>
              </w:rPr>
              <w:t>Modality</w:t>
            </w:r>
          </w:p>
        </w:tc>
        <w:tc>
          <w:tcPr>
            <w:tcW w:w="2620" w:type="dxa"/>
            <w:vAlign w:val="bottom"/>
          </w:tcPr>
          <w:p>
            <w:pPr>
              <w:ind w:left="1000"/>
              <w:spacing w:after="0"/>
              <w:rPr>
                <w:sz w:val="20"/>
                <w:szCs w:val="20"/>
                <w:color w:val="auto"/>
              </w:rPr>
            </w:pPr>
            <w:r>
              <w:rPr>
                <w:rFonts w:ascii="Arial" w:cs="Arial" w:eastAsia="Arial" w:hAnsi="Arial"/>
                <w:sz w:val="18"/>
                <w:szCs w:val="18"/>
                <w:b w:val="1"/>
                <w:bCs w:val="1"/>
                <w:color w:val="auto"/>
              </w:rPr>
              <w:t>Mortality Table</w:t>
            </w:r>
          </w:p>
        </w:tc>
        <w:tc>
          <w:tcPr>
            <w:tcW w:w="2740" w:type="dxa"/>
            <w:vAlign w:val="bottom"/>
          </w:tcPr>
          <w:p>
            <w:pPr>
              <w:ind w:left="1320"/>
              <w:spacing w:after="0"/>
              <w:rPr>
                <w:sz w:val="20"/>
                <w:szCs w:val="20"/>
                <w:color w:val="auto"/>
              </w:rPr>
            </w:pPr>
            <w:r>
              <w:rPr>
                <w:rFonts w:ascii="Arial" w:cs="Arial" w:eastAsia="Arial" w:hAnsi="Arial"/>
                <w:sz w:val="18"/>
                <w:szCs w:val="18"/>
                <w:b w:val="1"/>
                <w:bCs w:val="1"/>
                <w:color w:val="auto"/>
              </w:rPr>
              <w:t>Technical rates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Life immediate annuity</w:t>
            </w:r>
          </w:p>
        </w:tc>
        <w:tc>
          <w:tcPr>
            <w:tcW w:w="2620" w:type="dxa"/>
            <w:vAlign w:val="bottom"/>
          </w:tcPr>
          <w:p>
            <w:pPr>
              <w:ind w:left="160"/>
              <w:spacing w:after="0"/>
              <w:rPr>
                <w:sz w:val="20"/>
                <w:szCs w:val="20"/>
                <w:color w:val="auto"/>
              </w:rPr>
            </w:pPr>
            <w:r>
              <w:rPr>
                <w:rFonts w:ascii="Arial" w:cs="Arial" w:eastAsia="Arial" w:hAnsi="Arial"/>
                <w:sz w:val="18"/>
                <w:szCs w:val="18"/>
                <w:color w:val="auto"/>
              </w:rPr>
              <w:t>RV2004 and B - 85</w:t>
            </w:r>
          </w:p>
        </w:tc>
        <w:tc>
          <w:tcPr>
            <w:tcW w:w="2740" w:type="dxa"/>
            <w:vAlign w:val="bottom"/>
          </w:tcPr>
          <w:p>
            <w:pPr>
              <w:ind w:left="400"/>
              <w:spacing w:after="0"/>
              <w:rPr>
                <w:sz w:val="20"/>
                <w:szCs w:val="20"/>
                <w:color w:val="auto"/>
              </w:rPr>
            </w:pPr>
            <w:r>
              <w:rPr>
                <w:rFonts w:ascii="Arial" w:cs="Arial" w:eastAsia="Arial" w:hAnsi="Arial"/>
                <w:sz w:val="18"/>
                <w:szCs w:val="18"/>
                <w:color w:val="auto"/>
              </w:rPr>
              <w:t>4.80% - 5.22% in US$</w:t>
            </w:r>
          </w:p>
        </w:tc>
      </w:tr>
      <w:tr>
        <w:trPr>
          <w:trHeight w:val="216"/>
        </w:trPr>
        <w:tc>
          <w:tcPr>
            <w:tcW w:w="2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4.01% in 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5"/>
              </w:rPr>
              <w:t>Dead an Disability Pension System</w:t>
            </w:r>
          </w:p>
        </w:tc>
        <w:tc>
          <w:tcPr>
            <w:tcW w:w="26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Provisional regime 3.00%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insurance</w:t>
            </w:r>
          </w:p>
        </w:tc>
        <w:tc>
          <w:tcPr>
            <w:tcW w:w="2620" w:type="dxa"/>
            <w:vAlign w:val="bottom"/>
          </w:tcPr>
          <w:p>
            <w:pPr>
              <w:ind w:left="160"/>
              <w:spacing w:after="0"/>
              <w:rPr>
                <w:sz w:val="20"/>
                <w:szCs w:val="20"/>
                <w:color w:val="auto"/>
              </w:rPr>
            </w:pPr>
            <w:r>
              <w:rPr>
                <w:rFonts w:ascii="Arial" w:cs="Arial" w:eastAsia="Arial" w:hAnsi="Arial"/>
                <w:sz w:val="18"/>
                <w:szCs w:val="18"/>
                <w:color w:val="auto"/>
              </w:rPr>
              <w:t>RV 85 MI - 85H and 85M</w:t>
            </w:r>
          </w:p>
        </w:tc>
        <w:tc>
          <w:tcPr>
            <w:tcW w:w="2740" w:type="dxa"/>
            <w:vAlign w:val="bottom"/>
          </w:tcPr>
          <w:p>
            <w:pPr>
              <w:ind w:left="400"/>
              <w:spacing w:after="0"/>
              <w:rPr>
                <w:sz w:val="20"/>
                <w:szCs w:val="20"/>
                <w:color w:val="auto"/>
              </w:rPr>
            </w:pPr>
            <w:r>
              <w:rPr>
                <w:rFonts w:ascii="Arial" w:cs="Arial" w:eastAsia="Arial" w:hAnsi="Arial"/>
                <w:sz w:val="18"/>
                <w:szCs w:val="18"/>
                <w:color w:val="auto"/>
              </w:rPr>
              <w:t>Definitive regime 2.96% in S/</w:t>
            </w:r>
          </w:p>
        </w:tc>
      </w:tr>
      <w:tr>
        <w:trPr>
          <w:trHeight w:val="216"/>
        </w:trPr>
        <w:tc>
          <w:tcPr>
            <w:tcW w:w="2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w w:val="93"/>
              </w:rPr>
              <w:t>Definitive regime 4.78% in US$</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Individual Life</w:t>
            </w:r>
          </w:p>
        </w:tc>
        <w:tc>
          <w:tcPr>
            <w:tcW w:w="2620" w:type="dxa"/>
            <w:vAlign w:val="bottom"/>
          </w:tcPr>
          <w:p>
            <w:pPr>
              <w:ind w:left="160"/>
              <w:spacing w:after="0"/>
              <w:rPr>
                <w:sz w:val="20"/>
                <w:szCs w:val="20"/>
                <w:color w:val="auto"/>
              </w:rPr>
            </w:pPr>
            <w:r>
              <w:rPr>
                <w:rFonts w:ascii="Arial" w:cs="Arial" w:eastAsia="Arial" w:hAnsi="Arial"/>
                <w:sz w:val="18"/>
                <w:szCs w:val="18"/>
                <w:color w:val="auto"/>
              </w:rPr>
              <w:t>SOC 80 adjustable</w:t>
            </w:r>
          </w:p>
        </w:tc>
        <w:tc>
          <w:tcPr>
            <w:tcW w:w="2740" w:type="dxa"/>
            <w:vAlign w:val="bottom"/>
          </w:tcPr>
          <w:p>
            <w:pPr>
              <w:ind w:left="400"/>
              <w:spacing w:after="0"/>
              <w:rPr>
                <w:sz w:val="20"/>
                <w:szCs w:val="20"/>
                <w:color w:val="auto"/>
              </w:rPr>
            </w:pPr>
            <w:r>
              <w:rPr>
                <w:rFonts w:ascii="Arial" w:cs="Arial" w:eastAsia="Arial" w:hAnsi="Arial"/>
                <w:sz w:val="18"/>
                <w:szCs w:val="18"/>
                <w:color w:val="auto"/>
              </w:rPr>
              <w:t>4.00% - 5.00%</w:t>
            </w:r>
          </w:p>
        </w:tc>
      </w:tr>
    </w:tbl>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mortality tables are those recommended by the regulators in Peru.</w:t>
      </w:r>
    </w:p>
    <w:p>
      <w:pPr>
        <w:spacing w:after="0" w:line="279" w:lineRule="exact"/>
        <w:rPr>
          <w:sz w:val="20"/>
          <w:szCs w:val="20"/>
          <w:color w:val="auto"/>
        </w:rPr>
      </w:pPr>
    </w:p>
    <w:p>
      <w:pPr>
        <w:jc w:val="both"/>
        <w:ind w:left="1140" w:right="12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at the consolidated balance sheet date being the interest rates and the mortality tables. The Group has evaluated, the changes of the reserves related to life insurance (Life immediate annuities) of +/- 100 bps of the interest rates and of +/- 5 bps of the mortality factors, being the results as follows: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Variables</w:t>
            </w:r>
          </w:p>
        </w:tc>
        <w:tc>
          <w:tcPr>
            <w:tcW w:w="2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Amount of the reserve</w:t>
            </w:r>
          </w:p>
        </w:tc>
        <w:tc>
          <w:tcPr>
            <w:tcW w:w="25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13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w w:val="98"/>
              </w:rPr>
              <w:t>Percentage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20" w:type="dxa"/>
            <w:vAlign w:val="bottom"/>
          </w:tcPr>
          <w:p>
            <w:pPr>
              <w:jc w:val="right"/>
              <w:ind w:right="630"/>
              <w:spacing w:after="0"/>
              <w:rPr>
                <w:sz w:val="20"/>
                <w:szCs w:val="20"/>
                <w:color w:val="auto"/>
              </w:rPr>
            </w:pPr>
            <w:r>
              <w:rPr>
                <w:rFonts w:ascii="Arial" w:cs="Arial" w:eastAsia="Arial" w:hAnsi="Arial"/>
                <w:sz w:val="18"/>
                <w:szCs w:val="18"/>
                <w:color w:val="auto"/>
              </w:rPr>
              <w:t>US$(000)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US$(000)</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 Basis amount</w:t>
            </w:r>
          </w:p>
        </w:tc>
        <w:tc>
          <w:tcPr>
            <w:tcW w:w="2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279,027</w:t>
            </w:r>
          </w:p>
        </w:tc>
        <w:tc>
          <w:tcPr>
            <w:tcW w:w="1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720" w:type="dxa"/>
            <w:vAlign w:val="bottom"/>
          </w:tcPr>
          <w:p>
            <w:pPr>
              <w:jc w:val="right"/>
              <w:ind w:right="90"/>
              <w:spacing w:after="0"/>
              <w:rPr>
                <w:sz w:val="20"/>
                <w:szCs w:val="20"/>
                <w:color w:val="auto"/>
              </w:rPr>
            </w:pPr>
            <w:r>
              <w:rPr>
                <w:rFonts w:ascii="Arial" w:cs="Arial" w:eastAsia="Arial" w:hAnsi="Arial"/>
                <w:sz w:val="18"/>
                <w:szCs w:val="18"/>
                <w:color w:val="auto"/>
              </w:rPr>
              <w:t>254,058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(24,969)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308,651</w:t>
            </w:r>
          </w:p>
        </w:tc>
        <w:tc>
          <w:tcPr>
            <w:tcW w:w="13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29,624</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720" w:type="dxa"/>
            <w:vAlign w:val="bottom"/>
          </w:tcPr>
          <w:p>
            <w:pPr>
              <w:jc w:val="right"/>
              <w:ind w:right="90"/>
              <w:spacing w:after="0"/>
              <w:rPr>
                <w:sz w:val="20"/>
                <w:szCs w:val="20"/>
                <w:color w:val="auto"/>
              </w:rPr>
            </w:pPr>
            <w:r>
              <w:rPr>
                <w:rFonts w:ascii="Arial" w:cs="Arial" w:eastAsia="Arial" w:hAnsi="Arial"/>
                <w:sz w:val="18"/>
                <w:szCs w:val="18"/>
                <w:color w:val="auto"/>
              </w:rPr>
              <w:t>275,951</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(3,076)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282,269</w:t>
            </w:r>
          </w:p>
        </w:tc>
        <w:tc>
          <w:tcPr>
            <w:tcW w:w="13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3,242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4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Variables</w:t>
            </w:r>
          </w:p>
        </w:tc>
        <w:tc>
          <w:tcPr>
            <w:tcW w:w="2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Amount of the reserve</w:t>
            </w:r>
          </w:p>
        </w:tc>
        <w:tc>
          <w:tcPr>
            <w:tcW w:w="25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Variation of the reserve</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2720" w:type="dxa"/>
            <w:vAlign w:val="bottom"/>
            <w:vMerge w:val="continue"/>
          </w:tcPr>
          <w:p>
            <w:pPr>
              <w:spacing w:after="0"/>
              <w:rPr>
                <w:sz w:val="16"/>
                <w:szCs w:val="16"/>
                <w:color w:val="auto"/>
              </w:rPr>
            </w:pPr>
          </w:p>
        </w:tc>
        <w:tc>
          <w:tcPr>
            <w:tcW w:w="13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w w:val="98"/>
              </w:rPr>
              <w:t>Percentage</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720" w:type="dxa"/>
            <w:vAlign w:val="bottom"/>
          </w:tcPr>
          <w:p>
            <w:pPr>
              <w:jc w:val="right"/>
              <w:ind w:right="610"/>
              <w:spacing w:after="0"/>
              <w:rPr>
                <w:sz w:val="20"/>
                <w:szCs w:val="20"/>
                <w:color w:val="auto"/>
              </w:rPr>
            </w:pPr>
            <w:r>
              <w:rPr>
                <w:rFonts w:ascii="Arial" w:cs="Arial" w:eastAsia="Arial" w:hAnsi="Arial"/>
                <w:sz w:val="18"/>
                <w:szCs w:val="18"/>
                <w:color w:val="auto"/>
              </w:rPr>
              <w:t>US$ (000)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US$ (000)</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2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15,015</w:t>
            </w:r>
          </w:p>
        </w:tc>
        <w:tc>
          <w:tcPr>
            <w:tcW w:w="1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720" w:type="dxa"/>
            <w:vAlign w:val="bottom"/>
          </w:tcPr>
          <w:p>
            <w:pPr>
              <w:jc w:val="right"/>
              <w:ind w:right="90"/>
              <w:spacing w:after="0"/>
              <w:rPr>
                <w:sz w:val="20"/>
                <w:szCs w:val="20"/>
                <w:color w:val="auto"/>
              </w:rPr>
            </w:pPr>
            <w:r>
              <w:rPr>
                <w:rFonts w:ascii="Arial" w:cs="Arial" w:eastAsia="Arial" w:hAnsi="Arial"/>
                <w:sz w:val="18"/>
                <w:szCs w:val="18"/>
                <w:color w:val="auto"/>
              </w:rPr>
              <w:t>13,353</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(1,662)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16,692</w:t>
            </w:r>
          </w:p>
        </w:tc>
        <w:tc>
          <w:tcPr>
            <w:tcW w:w="13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1,677</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720" w:type="dxa"/>
            <w:vAlign w:val="bottom"/>
          </w:tcPr>
          <w:p>
            <w:pPr>
              <w:jc w:val="right"/>
              <w:ind w:right="90"/>
              <w:spacing w:after="0"/>
              <w:rPr>
                <w:sz w:val="20"/>
                <w:szCs w:val="20"/>
                <w:color w:val="auto"/>
              </w:rPr>
            </w:pPr>
            <w:r>
              <w:rPr>
                <w:rFonts w:ascii="Arial" w:cs="Arial" w:eastAsia="Arial" w:hAnsi="Arial"/>
                <w:sz w:val="18"/>
                <w:szCs w:val="18"/>
                <w:color w:val="auto"/>
              </w:rPr>
              <w:t>14,926</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15,110</w:t>
            </w:r>
          </w:p>
        </w:tc>
        <w:tc>
          <w:tcPr>
            <w:tcW w:w="13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95</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0.63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20" w:type="dxa"/>
            <w:vAlign w:val="bottom"/>
          </w:tcPr>
          <w:p>
            <w:pPr>
              <w:jc w:val="right"/>
              <w:ind w:right="1330"/>
              <w:spacing w:after="0"/>
              <w:rPr>
                <w:sz w:val="20"/>
                <w:szCs w:val="20"/>
                <w:color w:val="auto"/>
              </w:rPr>
            </w:pPr>
            <w:r>
              <w:rPr>
                <w:rFonts w:ascii="Arial" w:cs="Arial" w:eastAsia="Arial" w:hAnsi="Arial"/>
                <w:sz w:val="18"/>
                <w:szCs w:val="18"/>
                <w:color w:val="auto"/>
              </w:rPr>
              <w:t>F-67</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gridSpan w:val="4"/>
          </w:tcPr>
          <w:p>
            <w:pPr>
              <w:ind w:left="180"/>
              <w:spacing w:after="0"/>
              <w:rPr>
                <w:sz w:val="20"/>
                <w:szCs w:val="20"/>
                <w:color w:val="auto"/>
              </w:rPr>
            </w:pPr>
            <w:r>
              <w:rPr>
                <w:rFonts w:ascii="Arial" w:cs="Arial" w:eastAsia="Arial" w:hAnsi="Arial"/>
                <w:sz w:val="18"/>
                <w:szCs w:val="18"/>
                <w:b w:val="1"/>
                <w:bCs w:val="1"/>
                <w:color w:val="auto"/>
              </w:rPr>
              <w:t>17.   Bonds and subordinate notes issued</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color w:val="auto"/>
              </w:rPr>
              <w:t>(a)</w:t>
            </w: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rPr>
              <w:t>This item is made up as follows:</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b w:val="1"/>
                <w:bCs w:val="1"/>
                <w:color w:val="auto"/>
                <w:w w:val="91"/>
              </w:rPr>
              <w:t>Weighted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average annual interest rate</w:t>
            </w:r>
          </w:p>
        </w:tc>
        <w:tc>
          <w:tcPr>
            <w:tcW w:w="180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Maturity</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8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2006</w:t>
            </w:r>
          </w:p>
        </w:tc>
        <w:tc>
          <w:tcPr>
            <w:tcW w:w="10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1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7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Bonds -</w:t>
            </w:r>
          </w:p>
        </w:tc>
        <w:tc>
          <w:tcPr>
            <w:tcW w:w="8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Between February</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2008 and December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rPr>
              <w:t>Corporate bonds (i)</w:t>
            </w:r>
          </w:p>
        </w:tc>
        <w:tc>
          <w:tcPr>
            <w:tcW w:w="820" w:type="dxa"/>
            <w:vAlign w:val="bottom"/>
          </w:tcPr>
          <w:p>
            <w:pPr>
              <w:ind w:left="40"/>
              <w:spacing w:after="0"/>
              <w:rPr>
                <w:sz w:val="20"/>
                <w:szCs w:val="20"/>
                <w:color w:val="auto"/>
              </w:rPr>
            </w:pPr>
            <w:r>
              <w:rPr>
                <w:rFonts w:ascii="Arial" w:cs="Arial" w:eastAsia="Arial" w:hAnsi="Arial"/>
                <w:sz w:val="18"/>
                <w:szCs w:val="18"/>
                <w:color w:val="auto"/>
              </w:rPr>
              <w:t>6.59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800" w:type="dxa"/>
            <w:vAlign w:val="bottom"/>
          </w:tcPr>
          <w:p>
            <w:pPr>
              <w:spacing w:after="0"/>
              <w:rPr>
                <w:sz w:val="20"/>
                <w:szCs w:val="20"/>
                <w:color w:val="auto"/>
              </w:rPr>
            </w:pPr>
            <w:r>
              <w:rPr>
                <w:rFonts w:ascii="Arial" w:cs="Arial" w:eastAsia="Arial" w:hAnsi="Arial"/>
                <w:sz w:val="18"/>
                <w:szCs w:val="18"/>
                <w:color w:val="auto"/>
              </w:rPr>
              <w:t>2014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127,331</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90,173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Between January 2008</w:t>
            </w: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Leasing bonds (ii), (iii)</w:t>
            </w:r>
          </w:p>
        </w:tc>
        <w:tc>
          <w:tcPr>
            <w:tcW w:w="820" w:type="dxa"/>
            <w:vAlign w:val="bottom"/>
            <w:shd w:val="clear" w:color="auto" w:fill="CCFFCC"/>
          </w:tcPr>
          <w:p>
            <w:pPr>
              <w:ind w:left="40"/>
              <w:spacing w:after="0"/>
              <w:rPr>
                <w:sz w:val="20"/>
                <w:szCs w:val="20"/>
                <w:color w:val="auto"/>
              </w:rPr>
            </w:pPr>
            <w:r>
              <w:rPr>
                <w:rFonts w:ascii="Arial" w:cs="Arial" w:eastAsia="Arial" w:hAnsi="Arial"/>
                <w:sz w:val="18"/>
                <w:szCs w:val="18"/>
                <w:color w:val="auto"/>
              </w:rPr>
              <w:t>6.10</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w:t>
            </w:r>
          </w:p>
        </w:tc>
        <w:tc>
          <w:tcPr>
            <w:tcW w:w="1800" w:type="dxa"/>
            <w:vAlign w:val="bottom"/>
            <w:shd w:val="clear" w:color="auto" w:fill="CCFFCC"/>
          </w:tcPr>
          <w:p>
            <w:pPr>
              <w:spacing w:after="0"/>
              <w:rPr>
                <w:sz w:val="20"/>
                <w:szCs w:val="20"/>
                <w:color w:val="auto"/>
              </w:rPr>
            </w:pPr>
            <w:r>
              <w:rPr>
                <w:rFonts w:ascii="Arial" w:cs="Arial" w:eastAsia="Arial" w:hAnsi="Arial"/>
                <w:sz w:val="18"/>
                <w:szCs w:val="18"/>
                <w:color w:val="auto"/>
              </w:rPr>
              <w:t>and November 2010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167,255</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177,952</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Between May 2011</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rPr>
              <w:t>Mortgage bonds (iii)</w:t>
            </w:r>
          </w:p>
        </w:tc>
        <w:tc>
          <w:tcPr>
            <w:tcW w:w="820" w:type="dxa"/>
            <w:vAlign w:val="bottom"/>
          </w:tcPr>
          <w:p>
            <w:pPr>
              <w:ind w:left="40"/>
              <w:spacing w:after="0"/>
              <w:rPr>
                <w:sz w:val="20"/>
                <w:szCs w:val="20"/>
                <w:color w:val="auto"/>
              </w:rPr>
            </w:pPr>
            <w:r>
              <w:rPr>
                <w:rFonts w:ascii="Arial" w:cs="Arial" w:eastAsia="Arial" w:hAnsi="Arial"/>
                <w:sz w:val="18"/>
                <w:szCs w:val="18"/>
                <w:color w:val="auto"/>
              </w:rPr>
              <w:t>7.70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1800" w:type="dxa"/>
            <w:vAlign w:val="bottom"/>
          </w:tcPr>
          <w:p>
            <w:pPr>
              <w:spacing w:after="0"/>
              <w:rPr>
                <w:sz w:val="20"/>
                <w:szCs w:val="20"/>
                <w:color w:val="auto"/>
              </w:rPr>
            </w:pPr>
            <w:r>
              <w:rPr>
                <w:rFonts w:ascii="Arial" w:cs="Arial" w:eastAsia="Arial" w:hAnsi="Arial"/>
                <w:sz w:val="18"/>
                <w:szCs w:val="18"/>
                <w:color w:val="auto"/>
              </w:rPr>
              <w:t>and April 2012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20,744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23,610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Between January 2008</w:t>
            </w: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Subordinated bonds</w:t>
            </w:r>
          </w:p>
        </w:tc>
        <w:tc>
          <w:tcPr>
            <w:tcW w:w="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6.72</w:t>
            </w:r>
          </w:p>
        </w:tc>
        <w:tc>
          <w:tcPr>
            <w:tcW w:w="8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6.89</w:t>
            </w:r>
          </w:p>
        </w:tc>
        <w:tc>
          <w:tcPr>
            <w:tcW w:w="1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and May 2027</w:t>
            </w:r>
          </w:p>
        </w:tc>
        <w:tc>
          <w:tcPr>
            <w:tcW w:w="11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104,841</w:t>
            </w:r>
          </w:p>
        </w:tc>
        <w:tc>
          <w:tcPr>
            <w:tcW w:w="10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96,758</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Borders>
              <w:top w:val="single" w:sz="8" w:color="CCFFCC"/>
            </w:tcBorders>
          </w:tcPr>
          <w:p>
            <w:pPr>
              <w:spacing w:after="0"/>
              <w:rPr>
                <w:sz w:val="20"/>
                <w:szCs w:val="20"/>
                <w:color w:val="auto"/>
              </w:rPr>
            </w:pPr>
          </w:p>
        </w:tc>
        <w:tc>
          <w:tcPr>
            <w:tcW w:w="760" w:type="dxa"/>
            <w:vAlign w:val="bottom"/>
            <w:tcBorders>
              <w:top w:val="single" w:sz="8" w:color="CCFFCC"/>
            </w:tcBorders>
          </w:tcPr>
          <w:p>
            <w:pPr>
              <w:spacing w:after="0"/>
              <w:rPr>
                <w:sz w:val="20"/>
                <w:szCs w:val="20"/>
                <w:color w:val="auto"/>
              </w:rPr>
            </w:pPr>
          </w:p>
        </w:tc>
        <w:tc>
          <w:tcPr>
            <w:tcW w:w="820" w:type="dxa"/>
            <w:vAlign w:val="bottom"/>
            <w:tcBorders>
              <w:top w:val="single" w:sz="8" w:color="CCFFCC"/>
            </w:tcBorders>
          </w:tcPr>
          <w:p>
            <w:pPr>
              <w:spacing w:after="0"/>
              <w:rPr>
                <w:sz w:val="20"/>
                <w:szCs w:val="20"/>
                <w:color w:val="auto"/>
              </w:rPr>
            </w:pPr>
          </w:p>
        </w:tc>
        <w:tc>
          <w:tcPr>
            <w:tcW w:w="78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800" w:type="dxa"/>
            <w:vAlign w:val="bottom"/>
            <w:tcBorders>
              <w:top w:val="single" w:sz="8" w:color="CCFFC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420,171</w:t>
            </w:r>
          </w:p>
        </w:tc>
        <w:tc>
          <w:tcPr>
            <w:tcW w:w="100" w:type="dxa"/>
            <w:vAlign w:val="bottom"/>
            <w:tcBorders>
              <w:top w:val="single" w:sz="8" w:color="CCFFC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388,493</w:t>
            </w:r>
          </w:p>
        </w:tc>
        <w:tc>
          <w:tcPr>
            <w:tcW w:w="80" w:type="dxa"/>
            <w:vAlign w:val="bottom"/>
            <w:tcBorders>
              <w:top w:val="single" w:sz="8" w:color="CCFFCC"/>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b w:val="1"/>
                <w:bCs w:val="1"/>
                <w:color w:val="auto"/>
              </w:rPr>
              <w:t>Subordinated notes -</w:t>
            </w: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Subordinated negotiable</w:t>
            </w:r>
          </w:p>
        </w:tc>
        <w:tc>
          <w:tcPr>
            <w:tcW w:w="8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certificates notes (iv)</w:t>
            </w:r>
          </w:p>
        </w:tc>
        <w:tc>
          <w:tcPr>
            <w:tcW w:w="8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0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113,503</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120,000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3180" w:type="dxa"/>
            <w:vAlign w:val="bottom"/>
            <w:gridSpan w:val="3"/>
          </w:tcPr>
          <w:p>
            <w:pPr>
              <w:ind w:left="140"/>
              <w:spacing w:after="0"/>
              <w:rPr>
                <w:sz w:val="20"/>
                <w:szCs w:val="20"/>
                <w:color w:val="auto"/>
              </w:rPr>
            </w:pPr>
            <w:r>
              <w:rPr>
                <w:rFonts w:ascii="Arial" w:cs="Arial" w:eastAsia="Arial" w:hAnsi="Arial"/>
                <w:sz w:val="18"/>
                <w:szCs w:val="18"/>
                <w:color w:val="auto"/>
              </w:rPr>
              <w:t>Subordinated notes (iv)</w:t>
            </w: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161,308</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0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694,982</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508,493</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318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08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payable</w:t>
            </w:r>
          </w:p>
        </w:tc>
        <w:tc>
          <w:tcPr>
            <w:tcW w:w="8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80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7,316</w:t>
            </w:r>
          </w:p>
        </w:tc>
        <w:tc>
          <w:tcPr>
            <w:tcW w:w="10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4,079</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tcBorders>
              <w:top w:val="single" w:sz="8" w:color="CCFFCC"/>
            </w:tcBorders>
            <w:gridSpan w:val="2"/>
          </w:tcPr>
          <w:p>
            <w:pPr>
              <w:spacing w:after="0"/>
              <w:rPr>
                <w:sz w:val="20"/>
                <w:szCs w:val="20"/>
                <w:color w:val="auto"/>
              </w:rPr>
            </w:pPr>
          </w:p>
        </w:tc>
        <w:tc>
          <w:tcPr>
            <w:tcW w:w="820" w:type="dxa"/>
            <w:vAlign w:val="bottom"/>
            <w:tcBorders>
              <w:top w:val="single" w:sz="8" w:color="CCFFCC"/>
            </w:tcBorders>
          </w:tcPr>
          <w:p>
            <w:pPr>
              <w:spacing w:after="0"/>
              <w:rPr>
                <w:sz w:val="20"/>
                <w:szCs w:val="20"/>
                <w:color w:val="auto"/>
              </w:rPr>
            </w:pPr>
          </w:p>
        </w:tc>
        <w:tc>
          <w:tcPr>
            <w:tcW w:w="78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800" w:type="dxa"/>
            <w:vAlign w:val="bottom"/>
            <w:tcBorders>
              <w:top w:val="single" w:sz="8" w:color="CCFFC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800" w:type="dxa"/>
            <w:vAlign w:val="bottom"/>
            <w:shd w:val="clear" w:color="auto" w:fill="CCFFCC"/>
          </w:tcPr>
          <w:p>
            <w:pPr>
              <w:spacing w:after="0"/>
              <w:rPr>
                <w:sz w:val="24"/>
                <w:szCs w:val="2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702,298</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512,572</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Borders>
              <w:top w:val="single" w:sz="8" w:color="CCFFCC"/>
            </w:tcBorders>
          </w:tcPr>
          <w:p>
            <w:pPr>
              <w:spacing w:after="0"/>
              <w:rPr>
                <w:sz w:val="24"/>
                <w:szCs w:val="24"/>
                <w:color w:val="auto"/>
              </w:rPr>
            </w:pPr>
          </w:p>
        </w:tc>
        <w:tc>
          <w:tcPr>
            <w:tcW w:w="7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8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F-68</w:t>
            </w:r>
          </w:p>
        </w:tc>
        <w:tc>
          <w:tcPr>
            <w:tcW w:w="1800" w:type="dxa"/>
            <w:vAlign w:val="bottom"/>
            <w:tcBorders>
              <w:top w:val="single" w:sz="8" w:color="CCFFC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280" w:hanging="322"/>
        <w:spacing w:after="0" w:line="277" w:lineRule="auto"/>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During 2007, the Group issued corporate bonds for US$50.1 million (US$47.2 million corporate bonds issued during 2006) and redeemed bonds for US$18.8 million (US$43.4 million during 2006). The details of the new issuance are the following:</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040" w:type="dxa"/>
            <w:vAlign w:val="bottom"/>
          </w:tcPr>
          <w:p>
            <w:pPr>
              <w:ind w:left="480"/>
              <w:spacing w:after="0"/>
              <w:rPr>
                <w:sz w:val="20"/>
                <w:szCs w:val="20"/>
                <w:color w:val="auto"/>
              </w:rPr>
            </w:pPr>
            <w:r>
              <w:rPr>
                <w:rFonts w:ascii="Arial" w:cs="Arial" w:eastAsia="Arial" w:hAnsi="Arial"/>
                <w:sz w:val="18"/>
                <w:szCs w:val="18"/>
                <w:b w:val="1"/>
                <w:bCs w:val="1"/>
                <w:color w:val="auto"/>
              </w:rPr>
              <w:t>Issuance 2007</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9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Currency</w:t>
            </w:r>
          </w:p>
        </w:tc>
        <w:tc>
          <w:tcPr>
            <w:tcW w:w="168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Maturity</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20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Second Program of</w:t>
            </w:r>
          </w:p>
        </w:tc>
        <w:tc>
          <w:tcPr>
            <w:tcW w:w="1540" w:type="dxa"/>
            <w:vAlign w:val="bottom"/>
            <w:shd w:val="clear" w:color="auto" w:fill="CCFFCC"/>
          </w:tcPr>
          <w:p>
            <w:pPr>
              <w:spacing w:after="0"/>
              <w:rPr>
                <w:sz w:val="17"/>
                <w:szCs w:val="17"/>
                <w:color w:val="auto"/>
              </w:rPr>
            </w:pPr>
          </w:p>
        </w:tc>
        <w:tc>
          <w:tcPr>
            <w:tcW w:w="1900" w:type="dxa"/>
            <w:vAlign w:val="bottom"/>
            <w:shd w:val="clear" w:color="auto" w:fill="CCFFCC"/>
          </w:tcPr>
          <w:p>
            <w:pPr>
              <w:spacing w:after="0"/>
              <w:rPr>
                <w:sz w:val="17"/>
                <w:szCs w:val="17"/>
                <w:color w:val="auto"/>
              </w:rPr>
            </w:pPr>
          </w:p>
        </w:tc>
        <w:tc>
          <w:tcPr>
            <w:tcW w:w="16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Corporate Bonds BCP</w:t>
            </w:r>
          </w:p>
        </w:tc>
        <w:tc>
          <w:tcPr>
            <w:tcW w:w="1540" w:type="dxa"/>
            <w:vAlign w:val="bottom"/>
            <w:shd w:val="clear" w:color="auto" w:fill="CCFFCC"/>
          </w:tcPr>
          <w:p>
            <w:pPr>
              <w:spacing w:after="0"/>
              <w:rPr>
                <w:sz w:val="20"/>
                <w:szCs w:val="20"/>
                <w:color w:val="auto"/>
              </w:rPr>
            </w:pPr>
          </w:p>
        </w:tc>
        <w:tc>
          <w:tcPr>
            <w:tcW w:w="1900" w:type="dxa"/>
            <w:vAlign w:val="bottom"/>
            <w:shd w:val="clear" w:color="auto" w:fill="CCFFCC"/>
          </w:tcPr>
          <w:p>
            <w:pPr>
              <w:spacing w:after="0"/>
              <w:rPr>
                <w:sz w:val="20"/>
                <w:szCs w:val="20"/>
                <w:color w:val="auto"/>
              </w:rPr>
            </w:pPr>
          </w:p>
        </w:tc>
        <w:tc>
          <w:tcPr>
            <w:tcW w:w="168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2"/>
              </w:rPr>
              <w:t>First issuance - Series A (*)</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50,067</w:t>
            </w:r>
          </w:p>
        </w:tc>
        <w:tc>
          <w:tcPr>
            <w:tcW w:w="1900" w:type="dxa"/>
            <w:vAlign w:val="bottom"/>
          </w:tcPr>
          <w:p>
            <w:pPr>
              <w:jc w:val="center"/>
              <w:ind w:left="50"/>
              <w:spacing w:after="0"/>
              <w:rPr>
                <w:sz w:val="20"/>
                <w:szCs w:val="20"/>
                <w:color w:val="auto"/>
              </w:rPr>
            </w:pPr>
            <w:r>
              <w:rPr>
                <w:rFonts w:ascii="Arial" w:cs="Arial" w:eastAsia="Arial" w:hAnsi="Arial"/>
                <w:sz w:val="18"/>
                <w:szCs w:val="18"/>
                <w:color w:val="auto"/>
                <w:w w:val="90"/>
              </w:rPr>
              <w:t>Peruvian</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19/12/2014</w:t>
            </w: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040" w:type="dxa"/>
            <w:vAlign w:val="bottom"/>
          </w:tcPr>
          <w:p>
            <w:pPr>
              <w:ind w:left="480"/>
              <w:spacing w:after="0"/>
              <w:rPr>
                <w:sz w:val="20"/>
                <w:szCs w:val="20"/>
                <w:color w:val="auto"/>
              </w:rPr>
            </w:pPr>
            <w:r>
              <w:rPr>
                <w:rFonts w:ascii="Arial" w:cs="Arial" w:eastAsia="Arial" w:hAnsi="Arial"/>
                <w:sz w:val="18"/>
                <w:szCs w:val="18"/>
                <w:b w:val="1"/>
                <w:bCs w:val="1"/>
                <w:color w:val="auto"/>
              </w:rPr>
              <w:t>Issuance 2006</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Currency</w:t>
            </w:r>
          </w:p>
        </w:tc>
        <w:tc>
          <w:tcPr>
            <w:tcW w:w="168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Maturity</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US$(000)</w:t>
            </w: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First Program of</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Corporate Bonds BCP</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Sixth issuance - Series B</w:t>
            </w:r>
          </w:p>
        </w:tc>
        <w:tc>
          <w:tcPr>
            <w:tcW w:w="18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6,258</w:t>
            </w:r>
          </w:p>
        </w:tc>
        <w:tc>
          <w:tcPr>
            <w:tcW w:w="15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0"/>
              </w:rPr>
              <w:t>Peruvian</w:t>
            </w:r>
          </w:p>
        </w:tc>
        <w:tc>
          <w:tcPr>
            <w:tcW w:w="16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08/08/2008</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Sixth issuance - Series A</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6,258</w:t>
            </w:r>
          </w:p>
        </w:tc>
        <w:tc>
          <w:tcPr>
            <w:tcW w:w="1580" w:type="dxa"/>
            <w:vAlign w:val="bottom"/>
          </w:tcPr>
          <w:p>
            <w:pPr>
              <w:jc w:val="center"/>
              <w:ind w:right="90"/>
              <w:spacing w:after="0"/>
              <w:rPr>
                <w:sz w:val="20"/>
                <w:szCs w:val="20"/>
                <w:color w:val="auto"/>
              </w:rPr>
            </w:pPr>
            <w:r>
              <w:rPr>
                <w:rFonts w:ascii="Arial" w:cs="Arial" w:eastAsia="Arial" w:hAnsi="Arial"/>
                <w:sz w:val="18"/>
                <w:szCs w:val="18"/>
                <w:color w:val="auto"/>
                <w:w w:val="90"/>
              </w:rPr>
              <w:t>Peruvian</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0"/>
              </w:rPr>
              <w:t>27/02/2008</w:t>
            </w:r>
          </w:p>
        </w:tc>
        <w:tc>
          <w:tcPr>
            <w:tcW w:w="104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Eight issuance - Series B</w:t>
            </w:r>
          </w:p>
        </w:tc>
        <w:tc>
          <w:tcPr>
            <w:tcW w:w="18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10,951</w:t>
            </w:r>
          </w:p>
        </w:tc>
        <w:tc>
          <w:tcPr>
            <w:tcW w:w="15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0"/>
              </w:rPr>
              <w:t>Peruvian</w:t>
            </w:r>
          </w:p>
        </w:tc>
        <w:tc>
          <w:tcPr>
            <w:tcW w:w="16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06/09/2010</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9"/>
              </w:rPr>
              <w:t>Eight issuance - Series C</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7,822</w:t>
            </w:r>
          </w:p>
        </w:tc>
        <w:tc>
          <w:tcPr>
            <w:tcW w:w="1580" w:type="dxa"/>
            <w:vAlign w:val="bottom"/>
          </w:tcPr>
          <w:p>
            <w:pPr>
              <w:jc w:val="center"/>
              <w:ind w:right="90"/>
              <w:spacing w:after="0"/>
              <w:rPr>
                <w:sz w:val="20"/>
                <w:szCs w:val="20"/>
                <w:color w:val="auto"/>
              </w:rPr>
            </w:pPr>
            <w:r>
              <w:rPr>
                <w:rFonts w:ascii="Arial" w:cs="Arial" w:eastAsia="Arial" w:hAnsi="Arial"/>
                <w:sz w:val="18"/>
                <w:szCs w:val="18"/>
                <w:color w:val="auto"/>
                <w:w w:val="90"/>
              </w:rPr>
              <w:t>Peruvian</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0"/>
              </w:rPr>
              <w:t>21/09/2010</w:t>
            </w:r>
          </w:p>
        </w:tc>
        <w:tc>
          <w:tcPr>
            <w:tcW w:w="104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w w:val="99"/>
              </w:rPr>
              <w:t>Eight issuance - Series D</w:t>
            </w:r>
          </w:p>
        </w:tc>
        <w:tc>
          <w:tcPr>
            <w:tcW w:w="18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5,006</w:t>
            </w:r>
          </w:p>
        </w:tc>
        <w:tc>
          <w:tcPr>
            <w:tcW w:w="15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0"/>
              </w:rPr>
              <w:t>Peruvian</w:t>
            </w:r>
          </w:p>
        </w:tc>
        <w:tc>
          <w:tcPr>
            <w:tcW w:w="168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88"/>
              </w:rPr>
              <w:t>11/10/2010</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99"/>
              </w:rPr>
              <w:t>Ninth issuance - Series B</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7,822</w:t>
            </w:r>
          </w:p>
        </w:tc>
        <w:tc>
          <w:tcPr>
            <w:tcW w:w="1580" w:type="dxa"/>
            <w:vAlign w:val="bottom"/>
          </w:tcPr>
          <w:p>
            <w:pPr>
              <w:jc w:val="center"/>
              <w:ind w:right="90"/>
              <w:spacing w:after="0"/>
              <w:rPr>
                <w:sz w:val="20"/>
                <w:szCs w:val="20"/>
                <w:color w:val="auto"/>
              </w:rPr>
            </w:pPr>
            <w:r>
              <w:rPr>
                <w:rFonts w:ascii="Arial" w:cs="Arial" w:eastAsia="Arial" w:hAnsi="Arial"/>
                <w:sz w:val="18"/>
                <w:szCs w:val="18"/>
                <w:color w:val="auto"/>
                <w:w w:val="90"/>
              </w:rPr>
              <w:t>Peruvian</w:t>
            </w:r>
          </w:p>
        </w:tc>
        <w:tc>
          <w:tcPr>
            <w:tcW w:w="1680" w:type="dxa"/>
            <w:vAlign w:val="bottom"/>
          </w:tcPr>
          <w:p>
            <w:pPr>
              <w:jc w:val="center"/>
              <w:ind w:left="70"/>
              <w:spacing w:after="0"/>
              <w:rPr>
                <w:sz w:val="20"/>
                <w:szCs w:val="20"/>
                <w:color w:val="auto"/>
              </w:rPr>
            </w:pPr>
            <w:r>
              <w:rPr>
                <w:rFonts w:ascii="Arial" w:cs="Arial" w:eastAsia="Arial" w:hAnsi="Arial"/>
                <w:sz w:val="18"/>
                <w:szCs w:val="18"/>
                <w:color w:val="auto"/>
                <w:w w:val="88"/>
              </w:rPr>
              <w:t>03/03/2011</w:t>
            </w: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7"/>
              </w:rPr>
              <w:t>Tenth issuance - Series B</w:t>
            </w:r>
          </w:p>
        </w:tc>
        <w:tc>
          <w:tcPr>
            <w:tcW w:w="1860" w:type="dxa"/>
            <w:vAlign w:val="bottom"/>
            <w:tcBorders>
              <w:bottom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3,129</w:t>
            </w:r>
          </w:p>
        </w:tc>
        <w:tc>
          <w:tcPr>
            <w:tcW w:w="1580" w:type="dxa"/>
            <w:vAlign w:val="bottom"/>
            <w:tcBorders>
              <w:bottom w:val="single" w:sz="8" w:color="CCFFCC"/>
            </w:tcBorders>
            <w:shd w:val="clear" w:color="auto" w:fill="CCFFCC"/>
          </w:tcPr>
          <w:p>
            <w:pPr>
              <w:jc w:val="center"/>
              <w:ind w:right="90"/>
              <w:spacing w:after="0"/>
              <w:rPr>
                <w:sz w:val="20"/>
                <w:szCs w:val="20"/>
                <w:color w:val="auto"/>
              </w:rPr>
            </w:pPr>
            <w:r>
              <w:rPr>
                <w:rFonts w:ascii="Arial" w:cs="Arial" w:eastAsia="Arial" w:hAnsi="Arial"/>
                <w:sz w:val="18"/>
                <w:szCs w:val="18"/>
                <w:color w:val="auto"/>
                <w:w w:val="90"/>
              </w:rPr>
              <w:t>Peruvian</w:t>
            </w:r>
          </w:p>
        </w:tc>
        <w:tc>
          <w:tcPr>
            <w:tcW w:w="1680" w:type="dxa"/>
            <w:vAlign w:val="bottom"/>
            <w:tcBorders>
              <w:bottom w:val="single" w:sz="8" w:color="CCFFCC"/>
            </w:tcBorders>
            <w:shd w:val="clear" w:color="auto" w:fill="CCFFCC"/>
          </w:tcPr>
          <w:p>
            <w:pPr>
              <w:jc w:val="center"/>
              <w:ind w:left="50"/>
              <w:spacing w:after="0"/>
              <w:rPr>
                <w:sz w:val="20"/>
                <w:szCs w:val="20"/>
                <w:color w:val="auto"/>
              </w:rPr>
            </w:pPr>
            <w:r>
              <w:rPr>
                <w:rFonts w:ascii="Arial" w:cs="Arial" w:eastAsia="Arial" w:hAnsi="Arial"/>
                <w:sz w:val="18"/>
                <w:szCs w:val="18"/>
                <w:color w:val="auto"/>
                <w:w w:val="90"/>
              </w:rPr>
              <w:t>24/03/2013</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40" w:type="dxa"/>
            <w:vAlign w:val="bottom"/>
            <w:tcBorders>
              <w:top w:val="single" w:sz="8" w:color="CCFFCC"/>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20" w:type="dxa"/>
            <w:vAlign w:val="bottom"/>
            <w:tcBorders>
              <w:top w:val="single" w:sz="8" w:color="CCFFCC"/>
            </w:tcBorders>
          </w:tcPr>
          <w:p>
            <w:pPr>
              <w:spacing w:after="0"/>
              <w:rPr>
                <w:sz w:val="20"/>
                <w:szCs w:val="20"/>
                <w:color w:val="auto"/>
              </w:rPr>
            </w:pPr>
          </w:p>
        </w:tc>
        <w:tc>
          <w:tcPr>
            <w:tcW w:w="1580" w:type="dxa"/>
            <w:vAlign w:val="bottom"/>
            <w:tcBorders>
              <w:top w:val="single" w:sz="8" w:color="CCFFCC"/>
            </w:tcBorders>
          </w:tcPr>
          <w:p>
            <w:pPr>
              <w:spacing w:after="0"/>
              <w:rPr>
                <w:sz w:val="20"/>
                <w:szCs w:val="20"/>
                <w:color w:val="auto"/>
              </w:rPr>
            </w:pPr>
          </w:p>
        </w:tc>
        <w:tc>
          <w:tcPr>
            <w:tcW w:w="1680" w:type="dxa"/>
            <w:vAlign w:val="bottom"/>
            <w:tcBorders>
              <w:top w:val="single" w:sz="8" w:color="CCFFCC"/>
            </w:tcBorders>
          </w:tcPr>
          <w:p>
            <w:pPr>
              <w:spacing w:after="0"/>
              <w:rPr>
                <w:sz w:val="20"/>
                <w:szCs w:val="20"/>
                <w:color w:val="auto"/>
              </w:rPr>
            </w:pPr>
          </w:p>
        </w:tc>
        <w:tc>
          <w:tcPr>
            <w:tcW w:w="104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vMerge w:val="continue"/>
          </w:tcPr>
          <w:p>
            <w:pPr>
              <w:spacing w:after="0"/>
              <w:rPr>
                <w:sz w:val="24"/>
                <w:szCs w:val="24"/>
                <w:color w:val="auto"/>
              </w:rPr>
            </w:pPr>
          </w:p>
        </w:tc>
        <w:tc>
          <w:tcPr>
            <w:tcW w:w="2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47,246</w:t>
            </w:r>
          </w:p>
        </w:tc>
        <w:tc>
          <w:tcPr>
            <w:tcW w:w="320" w:type="dxa"/>
            <w:vAlign w:val="bottom"/>
            <w:tcBorders>
              <w:bottom w:val="single" w:sz="8" w:color="CCFFCC"/>
            </w:tcBorders>
            <w:shd w:val="clear" w:color="auto" w:fill="CCFFCC"/>
          </w:tcPr>
          <w:p>
            <w:pPr>
              <w:spacing w:after="0"/>
              <w:rPr>
                <w:sz w:val="24"/>
                <w:szCs w:val="24"/>
                <w:color w:val="auto"/>
              </w:rPr>
            </w:pPr>
          </w:p>
        </w:tc>
        <w:tc>
          <w:tcPr>
            <w:tcW w:w="1580" w:type="dxa"/>
            <w:vAlign w:val="bottom"/>
            <w:tcBorders>
              <w:bottom w:val="single" w:sz="8" w:color="CCFFCC"/>
            </w:tcBorders>
            <w:shd w:val="clear" w:color="auto" w:fill="CCFFCC"/>
          </w:tcPr>
          <w:p>
            <w:pPr>
              <w:spacing w:after="0"/>
              <w:rPr>
                <w:sz w:val="24"/>
                <w:szCs w:val="24"/>
                <w:color w:val="auto"/>
              </w:rPr>
            </w:pPr>
          </w:p>
        </w:tc>
        <w:tc>
          <w:tcPr>
            <w:tcW w:w="16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1620" w:right="280" w:hanging="478"/>
        <w:spacing w:after="0" w:line="264" w:lineRule="auto"/>
        <w:tabs>
          <w:tab w:leader="none" w:pos="16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Based on this issuance, it has been obtained a “Cross currency swap” operation from JP Morgan Chase &amp; Co.; with the objective to convert the risk profile of the bonds from Peruvian currency to US Dollars. Likewise, the fixed annual nominal interest rate of 6.84 percent has been changed to a variable rate of Libor plus 84 basic points, note 21(d).</w:t>
      </w:r>
    </w:p>
    <w:p>
      <w:pPr>
        <w:spacing w:after="0" w:line="235" w:lineRule="exact"/>
        <w:rPr>
          <w:rFonts w:ascii="Arial" w:cs="Arial" w:eastAsia="Arial" w:hAnsi="Arial"/>
          <w:sz w:val="18"/>
          <w:szCs w:val="18"/>
          <w:color w:val="auto"/>
        </w:rPr>
      </w:pPr>
    </w:p>
    <w:p>
      <w:pPr>
        <w:jc w:val="both"/>
        <w:ind w:left="1140" w:right="40" w:hanging="322"/>
        <w:spacing w:after="0" w:line="264" w:lineRule="auto"/>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During the course of 2007, Banco de Crédito del Perú S.A., a subsidiary of Credicorp, issued lease bonds amounting to US$39.6 million with maturities between June 2009 and January 2010. Also, in 2007, bonds were redeemed by Credicorp for US$55.0 million (US$41.6 million in 2006).</w:t>
      </w:r>
    </w:p>
    <w:p>
      <w:pPr>
        <w:spacing w:after="0" w:line="235" w:lineRule="exact"/>
        <w:rPr>
          <w:rFonts w:ascii="Arial" w:cs="Arial" w:eastAsia="Arial" w:hAnsi="Arial"/>
          <w:sz w:val="18"/>
          <w:szCs w:val="18"/>
          <w:color w:val="auto"/>
        </w:rPr>
      </w:pPr>
    </w:p>
    <w:p>
      <w:pPr>
        <w:ind w:left="1140" w:hanging="322"/>
        <w:spacing w:after="0"/>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Leasing and mortgages bonds are collateralized by the fixed assets financed by the Group with these resources.</w:t>
      </w:r>
    </w:p>
    <w:p>
      <w:pPr>
        <w:spacing w:after="0" w:line="279" w:lineRule="exact"/>
        <w:rPr>
          <w:rFonts w:ascii="Arial" w:cs="Arial" w:eastAsia="Arial" w:hAnsi="Arial"/>
          <w:sz w:val="18"/>
          <w:szCs w:val="18"/>
          <w:color w:val="auto"/>
        </w:rPr>
      </w:pPr>
    </w:p>
    <w:p>
      <w:pPr>
        <w:ind w:left="1140" w:hanging="322"/>
        <w:spacing w:after="0" w:line="271" w:lineRule="auto"/>
        <w:tabs>
          <w:tab w:leader="none" w:pos="11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In October 2007 and November 2006, BCP through its Panama branch, issued Subordinated notes and Subordinated negotiable certificates notes amounted to S/483.3 millions (equivalent to US$161.3 million) and US$120.0 million on the international market with maturities on the years 2022 and 2021, respectively. These debts accrued a fixed annual interest rate of 7.17 and 6.95 percent, respectively, for the first 10 years, with payment each six months. After the first 10 years, the interest rate is changed to a variable interest rate, established by the market interest rate, of the sovereign bonds issued by the Peruvian Government which maturity is in year 2037, plus 150 basis points and Libor plus 2.79 percent, respectively, with half-year and quarterly payments. At the end of the first 10 years, the Bank can redeem 100 percent of the debt, without penalties. This subordinated debt has certain financial and operating covenants which in Management’s opinion, the Group is in compliance at the consolidated balance sheet date.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72" w:right="27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  The bonds and subordinate bonds issued as of December 31, 2007 and 2006, classified by maturity are shown below:</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61,188</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19,316</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85,968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56,701</w:t>
            </w: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154,953</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177,873</w:t>
            </w:r>
          </w:p>
        </w:tc>
        <w:tc>
          <w:tcPr>
            <w:tcW w:w="120" w:type="dxa"/>
            <w:vAlign w:val="bottom"/>
            <w:shd w:val="clear" w:color="auto" w:fill="CCFFC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From 3 to 5 years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68,007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110,224</w:t>
            </w:r>
          </w:p>
        </w:tc>
      </w:tr>
      <w:tr>
        <w:trPr>
          <w:trHeight w:val="275"/>
        </w:trPr>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Over 5 years</w:t>
            </w:r>
          </w:p>
        </w:tc>
        <w:tc>
          <w:tcPr>
            <w:tcW w:w="20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324,866</w:t>
            </w: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144,379</w:t>
            </w:r>
          </w:p>
        </w:tc>
        <w:tc>
          <w:tcPr>
            <w:tcW w:w="120" w:type="dxa"/>
            <w:vAlign w:val="bottom"/>
            <w:tcBorders>
              <w:bottom w:val="single" w:sz="8" w:color="CCFFCC"/>
            </w:tcBorders>
            <w:shd w:val="clear" w:color="auto" w:fill="CCFFCC"/>
          </w:tcPr>
          <w:p>
            <w:pPr>
              <w:spacing w:after="0"/>
              <w:rPr>
                <w:sz w:val="23"/>
                <w:szCs w:val="23"/>
                <w:color w:val="auto"/>
              </w:rPr>
            </w:pPr>
          </w:p>
        </w:tc>
      </w:tr>
      <w:tr>
        <w:trPr>
          <w:trHeight w:val="237"/>
        </w:trPr>
        <w:tc>
          <w:tcPr>
            <w:tcW w:w="526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83"/>
        </w:trPr>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FFCC"/>
            </w:tcBorders>
            <w:shd w:val="clear" w:color="auto" w:fill="CCFFCC"/>
          </w:tcPr>
          <w:p>
            <w:pPr>
              <w:spacing w:after="0"/>
              <w:rPr>
                <w:sz w:val="24"/>
                <w:szCs w:val="24"/>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694,982</w:t>
            </w:r>
          </w:p>
        </w:tc>
        <w:tc>
          <w:tcPr>
            <w:tcW w:w="200" w:type="dxa"/>
            <w:vAlign w:val="bottom"/>
            <w:tcBorders>
              <w:bottom w:val="single" w:sz="8" w:color="CCFFCC"/>
            </w:tcBorders>
            <w:shd w:val="clear" w:color="auto" w:fill="CCFFCC"/>
          </w:tcPr>
          <w:p>
            <w:pPr>
              <w:spacing w:after="0"/>
              <w:rPr>
                <w:sz w:val="24"/>
                <w:szCs w:val="24"/>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508,493</w:t>
            </w:r>
          </w:p>
        </w:tc>
        <w:tc>
          <w:tcPr>
            <w:tcW w:w="12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820" w:hanging="812"/>
        <w:spacing w:after="0"/>
        <w:tabs>
          <w:tab w:leader="none" w:pos="82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7" w:lineRule="exact"/>
        <w:rPr>
          <w:rFonts w:ascii="Arial" w:cs="Arial" w:eastAsia="Arial" w:hAnsi="Arial"/>
          <w:sz w:val="18"/>
          <w:szCs w:val="18"/>
          <w:b w:val="1"/>
          <w:bCs w:val="1"/>
          <w:color w:val="auto"/>
        </w:rPr>
      </w:pPr>
    </w:p>
    <w:p>
      <w:pPr>
        <w:ind w:left="1140" w:hanging="322"/>
        <w:spacing w:after="0"/>
        <w:tabs>
          <w:tab w:leader="none" w:pos="11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As of December 31, 2007, 2006 and 2005, 94,382,317 shares of capital stock were issued at US$5 per share.</w:t>
      </w:r>
    </w:p>
    <w:p>
      <w:pPr>
        <w:spacing w:after="0" w:line="278" w:lineRule="exact"/>
        <w:rPr>
          <w:rFonts w:ascii="Arial" w:cs="Arial" w:eastAsia="Arial" w:hAnsi="Arial"/>
          <w:sz w:val="18"/>
          <w:szCs w:val="18"/>
          <w:color w:val="auto"/>
        </w:rPr>
      </w:pPr>
    </w:p>
    <w:p>
      <w:pPr>
        <w:ind w:left="1140" w:hanging="322"/>
        <w:spacing w:after="0"/>
        <w:tabs>
          <w:tab w:leader="none" w:pos="11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3" w:lineRule="exact"/>
        <w:rPr>
          <w:rFonts w:ascii="Arial" w:cs="Arial" w:eastAsia="Arial" w:hAnsi="Arial"/>
          <w:sz w:val="18"/>
          <w:szCs w:val="18"/>
          <w:color w:val="auto"/>
        </w:rPr>
      </w:pPr>
    </w:p>
    <w:p>
      <w:pPr>
        <w:ind w:left="1140" w:right="220"/>
        <w:spacing w:after="0" w:line="255" w:lineRule="auto"/>
        <w:rPr>
          <w:rFonts w:ascii="Arial" w:cs="Arial" w:eastAsia="Arial" w:hAnsi="Arial"/>
          <w:sz w:val="18"/>
          <w:szCs w:val="18"/>
          <w:color w:val="auto"/>
        </w:rPr>
      </w:pPr>
      <w:r>
        <w:rPr>
          <w:rFonts w:ascii="Arial" w:cs="Arial" w:eastAsia="Arial" w:hAnsi="Arial"/>
          <w:sz w:val="18"/>
          <w:szCs w:val="18"/>
          <w:color w:val="auto"/>
        </w:rPr>
        <w:t>Treasury stock comprises of the par value of Credicorp’s shares owned by the Group’s companies, which amounts 14,620,842 shares as of December 31, 2007 and 2006. The difference of US$113.4 million, between the acquisition cost of US$186.5 million and their par value (US$73.1 million), is recorded as a reduction of the “Capital surplus”.</w:t>
      </w:r>
    </w:p>
    <w:p>
      <w:pPr>
        <w:spacing w:after="0" w:line="244" w:lineRule="exact"/>
        <w:rPr>
          <w:rFonts w:ascii="Arial" w:cs="Arial" w:eastAsia="Arial" w:hAnsi="Arial"/>
          <w:sz w:val="18"/>
          <w:szCs w:val="18"/>
          <w:color w:val="auto"/>
        </w:rPr>
      </w:pPr>
    </w:p>
    <w:p>
      <w:pPr>
        <w:ind w:left="1140" w:hanging="322"/>
        <w:spacing w:after="0"/>
        <w:tabs>
          <w:tab w:leader="none" w:pos="11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Reserves -</w:t>
      </w:r>
    </w:p>
    <w:p>
      <w:pPr>
        <w:spacing w:after="0" w:line="23"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7"/>
          <w:szCs w:val="17"/>
          <w:color w:val="auto"/>
        </w:rPr>
        <w:t>In accordance with the local laws that regulate financial and insurance activities of the Group’s subsidiaries in Peru, a reserve of up to at least 35 percent of their paid-in capital is required to be established through annual transfers of at least 10 percent of net income. As of December 31, 2007 and 2006, these reserves were approximately US$222.7 and US$214.8 million, respectively.</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02" w:right="3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400"/>
        <w:spacing w:after="0" w:line="277" w:lineRule="auto"/>
        <w:rPr>
          <w:sz w:val="20"/>
          <w:szCs w:val="20"/>
          <w:color w:val="auto"/>
        </w:rPr>
      </w:pPr>
      <w:r>
        <w:rPr>
          <w:rFonts w:ascii="Arial" w:cs="Arial" w:eastAsia="Arial" w:hAnsi="Arial"/>
          <w:sz w:val="18"/>
          <w:szCs w:val="18"/>
          <w:color w:val="auto"/>
        </w:rPr>
        <w:t>The Shareholders meeting on February 28, 2007 agreed to transfer from “Retained earnings” to “Other reserves” an amount of US$107.3 million.</w:t>
      </w:r>
    </w:p>
    <w:p>
      <w:pPr>
        <w:spacing w:after="0" w:line="224"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The Shareholders Meeting dated on October 26, 2006 agreed to transfer from “Retained earnings” to “Other reserves” an amount of US$210.4 million.</w:t>
      </w:r>
    </w:p>
    <w:p>
      <w:pPr>
        <w:spacing w:after="0" w:line="224" w:lineRule="exact"/>
        <w:rPr>
          <w:sz w:val="20"/>
          <w:szCs w:val="20"/>
          <w:color w:val="auto"/>
        </w:rPr>
      </w:pPr>
    </w:p>
    <w:p>
      <w:pPr>
        <w:ind w:left="1140" w:right="440"/>
        <w:spacing w:after="0" w:line="277" w:lineRule="auto"/>
        <w:rPr>
          <w:sz w:val="20"/>
          <w:szCs w:val="20"/>
          <w:color w:val="auto"/>
        </w:rPr>
      </w:pPr>
      <w:r>
        <w:rPr>
          <w:rFonts w:ascii="Arial" w:cs="Arial" w:eastAsia="Arial" w:hAnsi="Arial"/>
          <w:sz w:val="18"/>
          <w:szCs w:val="18"/>
          <w:color w:val="auto"/>
        </w:rPr>
        <w:t>Other reserves contain the unrealized net gains from available-for-sale investments and of the derivatives instruments used as cash flows hedge; this item is broken down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5"/>
              </w:rPr>
              <w:t>Unrealized net gains (losses) of:</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Derivatives used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Available-for-</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as cash flow</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sale investments</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hedge</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4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40" w:type="dxa"/>
            <w:vAlign w:val="bottom"/>
            <w:vMerge w:val="continue"/>
          </w:tcPr>
          <w:p>
            <w:pPr>
              <w:spacing w:after="0"/>
              <w:rPr>
                <w:sz w:val="22"/>
                <w:szCs w:val="22"/>
                <w:color w:val="auto"/>
              </w:rPr>
            </w:pPr>
          </w:p>
        </w:tc>
        <w:tc>
          <w:tcPr>
            <w:tcW w:w="432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2005</w:t>
            </w: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76,131</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76,131</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7"/>
              </w:rPr>
              <w:t>Unrealized net gain from available-for-sale investments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Note 6(c)</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7,121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7,121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Transfer of net realized gain from investments available-</w:t>
            </w:r>
          </w:p>
        </w:tc>
        <w:tc>
          <w:tcPr>
            <w:tcW w:w="13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8"/>
              </w:rPr>
              <w:t>for-sale to the income statement, net of realized loss,</w:t>
            </w:r>
          </w:p>
        </w:tc>
        <w:tc>
          <w:tcPr>
            <w:tcW w:w="1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note 6(c)</w:t>
            </w: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(1,572)</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(1,572)</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60" w:type="dxa"/>
            <w:vAlign w:val="bottom"/>
            <w:gridSpan w:val="2"/>
          </w:tcPr>
          <w:p>
            <w:pPr>
              <w:ind w:left="1140"/>
              <w:spacing w:after="0"/>
              <w:rPr>
                <w:sz w:val="20"/>
                <w:szCs w:val="20"/>
                <w:color w:val="auto"/>
              </w:rPr>
            </w:pPr>
            <w:r>
              <w:rPr>
                <w:rFonts w:ascii="Arial" w:cs="Arial" w:eastAsia="Arial" w:hAnsi="Arial"/>
                <w:sz w:val="18"/>
                <w:szCs w:val="18"/>
                <w:color w:val="auto"/>
              </w:rPr>
              <w:t>Net gain on cash flow hedge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1,622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1,622</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 2005</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81,680</w:t>
            </w:r>
          </w:p>
        </w:tc>
        <w:tc>
          <w:tcPr>
            <w:tcW w:w="180" w:type="dxa"/>
            <w:vAlign w:val="bottom"/>
            <w:shd w:val="clear" w:color="auto" w:fill="CCFFCC"/>
          </w:tcPr>
          <w:p>
            <w:pPr>
              <w:spacing w:after="0"/>
              <w:rPr>
                <w:sz w:val="20"/>
                <w:szCs w:val="20"/>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1,622</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83,302</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4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Unrealized net gain from available-for-sale investments</w:t>
            </w:r>
          </w:p>
        </w:tc>
        <w:tc>
          <w:tcPr>
            <w:tcW w:w="13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note 6(c)</w:t>
            </w: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69,411</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69,411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5"/>
              </w:rPr>
              <w:t>Transfer of net realized gain from investments available-</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w w:val="98"/>
              </w:rPr>
              <w:t>for-sale to the income statement, net of realized loss,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note 6(c)</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(6,620)</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(6,620)</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gain on cash flow hedge, note 13(b) (ii)</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1"/>
                <w:szCs w:val="21"/>
                <w:color w:val="auto"/>
              </w:rPr>
            </w:pPr>
          </w:p>
        </w:tc>
        <w:tc>
          <w:tcPr>
            <w:tcW w:w="15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1,316</w:t>
            </w:r>
          </w:p>
        </w:tc>
        <w:tc>
          <w:tcPr>
            <w:tcW w:w="12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1,316</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Balances as of December 31, 2006</w:t>
            </w:r>
          </w:p>
        </w:tc>
        <w:tc>
          <w:tcPr>
            <w:tcW w:w="1360" w:type="dxa"/>
            <w:vAlign w:val="bottom"/>
          </w:tcPr>
          <w:p>
            <w:pPr>
              <w:jc w:val="right"/>
              <w:spacing w:after="0"/>
              <w:rPr>
                <w:sz w:val="20"/>
                <w:szCs w:val="20"/>
                <w:color w:val="auto"/>
              </w:rPr>
            </w:pPr>
            <w:r>
              <w:rPr>
                <w:rFonts w:ascii="Arial" w:cs="Arial" w:eastAsia="Arial" w:hAnsi="Arial"/>
                <w:sz w:val="18"/>
                <w:szCs w:val="18"/>
                <w:color w:val="auto"/>
              </w:rPr>
              <w:t>144,471</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2,938</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147,409</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43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7"/>
              </w:rPr>
              <w:t>Net unrealized gain from available-for-sale investments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note 6(c)</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85,129</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85,129</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Transfer of net realized gain from investments available-</w:t>
            </w:r>
          </w:p>
        </w:tc>
        <w:tc>
          <w:tcPr>
            <w:tcW w:w="13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9"/>
              </w:rPr>
              <w:t>for-sale to the income statement, net of realized loss</w:t>
            </w:r>
          </w:p>
        </w:tc>
        <w:tc>
          <w:tcPr>
            <w:tcW w:w="1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and impairment, note 6(c)</w:t>
            </w: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(17,634)</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(17,634)</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7"/>
              </w:rPr>
              <w:t>Transfer of impairment on investment available-for-sale</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to income statement, note 6(c)</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5,017</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5,017</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3"/>
                <w:szCs w:val="23"/>
                <w:color w:val="auto"/>
              </w:rPr>
            </w:pPr>
          </w:p>
        </w:tc>
        <w:tc>
          <w:tcPr>
            <w:tcW w:w="4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on cash flow hedge, note 13(b) (ii)</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58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(40,371)</w:t>
            </w: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(40,371)</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3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 2007</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216,983</w:t>
            </w:r>
          </w:p>
        </w:tc>
        <w:tc>
          <w:tcPr>
            <w:tcW w:w="180" w:type="dxa"/>
            <w:vAlign w:val="bottom"/>
            <w:shd w:val="clear" w:color="auto" w:fill="CCFFCC"/>
          </w:tcPr>
          <w:p>
            <w:pPr>
              <w:spacing w:after="0"/>
              <w:rPr>
                <w:sz w:val="24"/>
                <w:szCs w:val="24"/>
                <w:color w:val="auto"/>
              </w:rPr>
            </w:pPr>
          </w:p>
        </w:tc>
        <w:tc>
          <w:tcPr>
            <w:tcW w:w="1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(37,433)</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179,550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43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F-71</w:t>
            </w:r>
          </w:p>
        </w:tc>
        <w:tc>
          <w:tcPr>
            <w:tcW w:w="18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hanging="646"/>
        <w:spacing w:after="0"/>
        <w:tabs>
          <w:tab w:leader="none" w:pos="11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Dividends distribution -</w:t>
      </w:r>
    </w:p>
    <w:p>
      <w:pPr>
        <w:spacing w:after="0" w:line="23" w:lineRule="exact"/>
        <w:rPr>
          <w:rFonts w:ascii="Arial" w:cs="Arial" w:eastAsia="Arial" w:hAnsi="Arial"/>
          <w:sz w:val="18"/>
          <w:szCs w:val="18"/>
          <w:color w:val="auto"/>
        </w:rPr>
      </w:pPr>
    </w:p>
    <w:p>
      <w:pPr>
        <w:ind w:left="1140" w:right="600"/>
        <w:spacing w:after="0" w:line="261" w:lineRule="auto"/>
        <w:rPr>
          <w:rFonts w:ascii="Arial" w:cs="Arial" w:eastAsia="Arial" w:hAnsi="Arial"/>
          <w:sz w:val="18"/>
          <w:szCs w:val="18"/>
          <w:color w:val="auto"/>
        </w:rPr>
      </w:pPr>
      <w:r>
        <w:rPr>
          <w:rFonts w:ascii="Arial" w:cs="Arial" w:eastAsia="Arial" w:hAnsi="Arial"/>
          <w:sz w:val="18"/>
          <w:szCs w:val="18"/>
          <w:color w:val="auto"/>
        </w:rPr>
        <w:t>During 2007, 2006 and 2005, Credicorp paid cash dividends, net of the effect of treasury shares, amount to approximately US$103.7, US$87.7 and US$63.8 million, respectively.</w:t>
      </w:r>
    </w:p>
    <w:p>
      <w:pPr>
        <w:spacing w:after="0" w:line="237" w:lineRule="exact"/>
        <w:rPr>
          <w:rFonts w:ascii="Arial" w:cs="Arial" w:eastAsia="Arial" w:hAnsi="Arial"/>
          <w:sz w:val="18"/>
          <w:szCs w:val="18"/>
          <w:color w:val="auto"/>
        </w:rPr>
      </w:pPr>
    </w:p>
    <w:p>
      <w:pPr>
        <w:ind w:left="1140" w:right="160"/>
        <w:spacing w:after="0" w:line="277" w:lineRule="auto"/>
        <w:rPr>
          <w:rFonts w:ascii="Arial" w:cs="Arial" w:eastAsia="Arial" w:hAnsi="Arial"/>
          <w:sz w:val="18"/>
          <w:szCs w:val="18"/>
          <w:color w:val="auto"/>
        </w:rPr>
      </w:pPr>
      <w:r>
        <w:rPr>
          <w:rFonts w:ascii="Arial" w:cs="Arial" w:eastAsia="Arial" w:hAnsi="Arial"/>
          <w:sz w:val="18"/>
          <w:szCs w:val="18"/>
          <w:color w:val="auto"/>
        </w:rPr>
        <w:t>The Shareholders Meeting dated on March 28, 2008 agreed to declare a cash dividend of US$1.50 per Common Share for a total amount of approximately US$141.6 million, corresponding to the results of 2007, which was paid in cash on May 7, 2008.</w:t>
      </w:r>
    </w:p>
    <w:p>
      <w:pPr>
        <w:spacing w:after="0" w:line="224" w:lineRule="exact"/>
        <w:rPr>
          <w:rFonts w:ascii="Arial" w:cs="Arial" w:eastAsia="Arial" w:hAnsi="Arial"/>
          <w:sz w:val="18"/>
          <w:szCs w:val="18"/>
          <w:color w:val="auto"/>
        </w:rPr>
      </w:pPr>
    </w:p>
    <w:p>
      <w:pPr>
        <w:ind w:left="1140" w:right="420"/>
        <w:spacing w:after="0" w:line="308" w:lineRule="auto"/>
        <w:rPr>
          <w:rFonts w:ascii="Arial" w:cs="Arial" w:eastAsia="Arial" w:hAnsi="Arial"/>
          <w:sz w:val="18"/>
          <w:szCs w:val="18"/>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The dividends paid by the Peruvian subsidiaries to Credicorp are subject to a withholding tax of 4.1 percent.</w:t>
      </w:r>
    </w:p>
    <w:p>
      <w:pPr>
        <w:spacing w:after="0" w:line="200" w:lineRule="exact"/>
        <w:rPr>
          <w:rFonts w:ascii="Arial" w:cs="Arial" w:eastAsia="Arial" w:hAnsi="Arial"/>
          <w:sz w:val="18"/>
          <w:szCs w:val="18"/>
          <w:color w:val="auto"/>
        </w:rPr>
      </w:pPr>
    </w:p>
    <w:p>
      <w:pPr>
        <w:ind w:left="1140" w:hanging="646"/>
        <w:spacing w:after="0"/>
        <w:tabs>
          <w:tab w:leader="none" w:pos="11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3" w:lineRule="exact"/>
        <w:rPr>
          <w:rFonts w:ascii="Arial" w:cs="Arial" w:eastAsia="Arial" w:hAnsi="Arial"/>
          <w:sz w:val="18"/>
          <w:szCs w:val="18"/>
          <w:color w:val="auto"/>
        </w:rPr>
      </w:pPr>
    </w:p>
    <w:p>
      <w:pPr>
        <w:ind w:left="1140"/>
        <w:spacing w:after="0" w:line="271" w:lineRule="auto"/>
        <w:rPr>
          <w:rFonts w:ascii="Arial" w:cs="Arial" w:eastAsia="Arial" w:hAnsi="Arial"/>
          <w:sz w:val="18"/>
          <w:szCs w:val="18"/>
          <w:color w:val="auto"/>
        </w:rPr>
      </w:pPr>
      <w:r>
        <w:rPr>
          <w:rFonts w:ascii="Arial" w:cs="Arial" w:eastAsia="Arial" w:hAnsi="Arial"/>
          <w:sz w:val="17"/>
          <w:szCs w:val="17"/>
          <w:color w:val="auto"/>
        </w:rPr>
        <w:t>As of December 31, 2007 and 2006, the regulatory capital for the subsidiaries engaged in financial and insurance activities amounted to approximately US$1,420.2 and US$1,008.0 million, respectively. This regulatory capital has been determined in accordance with the Superintendencia de Banca, Seguros y AFP (SBS) of Perú regulations in force as of such dates. According to the Superintendencia de Banca, Seguros y AFP (SBS) regulations, the Group’s regulatory capital exceeds in approximately US$350.4 million the minimum regulatory capital required as of December 31, 2007 (approximately US$157.0 million as of December 31, 2006).</w:t>
      </w:r>
    </w:p>
    <w:p>
      <w:pPr>
        <w:spacing w:after="0" w:line="228" w:lineRule="exact"/>
        <w:rPr>
          <w:rFonts w:ascii="Arial" w:cs="Arial" w:eastAsia="Arial" w:hAnsi="Arial"/>
          <w:sz w:val="18"/>
          <w:szCs w:val="18"/>
          <w:color w:val="auto"/>
        </w:rPr>
      </w:pPr>
    </w:p>
    <w:p>
      <w:pPr>
        <w:ind w:left="500" w:hanging="492"/>
        <w:spacing w:after="0"/>
        <w:tabs>
          <w:tab w:leader="none" w:pos="5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1140" w:right="40" w:hanging="646"/>
        <w:spacing w:after="0" w:line="255" w:lineRule="auto"/>
        <w:tabs>
          <w:tab w:leader="none" w:pos="11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Credicorp is not subject to any type of income taxes or taxes on capital gains, equity or property. The Peruvian subsidiaries are subject to corporate taxation on income under the Peruvian Tax system. The statutory income tax rate payable in Peru is 30 percent of taxable profits in 2007, 2006 and 2005.</w:t>
      </w:r>
    </w:p>
    <w:p>
      <w:pPr>
        <w:spacing w:after="0" w:line="244"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ASHC and its Subsidiaries are not subject to taxes in the Cayman Islands or Panama. For the three years ended December 31, 2007, 2006 and 2005, no taxable profits were generated from its operations in the United States of America.</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5" w:right="31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A reconciliation of the differences between the statutory income tax rate and the effective tax rate for the Group is shown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8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7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2006</w:t>
            </w: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2005</w:t>
            </w:r>
          </w:p>
        </w:tc>
      </w:tr>
      <w:tr>
        <w:trPr>
          <w:trHeight w:val="243"/>
        </w:trPr>
        <w:tc>
          <w:tcPr>
            <w:tcW w:w="48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21"/>
                <w:szCs w:val="21"/>
                <w:color w:val="auto"/>
              </w:rPr>
            </w:pPr>
          </w:p>
        </w:tc>
        <w:tc>
          <w:tcPr>
            <w:tcW w:w="144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43"/>
        </w:trPr>
        <w:tc>
          <w:tcPr>
            <w:tcW w:w="4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Peruvian statutory tax rate</w:t>
            </w:r>
          </w:p>
        </w:tc>
        <w:tc>
          <w:tcPr>
            <w:tcW w:w="7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84"/>
              </w:rPr>
              <w:t>30.00</w:t>
            </w:r>
          </w:p>
        </w:tc>
        <w:tc>
          <w:tcPr>
            <w:tcW w:w="144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30.00</w:t>
            </w:r>
          </w:p>
        </w:tc>
        <w:tc>
          <w:tcPr>
            <w:tcW w:w="12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30.00</w:t>
            </w:r>
          </w:p>
        </w:tc>
      </w:tr>
      <w:tr>
        <w:trPr>
          <w:trHeight w:val="198"/>
        </w:trPr>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Increase (decrease) in the statutory tax rate due</w:t>
            </w: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to:</w:t>
            </w:r>
          </w:p>
        </w:tc>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420"/>
          </w:cols>
          <w:pgMar w:left="240" w:top="375" w:right="239" w:bottom="1440" w:gutter="0" w:footer="0" w:header="0"/>
        </w:sectPr>
      </w:pPr>
    </w:p>
    <w:p>
      <w:pPr>
        <w:ind w:left="1620" w:right="500" w:hanging="478"/>
        <w:spacing w:after="0" w:line="290" w:lineRule="auto"/>
        <w:tabs>
          <w:tab w:leader="none" w:pos="161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Increase (decrease) arising from net income of subsidiaries not domiciled in Peru</w:t>
      </w:r>
    </w:p>
    <w:p>
      <w:pPr>
        <w:ind w:left="1640" w:hanging="498"/>
        <w:spacing w:after="0"/>
        <w:tabs>
          <w:tab w:leader="none" w:pos="1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Non-taxable costs (income), net</w:t>
      </w:r>
    </w:p>
    <w:p>
      <w:pPr>
        <w:spacing w:after="0" w:line="23" w:lineRule="exact"/>
        <w:rPr>
          <w:rFonts w:ascii="Arial" w:cs="Arial" w:eastAsia="Arial" w:hAnsi="Arial"/>
          <w:sz w:val="18"/>
          <w:szCs w:val="18"/>
          <w:color w:val="auto"/>
        </w:rPr>
      </w:pPr>
    </w:p>
    <w:p>
      <w:pPr>
        <w:ind w:left="1620" w:right="700" w:hanging="478"/>
        <w:spacing w:after="0" w:line="261" w:lineRule="auto"/>
        <w:tabs>
          <w:tab w:leader="none" w:pos="162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Translation results not considered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-713740</wp:posOffset>
            </wp:positionV>
            <wp:extent cx="5213985" cy="274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-285115</wp:posOffset>
            </wp:positionV>
            <wp:extent cx="5213985" cy="3003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60"/>
        <w:spacing w:after="0"/>
        <w:tabs>
          <w:tab w:leader="none" w:pos="1460" w:val="left"/>
          <w:tab w:leader="none" w:pos="2920" w:val="left"/>
        </w:tabs>
        <w:rPr>
          <w:sz w:val="20"/>
          <w:szCs w:val="20"/>
          <w:color w:val="auto"/>
        </w:rPr>
      </w:pPr>
      <w:r>
        <w:rPr>
          <w:rFonts w:ascii="Arial" w:cs="Arial" w:eastAsia="Arial" w:hAnsi="Arial"/>
          <w:sz w:val="18"/>
          <w:szCs w:val="18"/>
          <w:color w:val="auto"/>
        </w:rPr>
        <w:t>0.46</w:t>
      </w:r>
      <w:r>
        <w:rPr>
          <w:sz w:val="20"/>
          <w:szCs w:val="20"/>
          <w:color w:val="auto"/>
        </w:rPr>
        <w:tab/>
      </w:r>
      <w:r>
        <w:rPr>
          <w:rFonts w:ascii="Arial" w:cs="Arial" w:eastAsia="Arial" w:hAnsi="Arial"/>
          <w:sz w:val="18"/>
          <w:szCs w:val="18"/>
          <w:color w:val="auto"/>
        </w:rPr>
        <w:t>4.08</w:t>
      </w:r>
      <w:r>
        <w:rPr>
          <w:sz w:val="20"/>
          <w:szCs w:val="20"/>
          <w:color w:val="auto"/>
        </w:rPr>
        <w:tab/>
      </w:r>
      <w:r>
        <w:rPr>
          <w:rFonts w:ascii="Arial" w:cs="Arial" w:eastAsia="Arial" w:hAnsi="Arial"/>
          <w:sz w:val="15"/>
          <w:szCs w:val="15"/>
          <w:color w:val="auto"/>
        </w:rPr>
        <w:t>1.05</w:t>
      </w:r>
    </w:p>
    <w:p>
      <w:pPr>
        <w:spacing w:after="0" w:line="36" w:lineRule="exact"/>
        <w:rPr>
          <w:sz w:val="20"/>
          <w:szCs w:val="20"/>
          <w:color w:val="auto"/>
        </w:rPr>
      </w:pPr>
    </w:p>
    <w:p>
      <w:pPr>
        <w:spacing w:after="0"/>
        <w:tabs>
          <w:tab w:leader="none" w:pos="1400" w:val="left"/>
          <w:tab w:leader="none" w:pos="2860" w:val="left"/>
        </w:tabs>
        <w:rPr>
          <w:sz w:val="20"/>
          <w:szCs w:val="20"/>
          <w:color w:val="auto"/>
        </w:rPr>
      </w:pPr>
      <w:r>
        <w:rPr>
          <w:rFonts w:ascii="Arial" w:cs="Arial" w:eastAsia="Arial" w:hAnsi="Arial"/>
          <w:sz w:val="18"/>
          <w:szCs w:val="18"/>
          <w:color w:val="auto"/>
        </w:rPr>
        <w:t>(5.76)</w:t>
      </w:r>
      <w:r>
        <w:rPr>
          <w:sz w:val="20"/>
          <w:szCs w:val="20"/>
          <w:color w:val="auto"/>
        </w:rPr>
        <w:tab/>
      </w:r>
      <w:r>
        <w:rPr>
          <w:rFonts w:ascii="Arial" w:cs="Arial" w:eastAsia="Arial" w:hAnsi="Arial"/>
          <w:sz w:val="18"/>
          <w:szCs w:val="18"/>
          <w:color w:val="auto"/>
        </w:rPr>
        <w:t>(4.86)</w:t>
      </w:r>
      <w:r>
        <w:rPr>
          <w:sz w:val="20"/>
          <w:szCs w:val="20"/>
          <w:color w:val="auto"/>
        </w:rPr>
        <w:tab/>
      </w:r>
      <w:r>
        <w:rPr>
          <w:rFonts w:ascii="Arial" w:cs="Arial" w:eastAsia="Arial" w:hAnsi="Arial"/>
          <w:sz w:val="16"/>
          <w:szCs w:val="16"/>
          <w:color w:val="auto"/>
        </w:rPr>
        <w:t>(6.23)</w:t>
      </w:r>
    </w:p>
    <w:p>
      <w:pPr>
        <w:spacing w:after="0" w:line="225" w:lineRule="exact"/>
        <w:rPr>
          <w:sz w:val="20"/>
          <w:szCs w:val="20"/>
          <w:color w:val="auto"/>
        </w:rPr>
      </w:pPr>
    </w:p>
    <w:p>
      <w:pPr>
        <w:spacing w:after="0"/>
        <w:tabs>
          <w:tab w:leader="none" w:pos="1400" w:val="left"/>
          <w:tab w:leader="none" w:pos="29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(3.96)</w:t>
      </w:r>
      <w:r>
        <w:rPr>
          <w:sz w:val="20"/>
          <w:szCs w:val="20"/>
          <w:color w:val="auto"/>
        </w:rPr>
        <w:tab/>
      </w:r>
      <w:r>
        <w:rPr>
          <w:rFonts w:ascii="Arial" w:cs="Arial" w:eastAsia="Arial" w:hAnsi="Arial"/>
          <w:sz w:val="15"/>
          <w:szCs w:val="15"/>
          <w:color w:val="auto"/>
        </w:rPr>
        <w:t>2.58</w:t>
      </w:r>
    </w:p>
    <w:p>
      <w:pPr>
        <w:spacing w:after="0" w:line="241" w:lineRule="exact"/>
        <w:rPr>
          <w:sz w:val="20"/>
          <w:szCs w:val="20"/>
          <w:color w:val="auto"/>
        </w:rPr>
      </w:pPr>
    </w:p>
    <w:p>
      <w:pPr>
        <w:sectPr>
          <w:pgSz w:w="11900" w:h="16838" w:orient="portrait"/>
          <w:cols w:equalWidth="0" w:num="2">
            <w:col w:w="5280" w:space="720"/>
            <w:col w:w="5420"/>
          </w:cols>
          <w:pgMar w:left="240" w:top="375" w:right="239" w:bottom="1440" w:gutter="0" w:footer="0" w:header="0"/>
          <w:type w:val="continuous"/>
        </w:sectPr>
      </w:pP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263"/>
        </w:trPr>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Effective income tax rate</w:t>
            </w:r>
          </w:p>
        </w:tc>
        <w:tc>
          <w:tcPr>
            <w:tcW w:w="200" w:type="dxa"/>
            <w:vAlign w:val="bottom"/>
            <w:shd w:val="clear" w:color="auto" w:fill="CCFFCC"/>
          </w:tcPr>
          <w:p>
            <w:pPr>
              <w:spacing w:after="0"/>
              <w:rPr>
                <w:sz w:val="22"/>
                <w:szCs w:val="22"/>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25.26</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27.40</w:t>
            </w:r>
          </w:p>
        </w:tc>
        <w:tc>
          <w:tcPr>
            <w:tcW w:w="120" w:type="dxa"/>
            <w:vAlign w:val="bottom"/>
            <w:shd w:val="clear" w:color="auto" w:fill="CCFFCC"/>
          </w:tcPr>
          <w:p>
            <w:pPr>
              <w:spacing w:after="0"/>
              <w:rPr>
                <w:sz w:val="22"/>
                <w:szCs w:val="22"/>
                <w:color w:val="auto"/>
              </w:rPr>
            </w:pPr>
          </w:p>
        </w:tc>
      </w:tr>
      <w:tr>
        <w:trPr>
          <w:trHeight w:val="20"/>
        </w:trPr>
        <w:tc>
          <w:tcPr>
            <w:tcW w:w="38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140" w:right="40" w:hanging="646"/>
        <w:spacing w:after="0" w:line="277" w:lineRule="auto"/>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deferred income tax has been calculated on all temporary differences applied at an income tax rate of 30 percent. The income tax expense analysis as of December 31, 2007, 2006 and 2005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1"/>
                <w:szCs w:val="21"/>
                <w:color w:val="auto"/>
              </w:rPr>
            </w:pPr>
          </w:p>
        </w:tc>
      </w:tr>
      <w:tr>
        <w:trPr>
          <w:trHeight w:val="243"/>
        </w:trPr>
        <w:tc>
          <w:tcPr>
            <w:tcW w:w="49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w:t>
            </w:r>
          </w:p>
        </w:tc>
        <w:tc>
          <w:tcPr>
            <w:tcW w:w="20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4960" w:type="dxa"/>
            <w:vAlign w:val="bottom"/>
            <w:gridSpan w:val="2"/>
          </w:tcPr>
          <w:p>
            <w:pPr>
              <w:ind w:left="1140"/>
              <w:spacing w:after="0"/>
              <w:rPr>
                <w:sz w:val="20"/>
                <w:szCs w:val="20"/>
                <w:color w:val="auto"/>
              </w:rPr>
            </w:pPr>
            <w:r>
              <w:rPr>
                <w:rFonts w:ascii="Arial" w:cs="Arial" w:eastAsia="Arial" w:hAnsi="Arial"/>
                <w:sz w:val="18"/>
                <w:szCs w:val="18"/>
                <w:color w:val="auto"/>
              </w:rPr>
              <w:t>In Peru</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114,496</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85,413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80,630</w:t>
            </w:r>
          </w:p>
        </w:tc>
        <w:tc>
          <w:tcPr>
            <w:tcW w:w="206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 other countries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2,712</w:t>
            </w:r>
          </w:p>
        </w:tc>
        <w:tc>
          <w:tcPr>
            <w:tcW w:w="22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2,960</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FFCC"/>
            </w:tcBorders>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4"/>
        </w:trPr>
        <w:tc>
          <w:tcPr>
            <w:tcW w:w="11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117,208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88,373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85,048</w:t>
            </w:r>
          </w:p>
        </w:tc>
        <w:tc>
          <w:tcPr>
            <w:tcW w:w="2060" w:type="dxa"/>
            <w:vAlign w:val="bottom"/>
          </w:tcPr>
          <w:p>
            <w:pPr>
              <w:spacing w:after="0"/>
              <w:rPr>
                <w:sz w:val="22"/>
                <w:szCs w:val="22"/>
                <w:color w:val="auto"/>
              </w:rPr>
            </w:pPr>
          </w:p>
        </w:tc>
      </w:tr>
      <w:tr>
        <w:trPr>
          <w:trHeight w:val="237"/>
        </w:trPr>
        <w:tc>
          <w:tcPr>
            <w:tcW w:w="1140" w:type="dxa"/>
            <w:vAlign w:val="bottom"/>
          </w:tcPr>
          <w:p>
            <w:pPr>
              <w:spacing w:after="0"/>
              <w:rPr>
                <w:sz w:val="20"/>
                <w:szCs w:val="20"/>
                <w:color w:val="auto"/>
              </w:rPr>
            </w:pPr>
          </w:p>
        </w:tc>
        <w:tc>
          <w:tcPr>
            <w:tcW w:w="38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0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4960" w:type="dxa"/>
            <w:vAlign w:val="bottom"/>
            <w:gridSpan w:val="2"/>
          </w:tcPr>
          <w:p>
            <w:pPr>
              <w:ind w:left="1140"/>
              <w:spacing w:after="0"/>
              <w:rPr>
                <w:sz w:val="20"/>
                <w:szCs w:val="20"/>
                <w:color w:val="auto"/>
              </w:rPr>
            </w:pPr>
            <w:r>
              <w:rPr>
                <w:rFonts w:ascii="Arial" w:cs="Arial" w:eastAsia="Arial" w:hAnsi="Arial"/>
                <w:sz w:val="18"/>
                <w:szCs w:val="18"/>
                <w:b w:val="1"/>
                <w:bCs w:val="1"/>
                <w:color w:val="auto"/>
              </w:rPr>
              <w:t>Deferred -</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5"/>
        </w:trPr>
        <w:tc>
          <w:tcPr>
            <w:tcW w:w="1140" w:type="dxa"/>
            <w:vAlign w:val="bottom"/>
          </w:tcPr>
          <w:p>
            <w:pPr>
              <w:spacing w:after="0"/>
              <w:rPr>
                <w:sz w:val="23"/>
                <w:szCs w:val="23"/>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 Peru</w:t>
            </w:r>
          </w:p>
        </w:tc>
        <w:tc>
          <w:tcPr>
            <w:tcW w:w="1620" w:type="dxa"/>
            <w:vAlign w:val="bottom"/>
            <w:tcBorders>
              <w:bottom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(14,921)</w:t>
            </w:r>
          </w:p>
        </w:tc>
        <w:tc>
          <w:tcPr>
            <w:tcW w:w="14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(4,786)</w:t>
            </w:r>
          </w:p>
        </w:tc>
        <w:tc>
          <w:tcPr>
            <w:tcW w:w="13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(11,502)</w:t>
            </w:r>
          </w:p>
        </w:tc>
        <w:tc>
          <w:tcPr>
            <w:tcW w:w="2060" w:type="dxa"/>
            <w:vAlign w:val="bottom"/>
          </w:tcPr>
          <w:p>
            <w:pPr>
              <w:spacing w:after="0"/>
              <w:rPr>
                <w:sz w:val="23"/>
                <w:szCs w:val="23"/>
                <w:color w:val="auto"/>
              </w:rPr>
            </w:pPr>
          </w:p>
        </w:tc>
      </w:tr>
      <w:tr>
        <w:trPr>
          <w:trHeight w:val="237"/>
        </w:trPr>
        <w:tc>
          <w:tcPr>
            <w:tcW w:w="1140" w:type="dxa"/>
            <w:vAlign w:val="bottom"/>
          </w:tcPr>
          <w:p>
            <w:pPr>
              <w:spacing w:after="0"/>
              <w:rPr>
                <w:sz w:val="20"/>
                <w:szCs w:val="20"/>
                <w:color w:val="auto"/>
              </w:rPr>
            </w:pPr>
          </w:p>
        </w:tc>
        <w:tc>
          <w:tcPr>
            <w:tcW w:w="3820" w:type="dxa"/>
            <w:vAlign w:val="bottom"/>
            <w:tcBorders>
              <w:top w:val="single" w:sz="8" w:color="CCFFCC"/>
            </w:tcBorders>
            <w:shd w:val="clear" w:color="auto" w:fill="CCFFCC"/>
          </w:tcPr>
          <w:p>
            <w:pPr>
              <w:spacing w:after="0"/>
              <w:rPr>
                <w:sz w:val="20"/>
                <w:szCs w:val="20"/>
                <w:color w:val="auto"/>
              </w:rPr>
            </w:pPr>
          </w:p>
        </w:tc>
        <w:tc>
          <w:tcPr>
            <w:tcW w:w="200" w:type="dxa"/>
            <w:vAlign w:val="bottom"/>
            <w:tcBorders>
              <w:top w:val="single" w:sz="8" w:color="CCFFCC"/>
            </w:tcBorders>
            <w:shd w:val="clear" w:color="auto" w:fill="CCFFCC"/>
          </w:tcPr>
          <w:p>
            <w:pPr>
              <w:spacing w:after="0"/>
              <w:rPr>
                <w:sz w:val="20"/>
                <w:szCs w:val="20"/>
                <w:color w:val="auto"/>
              </w:rPr>
            </w:pPr>
          </w:p>
        </w:tc>
        <w:tc>
          <w:tcPr>
            <w:tcW w:w="120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tcBorders>
              <w:top w:val="single" w:sz="8" w:color="CCFFCC"/>
            </w:tcBorders>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120" w:type="dxa"/>
            <w:vAlign w:val="bottom"/>
            <w:tcBorders>
              <w:top w:val="single" w:sz="8" w:color="CCFFCC"/>
            </w:tcBorders>
            <w:shd w:val="clear" w:color="auto" w:fill="CCFFCC"/>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496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102,287</w:t>
            </w:r>
          </w:p>
        </w:tc>
        <w:tc>
          <w:tcPr>
            <w:tcW w:w="2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83,587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73,546</w:t>
            </w:r>
          </w:p>
        </w:tc>
        <w:tc>
          <w:tcPr>
            <w:tcW w:w="20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F-73</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hanging="646"/>
        <w:spacing w:after="0"/>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following table shows a summary of the Group’s deferred income taxes: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Stock appreciation rights provision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24,001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tcPr>
          <w:p>
            <w:pPr>
              <w:spacing w:after="0"/>
              <w:rPr>
                <w:sz w:val="21"/>
                <w:szCs w:val="21"/>
                <w:color w:val="auto"/>
              </w:rPr>
            </w:pP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 net</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21,985</w:t>
            </w:r>
          </w:p>
        </w:tc>
        <w:tc>
          <w:tcPr>
            <w:tcW w:w="20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13,642</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Reserve for sundry risks, net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4,550</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1"/>
                <w:szCs w:val="21"/>
                <w:color w:val="auto"/>
              </w:rPr>
            </w:pP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Tax loss carry-forward</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4,451</w:t>
            </w: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CFFC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Non-accrued interest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3,243</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r>
      <w:tr>
        <w:trPr>
          <w:trHeight w:val="250"/>
        </w:trPr>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8,626</w:t>
            </w:r>
          </w:p>
        </w:tc>
        <w:tc>
          <w:tcPr>
            <w:tcW w:w="2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52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5260" w:type="dxa"/>
            <w:vAlign w:val="bottom"/>
          </w:tcPr>
          <w:p>
            <w:pPr>
              <w:spacing w:after="0"/>
              <w:rPr>
                <w:sz w:val="20"/>
                <w:szCs w:val="20"/>
                <w:color w:val="auto"/>
              </w:rPr>
            </w:pPr>
            <w:r>
              <w:rPr>
                <w:rFonts w:ascii="Arial" w:cs="Arial" w:eastAsia="Arial" w:hAnsi="Arial"/>
                <w:sz w:val="18"/>
                <w:szCs w:val="18"/>
                <w:b w:val="1"/>
                <w:bCs w:val="1"/>
                <w:color w:val="auto"/>
              </w:rPr>
              <w:t>Deferred income tax asset</w:t>
            </w: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66,856</w:t>
            </w:r>
          </w:p>
        </w:tc>
        <w:tc>
          <w:tcPr>
            <w:tcW w:w="20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38,016</w:t>
            </w:r>
          </w:p>
        </w:tc>
      </w:tr>
      <w:tr>
        <w:trPr>
          <w:trHeight w:val="237"/>
        </w:trPr>
        <w:tc>
          <w:tcPr>
            <w:tcW w:w="52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Unrealized net gains on investments</w:t>
            </w:r>
          </w:p>
        </w:tc>
        <w:tc>
          <w:tcPr>
            <w:tcW w:w="16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(38,424)</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(28,330)</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Intangibles assets, net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(25,205)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(26,168)</w:t>
            </w: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Valuation of Indexed certificates Citigroup</w:t>
            </w:r>
          </w:p>
        </w:tc>
        <w:tc>
          <w:tcPr>
            <w:tcW w:w="16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(18,131)</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(751)</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Leasing operations, net</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(1,250)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(2,758)</w:t>
            </w: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(2,304)</w:t>
            </w: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(6,950)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(5,499)</w:t>
            </w: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Deferred income tax liability</w:t>
            </w:r>
          </w:p>
        </w:tc>
        <w:tc>
          <w:tcPr>
            <w:tcW w:w="200" w:type="dxa"/>
            <w:vAlign w:val="bottom"/>
            <w:tcBorders>
              <w:bottom w:val="single" w:sz="8" w:color="CCFFCC"/>
            </w:tcBorders>
            <w:shd w:val="clear" w:color="auto" w:fill="CCFFCC"/>
          </w:tcPr>
          <w:p>
            <w:pPr>
              <w:spacing w:after="0"/>
              <w:rPr>
                <w:sz w:val="22"/>
                <w:szCs w:val="22"/>
                <w:color w:val="auto"/>
              </w:rPr>
            </w:pPr>
          </w:p>
        </w:tc>
        <w:tc>
          <w:tcPr>
            <w:tcW w:w="14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(89,825)</w:t>
            </w:r>
          </w:p>
        </w:tc>
        <w:tc>
          <w:tcPr>
            <w:tcW w:w="13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(65,810)</w:t>
            </w:r>
          </w:p>
        </w:tc>
      </w:tr>
      <w:tr>
        <w:trPr>
          <w:trHeight w:val="237"/>
        </w:trPr>
        <w:tc>
          <w:tcPr>
            <w:tcW w:w="526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63"/>
        </w:trPr>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deferred income tax liability</w:t>
            </w:r>
          </w:p>
        </w:tc>
        <w:tc>
          <w:tcPr>
            <w:tcW w:w="20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(22,969)</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(27,794)</w:t>
            </w:r>
          </w:p>
        </w:tc>
      </w:tr>
      <w:tr>
        <w:trPr>
          <w:trHeight w:val="20"/>
        </w:trPr>
        <w:tc>
          <w:tcPr>
            <w:tcW w:w="52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A portion of the Group’s deferred tax asset arises from part of the provisions for sundry risks and for loan losses, which are not deductible for income tax purposes until they comply with all the requirements established by the tax authorities. Therefore, the Group has recorded an accumulated deferred tax asset to reflect the future tax benefit of the deduction of these provisions.</w:t>
      </w:r>
    </w:p>
    <w:p>
      <w:pPr>
        <w:spacing w:after="0" w:line="235"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Credicorp and its subsidiaries have recorded deferred income taxes directly in other reserves in the statement of changes in equity of US$10.1, US$9.2, US$1.5 million, for 2007, 2006 and 2005, respectively. Such amounts comprise the income tax effects of unrealized gains and losses on securities available for sale. Likewise, in 2006, the Group has recognized the deferred tax liability arising from the acquisition of AFP Union Vida (Note 2(a)) by approximately US$25.6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100" w:hanging="646"/>
        <w:spacing w:after="0" w:line="279" w:lineRule="auto"/>
        <w:tabs>
          <w:tab w:leader="none" w:pos="11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Peruvian tax authorities have the right to review and, if necessary, amend the annual tax returns of the Peruvian subsidiaries up to four year after its presentation. The major subsidiaries subject to these reviews are BCP and PPS. In BCP, the fiscal years 2001, 2002, 2003, 2004 and 2005, have been reviewed by the tax authorities. As a result of such revisions, no significant additional taxes have arisen in excess of the previously accounted for in the Group consolidated financial statements.</w:t>
      </w:r>
    </w:p>
    <w:p>
      <w:pPr>
        <w:spacing w:after="0" w:line="225" w:lineRule="exact"/>
        <w:rPr>
          <w:rFonts w:ascii="Arial" w:cs="Arial" w:eastAsia="Arial" w:hAnsi="Arial"/>
          <w:sz w:val="17"/>
          <w:szCs w:val="17"/>
          <w:color w:val="auto"/>
        </w:rPr>
      </w:pPr>
    </w:p>
    <w:p>
      <w:pPr>
        <w:ind w:left="1140"/>
        <w:spacing w:after="0" w:line="302" w:lineRule="auto"/>
        <w:rPr>
          <w:rFonts w:ascii="Arial" w:cs="Arial" w:eastAsia="Arial" w:hAnsi="Arial"/>
          <w:sz w:val="17"/>
          <w:szCs w:val="17"/>
          <w:color w:val="auto"/>
        </w:rPr>
      </w:pPr>
      <w:r>
        <w:rPr>
          <w:rFonts w:ascii="Arial" w:cs="Arial" w:eastAsia="Arial" w:hAnsi="Arial"/>
          <w:sz w:val="16"/>
          <w:szCs w:val="16"/>
          <w:color w:val="auto"/>
        </w:rPr>
        <w:t>The years 2006 and 2007 for BCP and 2004 to 2007 for PPS, are pending of review. Any additional tax arising as a result of the tax authority examination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2007 and 2006.</w:t>
      </w:r>
    </w:p>
    <w:p>
      <w:pPr>
        <w:spacing w:after="0" w:line="204" w:lineRule="exact"/>
        <w:rPr>
          <w:rFonts w:ascii="Arial" w:cs="Arial" w:eastAsia="Arial" w:hAnsi="Arial"/>
          <w:sz w:val="17"/>
          <w:szCs w:val="17"/>
          <w:color w:val="auto"/>
        </w:rPr>
      </w:pPr>
    </w:p>
    <w:p>
      <w:pPr>
        <w:ind w:left="660" w:hanging="652"/>
        <w:spacing w:after="0"/>
        <w:tabs>
          <w:tab w:leader="none" w:pos="6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7" w:lineRule="exact"/>
        <w:rPr>
          <w:rFonts w:ascii="Arial" w:cs="Arial" w:eastAsia="Arial" w:hAnsi="Arial"/>
          <w:sz w:val="18"/>
          <w:szCs w:val="18"/>
          <w:b w:val="1"/>
          <w:bCs w:val="1"/>
          <w:color w:val="auto"/>
        </w:rPr>
      </w:pPr>
    </w:p>
    <w:p>
      <w:pPr>
        <w:ind w:left="6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indicated in note 3(w), Credicorp has granted stock appreciation rights (SARs) to certain key executives and employees who have at least one year’s service in Credicorp or any of its subsidiaries. The SARs expire after eight years and 25 percent of them may be exercised during each of the first four years of the plan.</w:t>
      </w:r>
    </w:p>
    <w:p>
      <w:pPr>
        <w:spacing w:after="0" w:line="244" w:lineRule="exact"/>
        <w:rPr>
          <w:rFonts w:ascii="Arial" w:cs="Arial" w:eastAsia="Arial" w:hAnsi="Arial"/>
          <w:sz w:val="18"/>
          <w:szCs w:val="18"/>
          <w:b w:val="1"/>
          <w:bCs w:val="1"/>
          <w:color w:val="auto"/>
        </w:rPr>
      </w:pPr>
    </w:p>
    <w:p>
      <w:pPr>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At the end of the fourth year and until the expiration date of such SARs, all the unexercised SARs may be exercised at any time. As of December 31, 2007 and 2006, 410,700 and 948,925 SARs had been exercised under this plan for an approximate amount of US$18.8 and US$29.3 million, respectively, plus the income tax on behalf of the executives and employees that is assumed by the Group at 30 percent of the amount paid.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SARs issued and not exercised as of December 31, 2007 and 2006 and the prices of such rights as of said dates are as follows:</w:t>
      </w: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 outstanding SARs</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jc w:val="right"/>
              <w:ind w:right="1448"/>
              <w:spacing w:after="0"/>
              <w:rPr>
                <w:sz w:val="20"/>
                <w:szCs w:val="20"/>
                <w:color w:val="auto"/>
              </w:rPr>
            </w:pPr>
            <w:r>
              <w:rPr>
                <w:rFonts w:ascii="Arial" w:cs="Arial" w:eastAsia="Arial" w:hAnsi="Arial"/>
                <w:sz w:val="14"/>
                <w:szCs w:val="14"/>
                <w:b w:val="1"/>
                <w:bCs w:val="1"/>
                <w:color w:val="auto"/>
              </w:rPr>
              <w:t>Year of</w:t>
            </w:r>
          </w:p>
        </w:tc>
        <w:tc>
          <w:tcPr>
            <w:tcW w:w="2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issued as of</w:t>
            </w:r>
          </w:p>
        </w:tc>
        <w:tc>
          <w:tcPr>
            <w:tcW w:w="22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Number of Vested SARs</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40" w:type="dxa"/>
            <w:vAlign w:val="bottom"/>
          </w:tcPr>
          <w:p>
            <w:pPr>
              <w:jc w:val="right"/>
              <w:ind w:right="1408"/>
              <w:spacing w:after="0"/>
              <w:rPr>
                <w:sz w:val="20"/>
                <w:szCs w:val="20"/>
                <w:color w:val="auto"/>
              </w:rPr>
            </w:pPr>
            <w:r>
              <w:rPr>
                <w:rFonts w:ascii="Arial" w:cs="Arial" w:eastAsia="Arial" w:hAnsi="Arial"/>
                <w:sz w:val="14"/>
                <w:szCs w:val="14"/>
                <w:b w:val="1"/>
                <w:bCs w:val="1"/>
                <w:color w:val="auto"/>
              </w:rPr>
              <w:t>Issuance</w:t>
            </w:r>
          </w:p>
        </w:tc>
        <w:tc>
          <w:tcPr>
            <w:tcW w:w="2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2007</w:t>
            </w:r>
          </w:p>
        </w:tc>
        <w:tc>
          <w:tcPr>
            <w:tcW w:w="22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Pr>
          <w:p>
            <w:pPr>
              <w:spacing w:after="0"/>
              <w:rPr>
                <w:sz w:val="16"/>
                <w:szCs w:val="16"/>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w w:val="88"/>
              </w:rPr>
              <w:t>Exercise price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w w:val="89"/>
              </w:rPr>
              <w:t>2007</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400"/>
              <w:spacing w:after="0"/>
              <w:rPr>
                <w:sz w:val="20"/>
                <w:szCs w:val="20"/>
                <w:color w:val="auto"/>
              </w:rPr>
            </w:pPr>
            <w:r>
              <w:rPr>
                <w:rFonts w:ascii="Arial" w:cs="Arial" w:eastAsia="Arial" w:hAnsi="Arial"/>
                <w:sz w:val="14"/>
                <w:szCs w:val="14"/>
                <w:color w:val="auto"/>
                <w:w w:val="95"/>
              </w:rPr>
              <w:t>US$</w:t>
            </w:r>
          </w:p>
        </w:tc>
        <w:tc>
          <w:tcPr>
            <w:tcW w:w="1200" w:type="dxa"/>
            <w:vAlign w:val="bottom"/>
          </w:tcPr>
          <w:p>
            <w:pPr>
              <w:jc w:val="right"/>
              <w:spacing w:after="0"/>
              <w:rPr>
                <w:sz w:val="20"/>
                <w:szCs w:val="20"/>
                <w:color w:val="auto"/>
              </w:rPr>
            </w:pPr>
            <w:r>
              <w:rPr>
                <w:rFonts w:ascii="Arial" w:cs="Arial" w:eastAsia="Arial" w:hAnsi="Arial"/>
                <w:sz w:val="14"/>
                <w:szCs w:val="14"/>
                <w:color w:val="auto"/>
              </w:rPr>
              <w:t>US$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40" w:type="dxa"/>
            <w:vAlign w:val="bottom"/>
            <w:shd w:val="clear" w:color="auto" w:fill="CCFFCC"/>
          </w:tcPr>
          <w:p>
            <w:pPr>
              <w:jc w:val="right"/>
              <w:ind w:right="3108"/>
              <w:spacing w:after="0"/>
              <w:rPr>
                <w:sz w:val="20"/>
                <w:szCs w:val="20"/>
                <w:color w:val="auto"/>
              </w:rPr>
            </w:pPr>
            <w:r>
              <w:rPr>
                <w:rFonts w:ascii="Arial" w:cs="Arial" w:eastAsia="Arial" w:hAnsi="Arial"/>
                <w:sz w:val="14"/>
                <w:szCs w:val="14"/>
                <w:color w:val="auto"/>
                <w:w w:val="76"/>
              </w:rPr>
              <w:t>2000</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49,750</w:t>
            </w:r>
          </w:p>
        </w:tc>
        <w:tc>
          <w:tcPr>
            <w:tcW w:w="10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49,750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68,750</w:t>
            </w:r>
          </w:p>
        </w:tc>
        <w:tc>
          <w:tcPr>
            <w:tcW w:w="680" w:type="dxa"/>
            <w:vAlign w:val="bottom"/>
            <w:shd w:val="clear" w:color="auto" w:fill="CCFFCC"/>
          </w:tcPr>
          <w:p>
            <w:pPr>
              <w:spacing w:after="0"/>
              <w:rPr>
                <w:sz w:val="15"/>
                <w:szCs w:val="15"/>
                <w:color w:val="auto"/>
              </w:rPr>
            </w:pPr>
          </w:p>
        </w:tc>
        <w:tc>
          <w:tcPr>
            <w:tcW w:w="1200" w:type="dxa"/>
            <w:vAlign w:val="bottom"/>
            <w:shd w:val="clear" w:color="auto" w:fill="CCFFCC"/>
          </w:tcPr>
          <w:p>
            <w:pPr>
              <w:jc w:val="right"/>
              <w:ind w:right="748"/>
              <w:spacing w:after="0"/>
              <w:rPr>
                <w:sz w:val="20"/>
                <w:szCs w:val="20"/>
                <w:color w:val="auto"/>
              </w:rPr>
            </w:pPr>
            <w:r>
              <w:rPr>
                <w:rFonts w:ascii="Arial" w:cs="Arial" w:eastAsia="Arial" w:hAnsi="Arial"/>
                <w:sz w:val="14"/>
                <w:szCs w:val="14"/>
                <w:color w:val="auto"/>
              </w:rPr>
              <w:t>8.50</w:t>
            </w: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jc w:val="right"/>
              <w:ind w:right="3108"/>
              <w:spacing w:after="0"/>
              <w:rPr>
                <w:sz w:val="20"/>
                <w:szCs w:val="20"/>
                <w:color w:val="auto"/>
              </w:rPr>
            </w:pPr>
            <w:r>
              <w:rPr>
                <w:rFonts w:ascii="Arial" w:cs="Arial" w:eastAsia="Arial" w:hAnsi="Arial"/>
                <w:sz w:val="14"/>
                <w:szCs w:val="14"/>
                <w:color w:val="auto"/>
                <w:w w:val="76"/>
              </w:rPr>
              <w:t>2001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73,000</w:t>
            </w: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73,000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81,500</w:t>
            </w:r>
          </w:p>
        </w:tc>
        <w:tc>
          <w:tcPr>
            <w:tcW w:w="680" w:type="dxa"/>
            <w:vAlign w:val="bottom"/>
          </w:tcPr>
          <w:p>
            <w:pPr>
              <w:spacing w:after="0"/>
              <w:rPr>
                <w:sz w:val="15"/>
                <w:szCs w:val="15"/>
                <w:color w:val="auto"/>
              </w:rPr>
            </w:pPr>
          </w:p>
        </w:tc>
        <w:tc>
          <w:tcPr>
            <w:tcW w:w="1200" w:type="dxa"/>
            <w:vAlign w:val="bottom"/>
          </w:tcPr>
          <w:p>
            <w:pPr>
              <w:jc w:val="right"/>
              <w:ind w:right="748"/>
              <w:spacing w:after="0"/>
              <w:rPr>
                <w:sz w:val="20"/>
                <w:szCs w:val="20"/>
                <w:color w:val="auto"/>
              </w:rPr>
            </w:pPr>
            <w:r>
              <w:rPr>
                <w:rFonts w:ascii="Arial" w:cs="Arial" w:eastAsia="Arial" w:hAnsi="Arial"/>
                <w:sz w:val="14"/>
                <w:szCs w:val="14"/>
                <w:color w:val="auto"/>
              </w:rPr>
              <w:t>5.30</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FFCC"/>
          </w:tcPr>
          <w:p>
            <w:pPr>
              <w:jc w:val="right"/>
              <w:ind w:right="3108"/>
              <w:spacing w:after="0"/>
              <w:rPr>
                <w:sz w:val="20"/>
                <w:szCs w:val="20"/>
                <w:color w:val="auto"/>
              </w:rPr>
            </w:pPr>
            <w:r>
              <w:rPr>
                <w:rFonts w:ascii="Arial" w:cs="Arial" w:eastAsia="Arial" w:hAnsi="Arial"/>
                <w:sz w:val="14"/>
                <w:szCs w:val="14"/>
                <w:color w:val="auto"/>
                <w:w w:val="76"/>
              </w:rPr>
              <w:t>2002</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92,500</w:t>
            </w:r>
          </w:p>
        </w:tc>
        <w:tc>
          <w:tcPr>
            <w:tcW w:w="10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92,500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117,500</w:t>
            </w:r>
          </w:p>
        </w:tc>
        <w:tc>
          <w:tcPr>
            <w:tcW w:w="680" w:type="dxa"/>
            <w:vAlign w:val="bottom"/>
            <w:shd w:val="clear" w:color="auto" w:fill="CCFFCC"/>
          </w:tcPr>
          <w:p>
            <w:pPr>
              <w:spacing w:after="0"/>
              <w:rPr>
                <w:sz w:val="15"/>
                <w:szCs w:val="15"/>
                <w:color w:val="auto"/>
              </w:rPr>
            </w:pPr>
          </w:p>
        </w:tc>
        <w:tc>
          <w:tcPr>
            <w:tcW w:w="1200" w:type="dxa"/>
            <w:vAlign w:val="bottom"/>
            <w:shd w:val="clear" w:color="auto" w:fill="CCFFCC"/>
          </w:tcPr>
          <w:p>
            <w:pPr>
              <w:jc w:val="right"/>
              <w:ind w:right="748"/>
              <w:spacing w:after="0"/>
              <w:rPr>
                <w:sz w:val="20"/>
                <w:szCs w:val="20"/>
                <w:color w:val="auto"/>
              </w:rPr>
            </w:pPr>
            <w:r>
              <w:rPr>
                <w:rFonts w:ascii="Arial" w:cs="Arial" w:eastAsia="Arial" w:hAnsi="Arial"/>
                <w:sz w:val="14"/>
                <w:szCs w:val="14"/>
                <w:color w:val="auto"/>
              </w:rPr>
              <w:t>6.98</w:t>
            </w: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jc w:val="right"/>
              <w:ind w:right="3108"/>
              <w:spacing w:after="0"/>
              <w:rPr>
                <w:sz w:val="20"/>
                <w:szCs w:val="20"/>
                <w:color w:val="auto"/>
              </w:rPr>
            </w:pPr>
            <w:r>
              <w:rPr>
                <w:rFonts w:ascii="Arial" w:cs="Arial" w:eastAsia="Arial" w:hAnsi="Arial"/>
                <w:sz w:val="14"/>
                <w:szCs w:val="14"/>
                <w:color w:val="auto"/>
                <w:w w:val="76"/>
              </w:rPr>
              <w:t>2003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151,900</w:t>
            </w: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151,900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220,000</w:t>
            </w:r>
          </w:p>
        </w:tc>
        <w:tc>
          <w:tcPr>
            <w:tcW w:w="680" w:type="dxa"/>
            <w:vAlign w:val="bottom"/>
          </w:tcPr>
          <w:p>
            <w:pPr>
              <w:spacing w:after="0"/>
              <w:rPr>
                <w:sz w:val="15"/>
                <w:szCs w:val="15"/>
                <w:color w:val="auto"/>
              </w:rPr>
            </w:pPr>
          </w:p>
        </w:tc>
        <w:tc>
          <w:tcPr>
            <w:tcW w:w="1200" w:type="dxa"/>
            <w:vAlign w:val="bottom"/>
          </w:tcPr>
          <w:p>
            <w:pPr>
              <w:jc w:val="right"/>
              <w:ind w:right="748"/>
              <w:spacing w:after="0"/>
              <w:rPr>
                <w:sz w:val="20"/>
                <w:szCs w:val="20"/>
                <w:color w:val="auto"/>
              </w:rPr>
            </w:pPr>
            <w:r>
              <w:rPr>
                <w:rFonts w:ascii="Arial" w:cs="Arial" w:eastAsia="Arial" w:hAnsi="Arial"/>
                <w:sz w:val="14"/>
                <w:szCs w:val="14"/>
                <w:color w:val="auto"/>
              </w:rPr>
              <w:t>8.17</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FFCC"/>
          </w:tcPr>
          <w:p>
            <w:pPr>
              <w:jc w:val="right"/>
              <w:ind w:right="3108"/>
              <w:spacing w:after="0"/>
              <w:rPr>
                <w:sz w:val="20"/>
                <w:szCs w:val="20"/>
                <w:color w:val="auto"/>
              </w:rPr>
            </w:pPr>
            <w:r>
              <w:rPr>
                <w:rFonts w:ascii="Arial" w:cs="Arial" w:eastAsia="Arial" w:hAnsi="Arial"/>
                <w:sz w:val="14"/>
                <w:szCs w:val="14"/>
                <w:color w:val="auto"/>
                <w:w w:val="76"/>
              </w:rPr>
              <w:t>2004</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237,700</w:t>
            </w:r>
          </w:p>
        </w:tc>
        <w:tc>
          <w:tcPr>
            <w:tcW w:w="10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237,700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317,984</w:t>
            </w:r>
          </w:p>
        </w:tc>
        <w:tc>
          <w:tcPr>
            <w:tcW w:w="680" w:type="dxa"/>
            <w:vAlign w:val="bottom"/>
            <w:shd w:val="clear" w:color="auto" w:fill="CCFFCC"/>
          </w:tcPr>
          <w:p>
            <w:pPr>
              <w:spacing w:after="0"/>
              <w:rPr>
                <w:sz w:val="15"/>
                <w:szCs w:val="15"/>
                <w:color w:val="auto"/>
              </w:rPr>
            </w:pPr>
          </w:p>
        </w:tc>
        <w:tc>
          <w:tcPr>
            <w:tcW w:w="1200" w:type="dxa"/>
            <w:vAlign w:val="bottom"/>
            <w:shd w:val="clear" w:color="auto" w:fill="CCFFCC"/>
          </w:tcPr>
          <w:p>
            <w:pPr>
              <w:jc w:val="right"/>
              <w:ind w:right="748"/>
              <w:spacing w:after="0"/>
              <w:rPr>
                <w:sz w:val="20"/>
                <w:szCs w:val="20"/>
                <w:color w:val="auto"/>
              </w:rPr>
            </w:pPr>
            <w:r>
              <w:rPr>
                <w:rFonts w:ascii="Arial" w:cs="Arial" w:eastAsia="Arial" w:hAnsi="Arial"/>
                <w:sz w:val="14"/>
                <w:szCs w:val="14"/>
                <w:color w:val="auto"/>
              </w:rPr>
              <w:t>10.99</w:t>
            </w: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6"/>
              </w:rPr>
              <w:t>11.29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jc w:val="right"/>
              <w:ind w:right="3108"/>
              <w:spacing w:after="0"/>
              <w:rPr>
                <w:sz w:val="20"/>
                <w:szCs w:val="20"/>
                <w:color w:val="auto"/>
              </w:rPr>
            </w:pPr>
            <w:r>
              <w:rPr>
                <w:rFonts w:ascii="Arial" w:cs="Arial" w:eastAsia="Arial" w:hAnsi="Arial"/>
                <w:sz w:val="14"/>
                <w:szCs w:val="14"/>
                <w:color w:val="auto"/>
                <w:w w:val="76"/>
              </w:rPr>
              <w:t>2005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384,500</w:t>
            </w: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349,813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281,038</w:t>
            </w:r>
          </w:p>
        </w:tc>
        <w:tc>
          <w:tcPr>
            <w:tcW w:w="680" w:type="dxa"/>
            <w:vAlign w:val="bottom"/>
          </w:tcPr>
          <w:p>
            <w:pPr>
              <w:spacing w:after="0"/>
              <w:rPr>
                <w:sz w:val="15"/>
                <w:szCs w:val="15"/>
                <w:color w:val="auto"/>
              </w:rPr>
            </w:pPr>
          </w:p>
        </w:tc>
        <w:tc>
          <w:tcPr>
            <w:tcW w:w="1200" w:type="dxa"/>
            <w:vAlign w:val="bottom"/>
          </w:tcPr>
          <w:p>
            <w:pPr>
              <w:jc w:val="right"/>
              <w:ind w:right="748"/>
              <w:spacing w:after="0"/>
              <w:rPr>
                <w:sz w:val="20"/>
                <w:szCs w:val="20"/>
                <w:color w:val="auto"/>
              </w:rPr>
            </w:pPr>
            <w:r>
              <w:rPr>
                <w:rFonts w:ascii="Arial" w:cs="Arial" w:eastAsia="Arial" w:hAnsi="Arial"/>
                <w:sz w:val="14"/>
                <w:szCs w:val="14"/>
                <w:color w:val="auto"/>
              </w:rPr>
              <w:t>16.00</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16.30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FFCC"/>
          </w:tcPr>
          <w:p>
            <w:pPr>
              <w:jc w:val="right"/>
              <w:ind w:right="3108"/>
              <w:spacing w:after="0"/>
              <w:rPr>
                <w:sz w:val="20"/>
                <w:szCs w:val="20"/>
                <w:color w:val="auto"/>
              </w:rPr>
            </w:pPr>
            <w:r>
              <w:rPr>
                <w:rFonts w:ascii="Arial" w:cs="Arial" w:eastAsia="Arial" w:hAnsi="Arial"/>
                <w:sz w:val="14"/>
                <w:szCs w:val="14"/>
                <w:color w:val="auto"/>
                <w:w w:val="76"/>
              </w:rPr>
              <w:t>2006</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497,050</w:t>
            </w:r>
          </w:p>
        </w:tc>
        <w:tc>
          <w:tcPr>
            <w:tcW w:w="10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310,800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215,156</w:t>
            </w:r>
          </w:p>
        </w:tc>
        <w:tc>
          <w:tcPr>
            <w:tcW w:w="680" w:type="dxa"/>
            <w:vAlign w:val="bottom"/>
            <w:shd w:val="clear" w:color="auto" w:fill="CCFFCC"/>
          </w:tcPr>
          <w:p>
            <w:pPr>
              <w:spacing w:after="0"/>
              <w:rPr>
                <w:sz w:val="15"/>
                <w:szCs w:val="15"/>
                <w:color w:val="auto"/>
              </w:rPr>
            </w:pPr>
          </w:p>
        </w:tc>
        <w:tc>
          <w:tcPr>
            <w:tcW w:w="1200" w:type="dxa"/>
            <w:vAlign w:val="bottom"/>
            <w:shd w:val="clear" w:color="auto" w:fill="CCFFCC"/>
          </w:tcPr>
          <w:p>
            <w:pPr>
              <w:jc w:val="right"/>
              <w:ind w:right="748"/>
              <w:spacing w:after="0"/>
              <w:rPr>
                <w:sz w:val="20"/>
                <w:szCs w:val="20"/>
                <w:color w:val="auto"/>
              </w:rPr>
            </w:pPr>
            <w:r>
              <w:rPr>
                <w:rFonts w:ascii="Arial" w:cs="Arial" w:eastAsia="Arial" w:hAnsi="Arial"/>
                <w:sz w:val="14"/>
                <w:szCs w:val="14"/>
                <w:color w:val="auto"/>
              </w:rPr>
              <w:t>25.32</w:t>
            </w: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6"/>
              </w:rPr>
              <w:t>25.62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jc w:val="right"/>
              <w:ind w:right="3108"/>
              <w:spacing w:after="0"/>
              <w:rPr>
                <w:sz w:val="20"/>
                <w:szCs w:val="20"/>
                <w:color w:val="auto"/>
              </w:rPr>
            </w:pPr>
            <w:r>
              <w:rPr>
                <w:rFonts w:ascii="Arial" w:cs="Arial" w:eastAsia="Arial" w:hAnsi="Arial"/>
                <w:sz w:val="14"/>
                <w:szCs w:val="14"/>
                <w:color w:val="auto"/>
                <w:w w:val="76"/>
              </w:rPr>
              <w:t>2007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648,250</w:t>
            </w:r>
          </w:p>
        </w:tc>
        <w:tc>
          <w:tcPr>
            <w:tcW w:w="1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271,656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1200" w:type="dxa"/>
            <w:vAlign w:val="bottom"/>
          </w:tcPr>
          <w:p>
            <w:pPr>
              <w:jc w:val="right"/>
              <w:ind w:right="748"/>
              <w:spacing w:after="0"/>
              <w:rPr>
                <w:sz w:val="20"/>
                <w:szCs w:val="20"/>
                <w:color w:val="auto"/>
              </w:rPr>
            </w:pPr>
            <w:r>
              <w:rPr>
                <w:rFonts w:ascii="Arial" w:cs="Arial" w:eastAsia="Arial" w:hAnsi="Arial"/>
                <w:sz w:val="14"/>
                <w:szCs w:val="14"/>
                <w:color w:val="auto"/>
              </w:rPr>
              <w:t>48.50</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2,134,650</w:t>
            </w:r>
          </w:p>
        </w:tc>
        <w:tc>
          <w:tcPr>
            <w:tcW w:w="10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1,537,119</w:t>
            </w:r>
          </w:p>
        </w:tc>
        <w:tc>
          <w:tcPr>
            <w:tcW w:w="8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1,301,928</w:t>
            </w:r>
          </w:p>
        </w:tc>
        <w:tc>
          <w:tcPr>
            <w:tcW w:w="1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shd w:val="clear" w:color="auto" w:fill="CCFFCC"/>
          </w:tcPr>
          <w:p>
            <w:pPr>
              <w:spacing w:after="0"/>
              <w:rPr>
                <w:sz w:val="18"/>
                <w:szCs w:val="18"/>
                <w:color w:val="auto"/>
              </w:rPr>
            </w:pPr>
          </w:p>
        </w:tc>
        <w:tc>
          <w:tcPr>
            <w:tcW w:w="12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Credicorp’s Management has estimated the fair value of the SARs as of December 31, 2007 and 2006, using the binomial option pricing model, with assumptions obtained from the relevant available market information. The key assumptions used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160" w:type="dxa"/>
            <w:vAlign w:val="bottom"/>
          </w:tcPr>
          <w:p>
            <w:pPr>
              <w:ind w:left="1960"/>
              <w:spacing w:after="0"/>
              <w:rPr>
                <w:sz w:val="20"/>
                <w:szCs w:val="20"/>
                <w:color w:val="auto"/>
              </w:rPr>
            </w:pPr>
            <w:r>
              <w:rPr>
                <w:rFonts w:ascii="Arial" w:cs="Arial" w:eastAsia="Arial" w:hAnsi="Arial"/>
                <w:sz w:val="18"/>
                <w:szCs w:val="18"/>
                <w:b w:val="1"/>
                <w:bCs w:val="1"/>
                <w:color w:val="auto"/>
              </w:rPr>
              <w:t>Key assumptions</w:t>
            </w:r>
          </w:p>
        </w:tc>
        <w:tc>
          <w:tcPr>
            <w:tcW w:w="1680" w:type="dxa"/>
            <w:vAlign w:val="bottom"/>
          </w:tcPr>
          <w:p>
            <w:pPr>
              <w:spacing w:after="0"/>
              <w:rPr>
                <w:sz w:val="20"/>
                <w:szCs w:val="20"/>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520" w:type="dxa"/>
            <w:vAlign w:val="bottom"/>
          </w:tcPr>
          <w:p>
            <w:pPr>
              <w:spacing w:after="0"/>
              <w:rPr>
                <w:sz w:val="20"/>
                <w:szCs w:val="20"/>
                <w:color w:val="auto"/>
              </w:rPr>
            </w:pPr>
          </w:p>
        </w:tc>
        <w:tc>
          <w:tcPr>
            <w:tcW w:w="1240" w:type="dxa"/>
            <w:vAlign w:val="bottom"/>
          </w:tcPr>
          <w:p>
            <w:pPr>
              <w:jc w:val="right"/>
              <w:ind w:right="670"/>
              <w:spacing w:after="0"/>
              <w:rPr>
                <w:sz w:val="20"/>
                <w:szCs w:val="20"/>
                <w:color w:val="auto"/>
              </w:rPr>
            </w:pPr>
            <w:r>
              <w:rPr>
                <w:rFonts w:ascii="Arial" w:cs="Arial" w:eastAsia="Arial" w:hAnsi="Arial"/>
                <w:sz w:val="18"/>
                <w:szCs w:val="18"/>
                <w:b w:val="1"/>
                <w:bCs w:val="1"/>
                <w:color w:val="auto"/>
              </w:rPr>
              <w:t>2006</w:t>
            </w:r>
          </w:p>
        </w:tc>
        <w:tc>
          <w:tcPr>
            <w:tcW w:w="2180" w:type="dxa"/>
            <w:vAlign w:val="bottom"/>
          </w:tcPr>
          <w:p>
            <w:pPr>
              <w:spacing w:after="0"/>
              <w:rPr>
                <w:sz w:val="20"/>
                <w:szCs w:val="20"/>
                <w:color w:val="auto"/>
              </w:rPr>
            </w:pPr>
          </w:p>
        </w:tc>
      </w:tr>
      <w:tr>
        <w:trPr>
          <w:trHeight w:val="243"/>
        </w:trPr>
        <w:tc>
          <w:tcPr>
            <w:tcW w:w="466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c>
          <w:tcPr>
            <w:tcW w:w="166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shd w:val="clear" w:color="auto" w:fill="CCFFCC"/>
          </w:tcPr>
          <w:p>
            <w:pPr>
              <w:spacing w:after="0"/>
              <w:rPr>
                <w:sz w:val="21"/>
                <w:szCs w:val="21"/>
                <w:color w:val="auto"/>
              </w:rPr>
            </w:pPr>
          </w:p>
        </w:tc>
        <w:tc>
          <w:tcPr>
            <w:tcW w:w="1660" w:type="dxa"/>
            <w:vAlign w:val="bottom"/>
            <w:gridSpan w:val="2"/>
            <w:shd w:val="clear" w:color="auto" w:fill="CCFFCC"/>
          </w:tcPr>
          <w:p>
            <w:pPr>
              <w:jc w:val="right"/>
              <w:ind w:right="370"/>
              <w:spacing w:after="0"/>
              <w:rPr>
                <w:sz w:val="20"/>
                <w:szCs w:val="20"/>
                <w:color w:val="auto"/>
              </w:rPr>
            </w:pPr>
            <w:r>
              <w:rPr>
                <w:rFonts w:ascii="Arial" w:cs="Arial" w:eastAsia="Arial" w:hAnsi="Arial"/>
                <w:sz w:val="18"/>
                <w:szCs w:val="18"/>
                <w:color w:val="auto"/>
              </w:rPr>
              <w:t>32.70%</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31.31%</w:t>
            </w:r>
          </w:p>
        </w:tc>
        <w:tc>
          <w:tcPr>
            <w:tcW w:w="2180" w:type="dxa"/>
            <w:vAlign w:val="bottom"/>
          </w:tcPr>
          <w:p>
            <w:pPr>
              <w:spacing w:after="0"/>
              <w:rPr>
                <w:sz w:val="21"/>
                <w:szCs w:val="21"/>
                <w:color w:val="auto"/>
              </w:rPr>
            </w:pPr>
          </w:p>
        </w:tc>
      </w:tr>
      <w:tr>
        <w:trPr>
          <w:trHeight w:val="243"/>
        </w:trPr>
        <w:tc>
          <w:tcPr>
            <w:tcW w:w="4660" w:type="dxa"/>
            <w:vAlign w:val="bottom"/>
            <w:gridSpan w:val="2"/>
          </w:tcPr>
          <w:p>
            <w:pPr>
              <w:ind w:left="500"/>
              <w:spacing w:after="0"/>
              <w:rPr>
                <w:sz w:val="20"/>
                <w:szCs w:val="20"/>
                <w:color w:val="auto"/>
              </w:rPr>
            </w:pPr>
            <w:r>
              <w:rPr>
                <w:rFonts w:ascii="Arial" w:cs="Arial" w:eastAsia="Arial" w:hAnsi="Arial"/>
                <w:sz w:val="18"/>
                <w:szCs w:val="18"/>
                <w:color w:val="auto"/>
              </w:rPr>
              <w:t>Risk free interest rate</w:t>
            </w:r>
          </w:p>
        </w:tc>
        <w:tc>
          <w:tcPr>
            <w:tcW w:w="1680" w:type="dxa"/>
            <w:vAlign w:val="bottom"/>
          </w:tcPr>
          <w:p>
            <w:pPr>
              <w:spacing w:after="0"/>
              <w:rPr>
                <w:sz w:val="21"/>
                <w:szCs w:val="21"/>
                <w:color w:val="auto"/>
              </w:rPr>
            </w:pPr>
          </w:p>
        </w:tc>
        <w:tc>
          <w:tcPr>
            <w:tcW w:w="1660" w:type="dxa"/>
            <w:vAlign w:val="bottom"/>
            <w:gridSpan w:val="2"/>
          </w:tcPr>
          <w:p>
            <w:pPr>
              <w:jc w:val="right"/>
              <w:ind w:right="370"/>
              <w:spacing w:after="0"/>
              <w:rPr>
                <w:sz w:val="20"/>
                <w:szCs w:val="20"/>
                <w:color w:val="auto"/>
              </w:rPr>
            </w:pPr>
            <w:r>
              <w:rPr>
                <w:rFonts w:ascii="Arial" w:cs="Arial" w:eastAsia="Arial" w:hAnsi="Arial"/>
                <w:sz w:val="18"/>
                <w:szCs w:val="18"/>
                <w:color w:val="auto"/>
              </w:rPr>
              <w:t>3.51%</w:t>
            </w:r>
          </w:p>
        </w:tc>
        <w:tc>
          <w:tcPr>
            <w:tcW w:w="1240" w:type="dxa"/>
            <w:vAlign w:val="bottom"/>
          </w:tcPr>
          <w:p>
            <w:pPr>
              <w:jc w:val="right"/>
              <w:spacing w:after="0"/>
              <w:rPr>
                <w:sz w:val="20"/>
                <w:szCs w:val="20"/>
                <w:color w:val="auto"/>
              </w:rPr>
            </w:pPr>
            <w:r>
              <w:rPr>
                <w:rFonts w:ascii="Arial" w:cs="Arial" w:eastAsia="Arial" w:hAnsi="Arial"/>
                <w:sz w:val="18"/>
                <w:szCs w:val="18"/>
                <w:color w:val="auto"/>
              </w:rPr>
              <w:t>4.71%</w:t>
            </w:r>
          </w:p>
        </w:tc>
        <w:tc>
          <w:tcPr>
            <w:tcW w:w="21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168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4.92 years</w:t>
            </w:r>
          </w:p>
        </w:tc>
        <w:tc>
          <w:tcPr>
            <w:tcW w:w="520" w:type="dxa"/>
            <w:vAlign w:val="bottom"/>
            <w:shd w:val="clear" w:color="auto" w:fill="CCFFCC"/>
          </w:tcPr>
          <w:p>
            <w:pPr>
              <w:spacing w:after="0"/>
              <w:rPr>
                <w:sz w:val="21"/>
                <w:szCs w:val="21"/>
                <w:color w:val="auto"/>
              </w:rPr>
            </w:pPr>
          </w:p>
        </w:tc>
        <w:tc>
          <w:tcPr>
            <w:tcW w:w="12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5.05 years</w:t>
            </w:r>
          </w:p>
        </w:tc>
        <w:tc>
          <w:tcPr>
            <w:tcW w:w="2180" w:type="dxa"/>
            <w:vAlign w:val="bottom"/>
          </w:tcPr>
          <w:p>
            <w:pPr>
              <w:spacing w:after="0"/>
              <w:rPr>
                <w:sz w:val="21"/>
                <w:szCs w:val="21"/>
                <w:color w:val="auto"/>
              </w:rPr>
            </w:pPr>
          </w:p>
        </w:tc>
      </w:tr>
      <w:tr>
        <w:trPr>
          <w:trHeight w:val="243"/>
        </w:trPr>
        <w:tc>
          <w:tcPr>
            <w:tcW w:w="4660" w:type="dxa"/>
            <w:vAlign w:val="bottom"/>
            <w:gridSpan w:val="2"/>
          </w:tcPr>
          <w:p>
            <w:pPr>
              <w:ind w:left="500"/>
              <w:spacing w:after="0"/>
              <w:rPr>
                <w:sz w:val="20"/>
                <w:szCs w:val="20"/>
                <w:color w:val="auto"/>
              </w:rPr>
            </w:pPr>
            <w:r>
              <w:rPr>
                <w:rFonts w:ascii="Arial" w:cs="Arial" w:eastAsia="Arial" w:hAnsi="Arial"/>
                <w:sz w:val="18"/>
                <w:szCs w:val="18"/>
                <w:color w:val="auto"/>
              </w:rPr>
              <w:t>Quoted price of Credicorp shares at year-end</w:t>
            </w:r>
          </w:p>
        </w:tc>
        <w:tc>
          <w:tcPr>
            <w:tcW w:w="1680" w:type="dxa"/>
            <w:vAlign w:val="bottom"/>
          </w:tcPr>
          <w:p>
            <w:pPr>
              <w:ind w:left="1240"/>
              <w:spacing w:after="0"/>
              <w:rPr>
                <w:sz w:val="20"/>
                <w:szCs w:val="20"/>
                <w:color w:val="auto"/>
              </w:rPr>
            </w:pPr>
            <w:r>
              <w:rPr>
                <w:rFonts w:ascii="Arial" w:cs="Arial" w:eastAsia="Arial" w:hAnsi="Arial"/>
                <w:sz w:val="18"/>
                <w:szCs w:val="18"/>
                <w:color w:val="auto"/>
              </w:rPr>
              <w:t>US$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76.30</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US$</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40.94</w:t>
            </w:r>
          </w:p>
        </w:tc>
        <w:tc>
          <w:tcPr>
            <w:tcW w:w="2180" w:type="dxa"/>
            <w:vAlign w:val="bottom"/>
          </w:tcPr>
          <w:p>
            <w:pPr>
              <w:spacing w:after="0"/>
              <w:rPr>
                <w:sz w:val="21"/>
                <w:szCs w:val="21"/>
                <w:color w:val="auto"/>
              </w:rPr>
            </w:pPr>
          </w:p>
        </w:tc>
      </w:tr>
      <w:tr>
        <w:trPr>
          <w:trHeight w:val="459"/>
        </w:trPr>
        <w:tc>
          <w:tcPr>
            <w:tcW w:w="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tcPr>
          <w:p>
            <w:pPr>
              <w:ind w:left="880"/>
              <w:spacing w:after="0"/>
              <w:rPr>
                <w:sz w:val="20"/>
                <w:szCs w:val="20"/>
                <w:color w:val="auto"/>
              </w:rPr>
            </w:pPr>
            <w:r>
              <w:rPr>
                <w:rFonts w:ascii="Arial" w:cs="Arial" w:eastAsia="Arial" w:hAnsi="Arial"/>
                <w:sz w:val="18"/>
                <w:szCs w:val="18"/>
                <w:color w:val="auto"/>
              </w:rPr>
              <w:t>F-76</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movement of the SARs for the years ended December 31, 2007 and 2006 are as follows: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1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3"/>
          </w:tcPr>
          <w:p>
            <w:pPr>
              <w:jc w:val="center"/>
              <w:ind w:left="808"/>
              <w:spacing w:after="0" w:line="160"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2"/>
              </w:rPr>
              <w:t>Outstanding</w:t>
            </w:r>
          </w:p>
        </w:tc>
        <w:tc>
          <w:tcPr>
            <w:tcW w:w="1400" w:type="dxa"/>
            <w:vAlign w:val="bottom"/>
            <w:gridSpan w:val="3"/>
          </w:tcPr>
          <w:p>
            <w:pPr>
              <w:jc w:val="center"/>
              <w:ind w:left="808"/>
              <w:spacing w:after="0" w:line="160" w:lineRule="exact"/>
              <w:rPr>
                <w:sz w:val="20"/>
                <w:szCs w:val="20"/>
                <w:color w:val="auto"/>
              </w:rPr>
            </w:pPr>
            <w:r>
              <w:rPr>
                <w:rFonts w:ascii="Arial" w:cs="Arial" w:eastAsia="Arial" w:hAnsi="Arial"/>
                <w:sz w:val="14"/>
                <w:szCs w:val="14"/>
                <w:b w:val="1"/>
                <w:bCs w:val="1"/>
                <w:color w:val="auto"/>
                <w:w w:val="87"/>
              </w:rPr>
              <w:t>Vested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SARs</w:t>
            </w:r>
          </w:p>
        </w:tc>
        <w:tc>
          <w:tcPr>
            <w:tcW w:w="136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w w:val="90"/>
              </w:rPr>
              <w:t>SARs</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SARs</w:t>
            </w:r>
          </w:p>
        </w:tc>
        <w:tc>
          <w:tcPr>
            <w:tcW w:w="1400" w:type="dxa"/>
            <w:vAlign w:val="bottom"/>
            <w:tcBorders>
              <w:bottom w:val="single" w:sz="8" w:color="auto"/>
            </w:tcBorders>
            <w:gridSpan w:val="3"/>
          </w:tcPr>
          <w:p>
            <w:pPr>
              <w:jc w:val="center"/>
              <w:ind w:left="828"/>
              <w:spacing w:after="0"/>
              <w:rPr>
                <w:sz w:val="20"/>
                <w:szCs w:val="20"/>
                <w:color w:val="auto"/>
              </w:rPr>
            </w:pPr>
            <w:r>
              <w:rPr>
                <w:rFonts w:ascii="Arial" w:cs="Arial" w:eastAsia="Arial" w:hAnsi="Arial"/>
                <w:sz w:val="14"/>
                <w:szCs w:val="14"/>
                <w:b w:val="1"/>
                <w:bCs w:val="1"/>
                <w:color w:val="auto"/>
                <w:w w:val="90"/>
              </w:rPr>
              <w:t>SARs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Number</w:t>
            </w: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US$(000)</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shd w:val="clear" w:color="auto" w:fill="CCFFCC"/>
          </w:tcPr>
          <w:p>
            <w:pPr>
              <w:spacing w:after="0" w:line="189"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1"/>
                <w:szCs w:val="21"/>
                <w:b w:val="1"/>
                <w:bCs w:val="1"/>
                <w:color w:val="auto"/>
                <w:vertAlign w:val="superscript"/>
              </w:rPr>
              <w:t>st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1,858,350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1,301,928</w:t>
            </w:r>
          </w:p>
        </w:tc>
        <w:tc>
          <w:tcPr>
            <w:tcW w:w="2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38,761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2,201,275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1,658,932</w:t>
            </w:r>
          </w:p>
        </w:tc>
        <w:tc>
          <w:tcPr>
            <w:tcW w:w="20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Granted and vested</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689,500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647,610</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22,248</w:t>
            </w: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621,000</w:t>
            </w: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600,046</w:t>
            </w:r>
          </w:p>
        </w:tc>
        <w:tc>
          <w:tcPr>
            <w:tcW w:w="2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Exercised</w:t>
            </w:r>
          </w:p>
        </w:tc>
        <w:tc>
          <w:tcPr>
            <w:tcW w:w="11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(410,700)</w:t>
            </w:r>
          </w:p>
        </w:tc>
        <w:tc>
          <w:tcPr>
            <w:tcW w:w="11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(410,700)</w:t>
            </w:r>
          </w:p>
        </w:tc>
        <w:tc>
          <w:tcPr>
            <w:tcW w:w="2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(18,801)</w:t>
            </w:r>
          </w:p>
        </w:tc>
        <w:tc>
          <w:tcPr>
            <w:tcW w:w="12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(948,925)</w:t>
            </w:r>
          </w:p>
        </w:tc>
        <w:tc>
          <w:tcPr>
            <w:tcW w:w="12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(948,925)</w:t>
            </w:r>
          </w:p>
        </w:tc>
        <w:tc>
          <w:tcPr>
            <w:tcW w:w="20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(29,292)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Decrease</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(1,719)</w:t>
            </w:r>
          </w:p>
        </w:tc>
        <w:tc>
          <w:tcPr>
            <w:tcW w:w="20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(8,125)</w:t>
            </w:r>
          </w:p>
        </w:tc>
        <w:tc>
          <w:tcPr>
            <w:tcW w:w="20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Increase in the</w:t>
            </w: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4"/>
                <w:szCs w:val="14"/>
                <w:color w:val="auto"/>
              </w:rPr>
              <w:t>option fair value</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47,482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32,634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5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2,134,650</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1,537,119</w:t>
            </w:r>
          </w:p>
        </w:tc>
        <w:tc>
          <w:tcPr>
            <w:tcW w:w="20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89,602</w:t>
            </w:r>
          </w:p>
        </w:tc>
        <w:tc>
          <w:tcPr>
            <w:tcW w:w="12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1,858,350</w:t>
            </w:r>
          </w:p>
        </w:tc>
        <w:tc>
          <w:tcPr>
            <w:tcW w:w="12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1,301,928</w:t>
            </w:r>
          </w:p>
        </w:tc>
        <w:tc>
          <w:tcPr>
            <w:tcW w:w="20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In accordance with the signed contracts, Credicorp assumes the payment of the income tax of this benefit on behalf of its executives and employees, which corresponds to 30 percent of the benefit. Credicorp estimates the amount over the basis of the liability recorded for the vested benefits and records it in the same caption of this plan.</w:t>
      </w:r>
    </w:p>
    <w:p>
      <w:pPr>
        <w:spacing w:after="0" w:line="23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liabilities recorded for this plan are included in “Payroll taxes, salaries and other personnel expenses”, in the caption “Other liabilities” of the consolidated balance sheets (note 13 (a)) and the expenses in the caption “Personal expenses” on the consolidated income statements. In 2007, 2006 and 2005, the SARs prices were modified and informed to the executives of the Group.</w:t>
      </w:r>
    </w:p>
    <w:p>
      <w:pPr>
        <w:spacing w:after="0" w:line="23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During 2007 and 2006, the Group signed contracts with Citigroup by which has acquired certificates linked to the yield of Credicorp’s shares, to obtain an economic hedge of the SARs granted to its executives and employees, note 8.</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75" w:right="3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21.   Off-balance sheet accounts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(a)</w:t>
            </w: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This item is made up as follows: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13"/>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920" w:type="dxa"/>
            <w:vAlign w:val="bottom"/>
          </w:tcPr>
          <w:p>
            <w:pPr>
              <w:spacing w:after="0"/>
              <w:rPr>
                <w:sz w:val="21"/>
                <w:szCs w:val="21"/>
                <w:color w:val="auto"/>
              </w:rPr>
            </w:pPr>
          </w:p>
        </w:tc>
        <w:tc>
          <w:tcPr>
            <w:tcW w:w="54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 -</w:t>
            </w: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Guarantees and stand by letters (c)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1,133,476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1,204,500</w:t>
            </w:r>
          </w:p>
        </w:tc>
        <w:tc>
          <w:tcPr>
            <w:tcW w:w="120" w:type="dxa"/>
            <w:vAlign w:val="bottom"/>
          </w:tcPr>
          <w:p>
            <w:pPr>
              <w:spacing w:after="0"/>
              <w:rPr>
                <w:sz w:val="21"/>
                <w:szCs w:val="21"/>
                <w:color w:val="auto"/>
              </w:rPr>
            </w:pPr>
          </w:p>
        </w:tc>
      </w:tr>
      <w:tr>
        <w:trPr>
          <w:trHeight w:val="275"/>
        </w:trPr>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Import and export letters of credit (c)</w:t>
            </w:r>
          </w:p>
        </w:tc>
        <w:tc>
          <w:tcPr>
            <w:tcW w:w="20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431,049</w:t>
            </w: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250,876</w:t>
            </w:r>
          </w:p>
        </w:tc>
        <w:tc>
          <w:tcPr>
            <w:tcW w:w="120" w:type="dxa"/>
            <w:vAlign w:val="bottom"/>
            <w:tcBorders>
              <w:bottom w:val="single" w:sz="8" w:color="CCFFCC"/>
            </w:tcBorders>
            <w:shd w:val="clear" w:color="auto" w:fill="CCFFCC"/>
          </w:tcPr>
          <w:p>
            <w:pPr>
              <w:spacing w:after="0"/>
              <w:rPr>
                <w:sz w:val="23"/>
                <w:szCs w:val="23"/>
                <w:color w:val="auto"/>
              </w:rPr>
            </w:pPr>
          </w:p>
        </w:tc>
      </w:tr>
      <w:tr>
        <w:trPr>
          <w:trHeight w:val="237"/>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1,564,525</w:t>
            </w: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tcBorders>
              <w:top w:val="single" w:sz="8" w:color="CCFFCC"/>
            </w:tcBorders>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Responsabilities under credit lines agreements (e)</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1,082,115</w:t>
            </w:r>
          </w:p>
        </w:tc>
        <w:tc>
          <w:tcPr>
            <w:tcW w:w="1220" w:type="dxa"/>
            <w:vAlign w:val="bottom"/>
          </w:tcPr>
          <w:p>
            <w:pPr>
              <w:jc w:val="right"/>
              <w:spacing w:after="0"/>
              <w:rPr>
                <w:sz w:val="20"/>
                <w:szCs w:val="20"/>
                <w:color w:val="auto"/>
              </w:rPr>
            </w:pPr>
            <w:r>
              <w:rPr>
                <w:rFonts w:ascii="Arial" w:cs="Arial" w:eastAsia="Arial" w:hAnsi="Arial"/>
                <w:sz w:val="18"/>
                <w:szCs w:val="18"/>
                <w:color w:val="auto"/>
              </w:rPr>
              <w:t>814,746</w:t>
            </w:r>
          </w:p>
        </w:tc>
        <w:tc>
          <w:tcPr>
            <w:tcW w:w="1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Forward foreign exchange contracts - sell (d)</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939,531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561,111</w:t>
            </w: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Forward foreign exchange contracts - buy (d)</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(1,270,648)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(592,081)</w:t>
            </w: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Swap contracts (d)</w:t>
            </w: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Interest rate swaps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1,277,841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494,158</w:t>
            </w:r>
          </w:p>
        </w:tc>
        <w:tc>
          <w:tcPr>
            <w:tcW w:w="1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Currency swaps</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118,552</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48,883</w:t>
            </w:r>
          </w:p>
        </w:tc>
      </w:tr>
      <w:tr>
        <w:trPr>
          <w:trHeight w:val="270"/>
        </w:trPr>
        <w:tc>
          <w:tcPr>
            <w:tcW w:w="920" w:type="dxa"/>
            <w:vAlign w:val="bottom"/>
          </w:tcPr>
          <w:p>
            <w:pPr>
              <w:spacing w:after="0"/>
              <w:rPr>
                <w:sz w:val="23"/>
                <w:szCs w:val="23"/>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Cross currency swap</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50,420</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r>
      <w:tr>
        <w:trPr>
          <w:trHeight w:val="237"/>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3,762,336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2,782,193</w:t>
            </w:r>
          </w:p>
        </w:tc>
        <w:tc>
          <w:tcPr>
            <w:tcW w:w="12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40" w:hanging="646"/>
        <w:spacing w:after="0" w:line="342" w:lineRule="auto"/>
        <w:tabs>
          <w:tab w:leader="none" w:pos="11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w:t>
      </w:r>
    </w:p>
    <w:p>
      <w:pPr>
        <w:spacing w:after="0" w:line="177" w:lineRule="exact"/>
        <w:rPr>
          <w:rFonts w:ascii="Arial" w:cs="Arial" w:eastAsia="Arial" w:hAnsi="Arial"/>
          <w:sz w:val="16"/>
          <w:szCs w:val="16"/>
          <w:color w:val="auto"/>
        </w:rPr>
      </w:pPr>
    </w:p>
    <w:p>
      <w:pPr>
        <w:ind w:left="1140" w:right="180"/>
        <w:spacing w:after="0" w:line="277" w:lineRule="auto"/>
        <w:rPr>
          <w:rFonts w:ascii="Arial" w:cs="Arial" w:eastAsia="Arial" w:hAnsi="Arial"/>
          <w:sz w:val="16"/>
          <w:szCs w:val="16"/>
          <w:color w:val="auto"/>
        </w:rPr>
      </w:pPr>
      <w:r>
        <w:rPr>
          <w:rFonts w:ascii="Arial" w:cs="Arial" w:eastAsia="Arial" w:hAnsi="Arial"/>
          <w:sz w:val="18"/>
          <w:szCs w:val="18"/>
          <w:color w:val="auto"/>
        </w:rPr>
        <w:t>Credit risk for off-balance sheet financial instruments is defined as the possibility of sustaining a loss because any other party to a financial instrument fails to perform in accordance with the terms of the contract.</w:t>
      </w:r>
    </w:p>
    <w:p>
      <w:pPr>
        <w:spacing w:after="0" w:line="224" w:lineRule="exact"/>
        <w:rPr>
          <w:rFonts w:ascii="Arial" w:cs="Arial" w:eastAsia="Arial" w:hAnsi="Arial"/>
          <w:sz w:val="16"/>
          <w:szCs w:val="16"/>
          <w:color w:val="auto"/>
        </w:rPr>
      </w:pPr>
    </w:p>
    <w:p>
      <w:pPr>
        <w:ind w:left="1140"/>
        <w:spacing w:after="0" w:line="257" w:lineRule="auto"/>
        <w:rPr>
          <w:rFonts w:ascii="Arial" w:cs="Arial" w:eastAsia="Arial" w:hAnsi="Arial"/>
          <w:sz w:val="16"/>
          <w:szCs w:val="16"/>
          <w:color w:val="auto"/>
        </w:rPr>
      </w:pPr>
      <w:r>
        <w:rPr>
          <w:rFonts w:ascii="Arial" w:cs="Arial" w:eastAsia="Arial" w:hAnsi="Arial"/>
          <w:sz w:val="18"/>
          <w:szCs w:val="18"/>
          <w:color w:val="auto"/>
        </w:rPr>
        <w:t>The exposures to losses under commitments to guarantees, stand by letters, extend credit, provide export and import letters of credit and guarantees are represented by the contractual amount specified in these instruments. The Group applies the same credit policies in making commitments and conditional obligations as it does for on-balance sheet instruments (note 7(a)) including the requirement to obtain collateral to support off-balance sheet financial instruments when it is deemed necessary. Collateral held varies, but may include deposits held in financial institutions, securities or other assets.</w:t>
      </w:r>
    </w:p>
    <w:p>
      <w:pPr>
        <w:spacing w:after="0" w:line="242" w:lineRule="exact"/>
        <w:rPr>
          <w:rFonts w:ascii="Arial" w:cs="Arial" w:eastAsia="Arial" w:hAnsi="Arial"/>
          <w:sz w:val="16"/>
          <w:szCs w:val="16"/>
          <w:color w:val="auto"/>
        </w:rPr>
      </w:pPr>
    </w:p>
    <w:p>
      <w:pPr>
        <w:ind w:left="1140" w:right="20"/>
        <w:spacing w:after="0" w:line="277" w:lineRule="auto"/>
        <w:rPr>
          <w:rFonts w:ascii="Arial" w:cs="Arial" w:eastAsia="Arial" w:hAnsi="Arial"/>
          <w:sz w:val="16"/>
          <w:szCs w:val="16"/>
          <w:color w:val="auto"/>
        </w:rPr>
      </w:pPr>
      <w:r>
        <w:rPr>
          <w:rFonts w:ascii="Arial" w:cs="Arial" w:eastAsia="Arial" w:hAnsi="Arial"/>
          <w:sz w:val="18"/>
          <w:szCs w:val="18"/>
          <w:color w:val="auto"/>
        </w:rPr>
        <w:t>Because the fact that many of the contingent transactions are expected to expire without any performance being required, the total committed amounts do not necessarily represent future cash requirements.</w:t>
      </w:r>
    </w:p>
    <w:p>
      <w:pPr>
        <w:spacing w:after="0" w:line="224" w:lineRule="exact"/>
        <w:rPr>
          <w:rFonts w:ascii="Arial" w:cs="Arial" w:eastAsia="Arial" w:hAnsi="Arial"/>
          <w:sz w:val="16"/>
          <w:szCs w:val="16"/>
          <w:color w:val="auto"/>
        </w:rPr>
      </w:pPr>
    </w:p>
    <w:p>
      <w:pPr>
        <w:ind w:left="1140" w:right="360" w:hanging="646"/>
        <w:spacing w:after="0" w:line="312" w:lineRule="auto"/>
        <w:tabs>
          <w:tab w:leader="none" w:pos="11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5" w:right="31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820" w:hanging="326"/>
        <w:spacing w:after="0" w:line="271" w:lineRule="auto"/>
        <w:tabs>
          <w:tab w:leader="none" w:pos="82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As of December 31, 2007 and December 31, 2006, Credicorp has foreign currency forwards derivatives (as of December 31, 2006 the Group had a minor position on options for exchange rates amounted to US$8.7 million).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2007 and 2006, forward foreign currency purchase and sale agreements referred to above include nominal amounts of approximately US$2,210.2 million and US$1,153.2 million, respectively, which have in general maturities of less than a year. These agreements are executed to satisfy client requirements and are recognized in the consolidated financial statements at their fair market value. As of December 31, 2007, the forward contracts net position is an overbuy of U.S. Dollars of approximately US$331.1 million (overbuy of approximately US$31.0 million as of December 31, 2006).</w:t>
      </w:r>
    </w:p>
    <w:p>
      <w:pPr>
        <w:spacing w:after="0" w:line="232" w:lineRule="exact"/>
        <w:rPr>
          <w:rFonts w:ascii="Arial" w:cs="Arial" w:eastAsia="Arial" w:hAnsi="Arial"/>
          <w:sz w:val="17"/>
          <w:szCs w:val="17"/>
          <w:color w:val="auto"/>
        </w:rPr>
      </w:pPr>
    </w:p>
    <w:p>
      <w:pPr>
        <w:ind w:left="820" w:right="40"/>
        <w:spacing w:after="0" w:line="255" w:lineRule="auto"/>
        <w:rPr>
          <w:rFonts w:ascii="Arial" w:cs="Arial" w:eastAsia="Arial" w:hAnsi="Arial"/>
          <w:sz w:val="17"/>
          <w:szCs w:val="17"/>
          <w:color w:val="auto"/>
        </w:rPr>
      </w:pPr>
      <w:r>
        <w:rPr>
          <w:rFonts w:ascii="Arial" w:cs="Arial" w:eastAsia="Arial" w:hAnsi="Arial"/>
          <w:sz w:val="18"/>
          <w:szCs w:val="18"/>
          <w:color w:val="auto"/>
        </w:rPr>
        <w:t>Interest rate and currency swaps are derivatives contracts, where counter 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2007, the notional amount of open interest rate and currency swap contracts was approximately US$1,446.8 million (approximately US$543.0 million as of December 31, 2006). These contracts are recorded at fair value, recording both realized and unrealized gains and losses in the consolidated income statements.</w:t>
      </w:r>
    </w:p>
    <w:p>
      <w:pPr>
        <w:spacing w:after="0" w:line="247" w:lineRule="exact"/>
        <w:rPr>
          <w:rFonts w:ascii="Arial" w:cs="Arial" w:eastAsia="Arial" w:hAnsi="Arial"/>
          <w:sz w:val="17"/>
          <w:szCs w:val="17"/>
          <w:color w:val="auto"/>
        </w:rPr>
      </w:pPr>
    </w:p>
    <w:p>
      <w:pPr>
        <w:ind w:left="820"/>
        <w:spacing w:after="0" w:line="276" w:lineRule="auto"/>
        <w:rPr>
          <w:rFonts w:ascii="Arial" w:cs="Arial" w:eastAsia="Arial" w:hAnsi="Arial"/>
          <w:sz w:val="17"/>
          <w:szCs w:val="17"/>
          <w:color w:val="auto"/>
        </w:rPr>
      </w:pPr>
      <w:r>
        <w:rPr>
          <w:rFonts w:ascii="Arial" w:cs="Arial" w:eastAsia="Arial" w:hAnsi="Arial"/>
          <w:sz w:val="17"/>
          <w:szCs w:val="17"/>
          <w:color w:val="auto"/>
        </w:rPr>
        <w:t>As of December 31, 2006, the Group has signed one interest rate swap contract for a notional amount of US$196.0 million designated as a cash flow hedge, because it reduces the exposure to the variable interest rate risk of a portion of the loan transaction entered into by the Group on November 2005, Note 15(b). In accordance with the hedge operation, the Group pays a fixed rate of 4.57 percent and receives a variable rate equal to the monthly Libor interest rate over the notional amount and the settlements are made on a monthly basis; the instrument matures November 2012. The loan and the interest rate swap have the same critical terms.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As of December 31, 2007, the Group has other three interest rate swaps, which in the aggregate amounting to a nominal US$500.0 million</w:t>
      </w:r>
    </w:p>
    <w:p>
      <w:pPr>
        <w:spacing w:after="0" w:line="35" w:lineRule="exact"/>
        <w:rPr>
          <w:sz w:val="20"/>
          <w:szCs w:val="20"/>
          <w:color w:val="auto"/>
        </w:rPr>
      </w:pPr>
    </w:p>
    <w:p>
      <w:pPr>
        <w:jc w:val="both"/>
        <w:ind w:left="820" w:right="80"/>
        <w:spacing w:after="0" w:line="281" w:lineRule="auto"/>
        <w:rPr>
          <w:sz w:val="20"/>
          <w:szCs w:val="20"/>
          <w:color w:val="auto"/>
        </w:rPr>
      </w:pPr>
      <w:r>
        <w:rPr>
          <w:rFonts w:ascii="Arial" w:cs="Arial" w:eastAsia="Arial" w:hAnsi="Arial"/>
          <w:sz w:val="16"/>
          <w:szCs w:val="16"/>
          <w:color w:val="auto"/>
        </w:rPr>
        <w:t>(US$250.0, US$100.0 and US$150.0 million), designated as a cash flow hedge as a way to reduce the Group’s interest rate risk exposure arising from the transaction entered into by the Group in June 2007, note 15(b). Based on the hedge terms and conditions, the Group pays a fixed rate of 5.4775, 5.59 and 5.495 percent, respectively, and exchanges it by a floating interest rate equivalent to a monthly Libor on the nominal amount.</w:t>
      </w:r>
    </w:p>
    <w:p>
      <w:pPr>
        <w:spacing w:after="0" w:line="2" w:lineRule="exact"/>
        <w:rPr>
          <w:sz w:val="20"/>
          <w:szCs w:val="20"/>
          <w:color w:val="auto"/>
        </w:rPr>
      </w:pPr>
    </w:p>
    <w:p>
      <w:pPr>
        <w:ind w:left="820" w:right="380"/>
        <w:spacing w:after="0" w:line="323" w:lineRule="auto"/>
        <w:rPr>
          <w:sz w:val="20"/>
          <w:szCs w:val="20"/>
          <w:color w:val="auto"/>
        </w:rPr>
      </w:pPr>
      <w:r>
        <w:rPr>
          <w:rFonts w:ascii="Arial" w:cs="Arial" w:eastAsia="Arial" w:hAnsi="Arial"/>
          <w:sz w:val="16"/>
          <w:szCs w:val="16"/>
          <w:color w:val="auto"/>
        </w:rPr>
        <w:t>Payments are made monthly. The maturity date of the interest rate swap amounting to US$150 million is July 2014 and the maturity of those amounting to US$250 and US$100 million is July 2017. The loan and the interest rate swaps agreements have the same critical terms.</w:t>
      </w:r>
    </w:p>
    <w:p>
      <w:pPr>
        <w:spacing w:after="0" w:line="193" w:lineRule="exact"/>
        <w:rPr>
          <w:sz w:val="20"/>
          <w:szCs w:val="20"/>
          <w:color w:val="auto"/>
        </w:rPr>
      </w:pPr>
    </w:p>
    <w:p>
      <w:pPr>
        <w:ind w:left="820" w:right="120"/>
        <w:spacing w:after="0" w:line="257" w:lineRule="auto"/>
        <w:rPr>
          <w:sz w:val="20"/>
          <w:szCs w:val="20"/>
          <w:color w:val="auto"/>
        </w:rPr>
      </w:pPr>
      <w:r>
        <w:rPr>
          <w:rFonts w:ascii="Arial" w:cs="Arial" w:eastAsia="Arial" w:hAnsi="Arial"/>
          <w:sz w:val="18"/>
          <w:szCs w:val="18"/>
          <w:color w:val="auto"/>
        </w:rPr>
        <w:t>As of December 31, 2007, the Group has signed one cross currency swap contract for a notional amount of US$50.4 million designated as a fair value hedge, because it reduces the exposure to the change in the far value of the corporate bonds issue in Peruvian currency, note 17(a)(i). In accordance with the hedge transaction, the bonds were converted from Peruvian currency to US Dollars. Likewise, the fixed annual nominal interest rate of 6.84 percent has been changed to a variable rate of Libor plus 84 basic points. The bonds and the cross currency swap have the same critical terms.</w:t>
      </w:r>
    </w:p>
    <w:p>
      <w:pPr>
        <w:spacing w:after="0" w:line="242"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fair value of the asset and liability forward contracts and swaps as of December 31, 2007 amounted approximately US$45.8 and US$69.7 million, respectively (approximately US$19.1 and US$7.8 million as of December 31, 2006) and are included under the caption “Other assets and other liabilities” of the consolidated balance sheets, respectively, note 13(b). As of December 31, 2007 and 2006, the fair value of the cash flow hedges amounts to a loss of US$37.4 and a gain of US$2.9 million, respectively, and is recorded in equity.</w:t>
      </w:r>
    </w:p>
    <w:p>
      <w:pPr>
        <w:spacing w:after="0" w:line="225" w:lineRule="exact"/>
        <w:rPr>
          <w:sz w:val="20"/>
          <w:szCs w:val="20"/>
          <w:color w:val="auto"/>
        </w:rPr>
      </w:pPr>
    </w:p>
    <w:p>
      <w:pPr>
        <w:ind w:left="820" w:right="60" w:hanging="326"/>
        <w:spacing w:after="0" w:line="277" w:lineRule="auto"/>
        <w:tabs>
          <w:tab w:leader="none" w:pos="8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responsibilities under credit lines agreements do not correspond to commitment of obtain credit; and include credit lines and other consumer loans that are cancelable upon notification to the consumer.</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8" w:right="3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right="6900" w:hanging="492"/>
        <w:spacing w:after="0" w:line="282" w:lineRule="auto"/>
        <w:tabs>
          <w:tab w:leader="none" w:pos="5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and dividend income and interest expenses </w:t>
      </w:r>
      <w:r>
        <w:rPr>
          <w:rFonts w:ascii="Arial" w:cs="Arial" w:eastAsia="Arial" w:hAnsi="Arial"/>
          <w:sz w:val="18"/>
          <w:szCs w:val="18"/>
          <w:color w:val="auto"/>
        </w:rPr>
        <w:t>The items are made up as follow:</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r>
      <w:tr>
        <w:trPr>
          <w:trHeight w:val="243"/>
        </w:trPr>
        <w:tc>
          <w:tcPr>
            <w:tcW w:w="4260" w:type="dxa"/>
            <w:vAlign w:val="bottom"/>
          </w:tcPr>
          <w:p>
            <w:pPr>
              <w:spacing w:after="0"/>
              <w:rPr>
                <w:sz w:val="21"/>
                <w:szCs w:val="21"/>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r>
      <w:tr>
        <w:trPr>
          <w:trHeight w:val="243"/>
        </w:trPr>
        <w:tc>
          <w:tcPr>
            <w:tcW w:w="4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13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Interest loans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701,471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537,671</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447,392</w:t>
            </w: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Interest on deposits in banks</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105,817</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93,886</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37,127</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Interest from trading securities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3,289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2,913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2,497</w:t>
            </w: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Interest from investments available-for-sale</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228,473</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132,792</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114,745</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Dividends from trading securities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1,007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Dividends from investments available-for-sale</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8,870</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8,133</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3,551</w:t>
            </w: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Other interest income</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17,841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5,600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7,118</w:t>
            </w:r>
          </w:p>
        </w:tc>
      </w:tr>
      <w:tr>
        <w:trPr>
          <w:trHeight w:val="237"/>
        </w:trPr>
        <w:tc>
          <w:tcPr>
            <w:tcW w:w="426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1,065,974</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782,002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612,432</w:t>
            </w:r>
          </w:p>
        </w:tc>
      </w:tr>
      <w:tr>
        <w:trPr>
          <w:trHeight w:val="237"/>
        </w:trPr>
        <w:tc>
          <w:tcPr>
            <w:tcW w:w="426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b w:val="1"/>
                <w:bCs w:val="1"/>
                <w:color w:val="auto"/>
              </w:rPr>
              <w:t>Interest expenses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Interest on deposits and obligations</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(295,750)</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(189,552)</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(119,138)</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Interest on bonds and subordinated notes issued</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(33,592)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(25,282)</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(24,332)</w:t>
            </w:r>
          </w:p>
        </w:tc>
      </w:tr>
      <w:tr>
        <w:trPr>
          <w:trHeight w:val="202"/>
        </w:trPr>
        <w:tc>
          <w:tcPr>
            <w:tcW w:w="42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Interest on due to banks and correspondents and</w:t>
            </w:r>
          </w:p>
        </w:tc>
        <w:tc>
          <w:tcPr>
            <w:tcW w:w="13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4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borrowed funds</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(83,070)</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(56,634)</w:t>
            </w:r>
          </w:p>
        </w:tc>
        <w:tc>
          <w:tcPr>
            <w:tcW w:w="1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(20,288)</w:t>
            </w: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Other interest expenses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(19,588)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(12,010)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(9,401)</w:t>
            </w:r>
          </w:p>
        </w:tc>
      </w:tr>
      <w:tr>
        <w:trPr>
          <w:trHeight w:val="237"/>
        </w:trPr>
        <w:tc>
          <w:tcPr>
            <w:tcW w:w="426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(432,000)</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(283,478)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(173,159)</w:t>
            </w:r>
          </w:p>
        </w:tc>
      </w:tr>
      <w:tr>
        <w:trPr>
          <w:trHeight w:val="20"/>
        </w:trPr>
        <w:tc>
          <w:tcPr>
            <w:tcW w:w="4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During 2007, 2006 and 2005 the interest income accrued on impaired financial instrument recognized in the consolidated income statement amounted to US$3.5, US$4.1 and US$4.3 million, respectively.</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75" w:right="35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Banking services commissions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Banking services commissions for the three years ended December 31, 2007, 2006 and 2005 are as follow: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vMerge w:val="restart"/>
          </w:tcPr>
          <w:p>
            <w:pPr>
              <w:spacing w:after="0"/>
              <w:rPr>
                <w:sz w:val="21"/>
                <w:szCs w:val="21"/>
                <w:color w:val="auto"/>
              </w:rPr>
            </w:pPr>
          </w:p>
        </w:tc>
        <w:tc>
          <w:tcPr>
            <w:tcW w:w="4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42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Maintenance of accounts, transfers and credit and debit</w:t>
            </w:r>
          </w:p>
        </w:tc>
        <w:tc>
          <w:tcPr>
            <w:tcW w:w="13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card services</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145,926</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122,534</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111,074</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500"/>
              <w:spacing w:after="0"/>
              <w:rPr>
                <w:sz w:val="20"/>
                <w:szCs w:val="20"/>
                <w:color w:val="auto"/>
              </w:rPr>
            </w:pPr>
            <w:r>
              <w:rPr>
                <w:rFonts w:ascii="Arial" w:cs="Arial" w:eastAsia="Arial" w:hAnsi="Arial"/>
                <w:sz w:val="18"/>
                <w:szCs w:val="18"/>
                <w:color w:val="auto"/>
              </w:rPr>
              <w:t>Funds management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83,726</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38,728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14,469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Stock exchange, securities and custody</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11,112</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7,793</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5,943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500"/>
              <w:spacing w:after="0"/>
              <w:rPr>
                <w:sz w:val="20"/>
                <w:szCs w:val="20"/>
                <w:color w:val="auto"/>
              </w:rPr>
            </w:pPr>
            <w:r>
              <w:rPr>
                <w:rFonts w:ascii="Arial" w:cs="Arial" w:eastAsia="Arial" w:hAnsi="Arial"/>
                <w:sz w:val="18"/>
                <w:szCs w:val="18"/>
                <w:color w:val="auto"/>
              </w:rPr>
              <w:t>Contingent credits</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23,819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22,344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19,433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Collections</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29,308</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24,514</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18,893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30,870</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27,865</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36,351</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26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right"/>
              <w:spacing w:after="0"/>
              <w:rPr>
                <w:sz w:val="20"/>
                <w:szCs w:val="20"/>
                <w:color w:val="auto"/>
              </w:rPr>
            </w:pPr>
            <w:r>
              <w:rPr>
                <w:rFonts w:ascii="Arial" w:cs="Arial" w:eastAsia="Arial" w:hAnsi="Arial"/>
                <w:sz w:val="18"/>
                <w:szCs w:val="18"/>
                <w:color w:val="auto"/>
              </w:rPr>
              <w:t>324,761</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243,778</w:t>
            </w:r>
          </w:p>
        </w:tc>
        <w:tc>
          <w:tcPr>
            <w:tcW w:w="20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206,163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F-82</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Premiums earned net of insurance contract ceded to reinsurer for the three years ended December 31, 2007, 2006 and 2005 are as follows:</w:t>
      </w:r>
    </w:p>
    <w:p>
      <w:pPr>
        <w:sectPr>
          <w:pgSz w:w="11900" w:h="16838" w:orient="portrait"/>
          <w:cols w:equalWidth="0" w:num="1">
            <w:col w:w="10440"/>
          </w:cols>
          <w:pgMar w:left="240" w:top="37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 w:right="400"/>
        <w:spacing w:after="0" w:line="284" w:lineRule="auto"/>
        <w:rPr>
          <w:sz w:val="20"/>
          <w:szCs w:val="20"/>
          <w:color w:val="auto"/>
        </w:rPr>
      </w:pPr>
      <w:r>
        <w:rPr>
          <w:rFonts w:ascii="Arial" w:cs="Arial" w:eastAsia="Arial" w:hAnsi="Arial"/>
          <w:sz w:val="18"/>
          <w:szCs w:val="18"/>
          <w:b w:val="1"/>
          <w:bCs w:val="1"/>
          <w:color w:val="auto"/>
        </w:rPr>
        <w:t xml:space="preserve">As of December 31, 2007 </w:t>
      </w:r>
      <w:r>
        <w:rPr>
          <w:rFonts w:ascii="Arial" w:cs="Arial" w:eastAsia="Arial" w:hAnsi="Arial"/>
          <w:sz w:val="18"/>
          <w:szCs w:val="18"/>
          <w:color w:val="auto"/>
        </w:rPr>
        <w:t>Life insurance</w:t>
      </w:r>
    </w:p>
    <w:p>
      <w:pPr>
        <w:ind w:left="500"/>
        <w:spacing w:after="0" w:line="418" w:lineRule="auto"/>
        <w:rPr>
          <w:sz w:val="20"/>
          <w:szCs w:val="20"/>
          <w:color w:val="auto"/>
        </w:rPr>
      </w:pPr>
      <w:r>
        <w:rPr>
          <w:rFonts w:ascii="Arial" w:cs="Arial" w:eastAsia="Arial" w:hAnsi="Arial"/>
          <w:sz w:val="15"/>
          <w:szCs w:val="15"/>
          <w:color w:val="auto"/>
        </w:rPr>
        <w:t>Accident and health insurance Property and casualty insurance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premiums</w:t>
      </w:r>
    </w:p>
    <w:p>
      <w:pPr>
        <w:spacing w:after="0" w:line="320" w:lineRule="exact"/>
        <w:rPr>
          <w:sz w:val="20"/>
          <w:szCs w:val="20"/>
          <w:color w:val="auto"/>
        </w:rPr>
      </w:pPr>
    </w:p>
    <w:p>
      <w:pPr>
        <w:ind w:left="500" w:right="400"/>
        <w:spacing w:after="0" w:line="284" w:lineRule="auto"/>
        <w:rPr>
          <w:sz w:val="20"/>
          <w:szCs w:val="20"/>
          <w:color w:val="auto"/>
        </w:rPr>
      </w:pPr>
      <w:r>
        <w:rPr>
          <w:rFonts w:ascii="Arial" w:cs="Arial" w:eastAsia="Arial" w:hAnsi="Arial"/>
          <w:sz w:val="18"/>
          <w:szCs w:val="18"/>
          <w:b w:val="1"/>
          <w:bCs w:val="1"/>
          <w:color w:val="auto"/>
        </w:rPr>
        <w:t xml:space="preserve">As of December 31, 2006 </w:t>
      </w:r>
      <w:r>
        <w:rPr>
          <w:rFonts w:ascii="Arial" w:cs="Arial" w:eastAsia="Arial" w:hAnsi="Arial"/>
          <w:sz w:val="18"/>
          <w:szCs w:val="18"/>
          <w:color w:val="auto"/>
        </w:rPr>
        <w:t>Life insurance</w:t>
      </w:r>
    </w:p>
    <w:p>
      <w:pPr>
        <w:ind w:left="500"/>
        <w:spacing w:after="0"/>
        <w:rPr>
          <w:sz w:val="20"/>
          <w:szCs w:val="20"/>
          <w:color w:val="auto"/>
        </w:rPr>
      </w:pPr>
      <w:r>
        <w:rPr>
          <w:rFonts w:ascii="Arial" w:cs="Arial" w:eastAsia="Arial" w:hAnsi="Arial"/>
          <w:sz w:val="17"/>
          <w:szCs w:val="17"/>
          <w:color w:val="auto"/>
        </w:rPr>
        <w:t>Accident and health insurance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Ceded to</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Assumed</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of amount</w:t>
            </w:r>
          </w:p>
        </w:tc>
      </w:tr>
      <w:tr>
        <w:trPr>
          <w:trHeight w:val="216"/>
        </w:trPr>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Gross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reinsurers and</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other</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Net premiums</w:t>
            </w:r>
          </w:p>
        </w:tc>
        <w:tc>
          <w:tcPr>
            <w:tcW w:w="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assumed on net</w:t>
            </w:r>
          </w:p>
        </w:tc>
      </w:tr>
      <w:tr>
        <w:trPr>
          <w:trHeight w:val="234"/>
        </w:trPr>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Premiums (*)</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coinsurers, net</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companies, net</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earned</w:t>
            </w:r>
          </w:p>
        </w:tc>
        <w:tc>
          <w:tcPr>
            <w:tcW w:w="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premiums</w:t>
            </w:r>
          </w:p>
        </w:tc>
      </w:tr>
      <w:tr>
        <w:trPr>
          <w:trHeight w:val="243"/>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r>
      <w:tr>
        <w:trPr>
          <w:trHeight w:val="729"/>
        </w:trPr>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89,598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(2,658)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88,348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1080" w:type="dxa"/>
            <w:vAlign w:val="bottom"/>
          </w:tcPr>
          <w:p>
            <w:pPr>
              <w:jc w:val="right"/>
              <w:spacing w:after="0"/>
              <w:rPr>
                <w:sz w:val="20"/>
                <w:szCs w:val="20"/>
                <w:color w:val="auto"/>
              </w:rPr>
            </w:pPr>
            <w:r>
              <w:rPr>
                <w:rFonts w:ascii="Arial" w:cs="Arial" w:eastAsia="Arial" w:hAnsi="Arial"/>
                <w:sz w:val="18"/>
                <w:szCs w:val="18"/>
                <w:color w:val="auto"/>
              </w:rPr>
              <w:t>129,306</w:t>
            </w:r>
          </w:p>
        </w:tc>
        <w:tc>
          <w:tcPr>
            <w:tcW w:w="1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(2,488)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126,934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1080" w:type="dxa"/>
            <w:vAlign w:val="bottom"/>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(71,759)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7,418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81,990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9.05</w:t>
            </w:r>
          </w:p>
        </w:tc>
      </w:tr>
      <w:tr>
        <w:trPr>
          <w:trHeight w:val="20"/>
        </w:trPr>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507"/>
        </w:trPr>
        <w:tc>
          <w:tcPr>
            <w:tcW w:w="1080" w:type="dxa"/>
            <w:vAlign w:val="bottom"/>
          </w:tcPr>
          <w:p>
            <w:pPr>
              <w:jc w:val="right"/>
              <w:spacing w:after="0"/>
              <w:rPr>
                <w:sz w:val="20"/>
                <w:szCs w:val="20"/>
                <w:color w:val="auto"/>
              </w:rPr>
            </w:pPr>
            <w:r>
              <w:rPr>
                <w:rFonts w:ascii="Arial" w:cs="Arial" w:eastAsia="Arial" w:hAnsi="Arial"/>
                <w:sz w:val="18"/>
                <w:szCs w:val="18"/>
                <w:color w:val="auto"/>
              </w:rPr>
              <w:t>365,235</w:t>
            </w:r>
          </w:p>
        </w:tc>
        <w:tc>
          <w:tcPr>
            <w:tcW w:w="10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(76,905)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8,942</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297,272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723"/>
        </w:trPr>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66,477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(2,923)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64,782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1.90</w:t>
            </w:r>
          </w:p>
        </w:tc>
      </w:tr>
      <w:tr>
        <w:trPr>
          <w:trHeight w:val="241"/>
        </w:trPr>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111,295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(2,377)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110,444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-1593215</wp:posOffset>
            </wp:positionV>
            <wp:extent cx="6243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43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-1284605</wp:posOffset>
            </wp:positionV>
            <wp:extent cx="6243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43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-949960</wp:posOffset>
            </wp:positionV>
            <wp:extent cx="6243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43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-615315</wp:posOffset>
            </wp:positionV>
            <wp:extent cx="6243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43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-306705</wp:posOffset>
            </wp:positionV>
            <wp:extent cx="6243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43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80" w:space="680"/>
            <w:col w:w="6980"/>
          </w:cols>
          <w:pgMar w:left="240" w:top="375" w:right="1219" w:bottom="1440" w:gutter="0" w:footer="0" w:header="0"/>
          <w:type w:val="continuous"/>
        </w:sectPr>
      </w:pPr>
    </w:p>
    <w:tbl>
      <w:tblPr>
        <w:tblLayout w:type="fixed"/>
        <w:tblInd w:w="500" w:type="dxa"/>
        <w:tblCellMar>
          <w:top w:w="0" w:type="dxa"/>
          <w:left w:w="0" w:type="dxa"/>
          <w:bottom w:w="0" w:type="dxa"/>
          <w:right w:w="0" w:type="dxa"/>
        </w:tblCellMar>
      </w:tblPr>
      <w:tr>
        <w:trPr>
          <w:trHeight w:val="257"/>
        </w:trPr>
        <w:tc>
          <w:tcPr>
            <w:tcW w:w="27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Property and casualty insurance</w:t>
            </w: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138,964</w:t>
            </w:r>
          </w:p>
        </w:tc>
        <w:tc>
          <w:tcPr>
            <w:tcW w:w="1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(64,767)</w:t>
            </w: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1,838</w:t>
            </w:r>
          </w:p>
        </w:tc>
        <w:tc>
          <w:tcPr>
            <w:tcW w:w="1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76,035</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r>
      <w:tr>
        <w:trPr>
          <w:trHeight w:val="237"/>
        </w:trPr>
        <w:tc>
          <w:tcPr>
            <w:tcW w:w="278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27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premiums</w:t>
            </w:r>
          </w:p>
        </w:tc>
        <w:tc>
          <w:tcPr>
            <w:tcW w:w="12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316,736</w:t>
            </w:r>
          </w:p>
        </w:tc>
        <w:tc>
          <w:tcPr>
            <w:tcW w:w="1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(70,067)</w:t>
            </w: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4,592</w:t>
            </w:r>
          </w:p>
        </w:tc>
        <w:tc>
          <w:tcPr>
            <w:tcW w:w="1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251,261</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w:t>
            </w:r>
          </w:p>
        </w:tc>
      </w:tr>
      <w:tr>
        <w:trPr>
          <w:trHeight w:val="237"/>
        </w:trPr>
        <w:tc>
          <w:tcPr>
            <w:tcW w:w="278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2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 of December 31, 2005</w:t>
            </w:r>
          </w:p>
        </w:tc>
        <w:tc>
          <w:tcPr>
            <w:tcW w:w="18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Life insurance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46,239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(2,537)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44,667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43"/>
        </w:trPr>
        <w:tc>
          <w:tcPr>
            <w:tcW w:w="2780" w:type="dxa"/>
            <w:vAlign w:val="bottom"/>
            <w:shd w:val="clear" w:color="auto" w:fill="CCFFCC"/>
          </w:tcPr>
          <w:p>
            <w:pPr>
              <w:spacing w:after="0"/>
              <w:rPr>
                <w:sz w:val="20"/>
                <w:szCs w:val="20"/>
                <w:color w:val="auto"/>
              </w:rPr>
            </w:pPr>
            <w:r>
              <w:rPr>
                <w:rFonts w:ascii="Arial" w:cs="Arial" w:eastAsia="Arial" w:hAnsi="Arial"/>
                <w:sz w:val="18"/>
                <w:szCs w:val="18"/>
                <w:color w:val="auto"/>
              </w:rPr>
              <w:t>Accident and health insurance</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111,785</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(2,745)</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1,531</w:t>
            </w:r>
          </w:p>
        </w:tc>
        <w:tc>
          <w:tcPr>
            <w:tcW w:w="1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110,571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126,377</w:t>
            </w:r>
          </w:p>
        </w:tc>
        <w:tc>
          <w:tcPr>
            <w:tcW w:w="10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(61,133)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63,717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37"/>
        </w:trPr>
        <w:tc>
          <w:tcPr>
            <w:tcW w:w="27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b w:val="1"/>
                <w:bCs w:val="1"/>
                <w:color w:val="auto"/>
              </w:rPr>
              <w:t>Total premiums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284,401</w:t>
            </w:r>
          </w:p>
        </w:tc>
        <w:tc>
          <w:tcPr>
            <w:tcW w:w="1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(66,415)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218,955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40" w:right="4020" w:hanging="5046"/>
        <w:spacing w:after="0" w:line="712" w:lineRule="auto"/>
        <w:tabs>
          <w:tab w:leader="none" w:pos="73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Includes the annual variation of the technical and unearned premiums reserves. 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40"/>
          </w:cols>
          <w:pgMar w:left="240" w:top="375" w:right="1219" w:bottom="1440" w:gutter="0" w:footer="0" w:header="0"/>
          <w:type w:val="continuous"/>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500" w:right="3180" w:hanging="6"/>
        <w:spacing w:after="0" w:line="342" w:lineRule="auto"/>
        <w:tabs>
          <w:tab w:leader="none" w:pos="98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Net claims incurred for property and casualty, life and health insurance contracts The expenses for claims at December 31, 2007, 2006 and 2005 include the following items:</w:t>
      </w:r>
    </w:p>
    <w:p>
      <w:pPr>
        <w:sectPr>
          <w:pgSz w:w="11900" w:h="16838" w:orient="portrait"/>
          <w:cols w:equalWidth="0" w:num="1">
            <w:col w:w="10280"/>
          </w:cols>
          <w:pgMar w:left="240" w:top="348"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Gross insurance claims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Ceded claims</w:t>
      </w:r>
    </w:p>
    <w:p>
      <w:pPr>
        <w:spacing w:after="0" w:line="31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Gross insurance claims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Ceded claims</w:t>
      </w:r>
    </w:p>
    <w:p>
      <w:pPr>
        <w:spacing w:after="0" w:line="31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Gross insurance claims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Ceded claims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2007</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5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4"/>
              </w:rPr>
              <w:t>Health</w:t>
            </w: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Life insurance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43"/>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r>
      <w:tr>
        <w:trPr>
          <w:trHeight w:val="486"/>
        </w:trPr>
        <w:tc>
          <w:tcPr>
            <w:tcW w:w="1280" w:type="dxa"/>
            <w:vAlign w:val="bottom"/>
          </w:tcPr>
          <w:p>
            <w:pPr>
              <w:jc w:val="right"/>
              <w:spacing w:after="0"/>
              <w:rPr>
                <w:sz w:val="20"/>
                <w:szCs w:val="20"/>
                <w:color w:val="auto"/>
              </w:rPr>
            </w:pPr>
            <w:r>
              <w:rPr>
                <w:rFonts w:ascii="Arial" w:cs="Arial" w:eastAsia="Arial" w:hAnsi="Arial"/>
                <w:sz w:val="18"/>
                <w:szCs w:val="18"/>
                <w:color w:val="auto"/>
              </w:rPr>
              <w:t>63,744</w:t>
            </w:r>
          </w:p>
        </w:tc>
        <w:tc>
          <w:tcPr>
            <w:tcW w:w="20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152,351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108,767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324,862</w:t>
            </w:r>
          </w:p>
        </w:tc>
      </w:tr>
      <w:tr>
        <w:trPr>
          <w:trHeight w:val="270"/>
        </w:trPr>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(84,662)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(86,262)</w:t>
            </w:r>
          </w:p>
        </w:tc>
      </w:tr>
      <w:tr>
        <w:trPr>
          <w:trHeight w:val="20"/>
        </w:trPr>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80" w:type="dxa"/>
            <w:vAlign w:val="bottom"/>
          </w:tcPr>
          <w:p>
            <w:pPr>
              <w:jc w:val="right"/>
              <w:spacing w:after="0"/>
              <w:rPr>
                <w:sz w:val="20"/>
                <w:szCs w:val="20"/>
                <w:color w:val="auto"/>
              </w:rPr>
            </w:pPr>
            <w:r>
              <w:rPr>
                <w:rFonts w:ascii="Arial" w:cs="Arial" w:eastAsia="Arial" w:hAnsi="Arial"/>
                <w:sz w:val="18"/>
                <w:szCs w:val="18"/>
                <w:color w:val="auto"/>
              </w:rPr>
              <w:t>63,692</w:t>
            </w:r>
          </w:p>
        </w:tc>
        <w:tc>
          <w:tcPr>
            <w:tcW w:w="20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67,689</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107,219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238,600</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-668020</wp:posOffset>
            </wp:positionV>
            <wp:extent cx="6243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43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-334010</wp:posOffset>
            </wp:positionV>
            <wp:extent cx="62433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43320" cy="154305"/>
                    </a:xfrm>
                    <a:prstGeom prst="rect">
                      <a:avLst/>
                    </a:prstGeom>
                    <a:noFill/>
                  </pic:spPr>
                </pic:pic>
              </a:graphicData>
            </a:graphic>
          </wp:anchor>
        </w:drawing>
      </w:r>
    </w:p>
    <w:p>
      <w:pPr>
        <w:spacing w:after="0" w:line="286"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2006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Life insurance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Health insurance</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43"/>
        </w:trPr>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r>
      <w:tr>
        <w:trPr>
          <w:trHeight w:val="486"/>
        </w:trPr>
        <w:tc>
          <w:tcPr>
            <w:tcW w:w="1260" w:type="dxa"/>
            <w:vAlign w:val="bottom"/>
          </w:tcPr>
          <w:p>
            <w:pPr>
              <w:jc w:val="right"/>
              <w:spacing w:after="0"/>
              <w:rPr>
                <w:sz w:val="20"/>
                <w:szCs w:val="20"/>
                <w:color w:val="auto"/>
              </w:rPr>
            </w:pPr>
            <w:r>
              <w:rPr>
                <w:rFonts w:ascii="Arial" w:cs="Arial" w:eastAsia="Arial" w:hAnsi="Arial"/>
                <w:sz w:val="18"/>
                <w:szCs w:val="18"/>
                <w:color w:val="auto"/>
              </w:rPr>
              <w:t>52,713</w:t>
            </w:r>
          </w:p>
        </w:tc>
        <w:tc>
          <w:tcPr>
            <w:tcW w:w="20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60,285</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89,797</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202,795</w:t>
            </w:r>
          </w:p>
        </w:tc>
      </w:tr>
      <w:tr>
        <w:trPr>
          <w:trHeight w:val="270"/>
        </w:trPr>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(823)</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(13,698)</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(1,752)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(16,273)</w:t>
            </w:r>
          </w:p>
        </w:tc>
      </w:tr>
      <w:tr>
        <w:trPr>
          <w:trHeight w:val="20"/>
        </w:trPr>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spacing w:after="0"/>
              <w:rPr>
                <w:sz w:val="20"/>
                <w:szCs w:val="20"/>
                <w:color w:val="auto"/>
              </w:rPr>
            </w:pPr>
            <w:r>
              <w:rPr>
                <w:rFonts w:ascii="Arial" w:cs="Arial" w:eastAsia="Arial" w:hAnsi="Arial"/>
                <w:sz w:val="18"/>
                <w:szCs w:val="18"/>
                <w:color w:val="auto"/>
              </w:rPr>
              <w:t>51,890</w:t>
            </w:r>
          </w:p>
        </w:tc>
        <w:tc>
          <w:tcPr>
            <w:tcW w:w="20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46,587</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88,045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186,522</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-668020</wp:posOffset>
            </wp:positionV>
            <wp:extent cx="6243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43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-334010</wp:posOffset>
            </wp:positionV>
            <wp:extent cx="6243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43320" cy="154305"/>
                    </a:xfrm>
                    <a:prstGeom prst="rect">
                      <a:avLst/>
                    </a:prstGeom>
                    <a:noFill/>
                  </pic:spPr>
                </pic:pic>
              </a:graphicData>
            </a:graphic>
          </wp:anchor>
        </w:drawing>
      </w:r>
    </w:p>
    <w:p>
      <w:pPr>
        <w:spacing w:after="0" w:line="286"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2005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Life insurance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Health insurance</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43"/>
        </w:trPr>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r>
      <w:tr>
        <w:trPr>
          <w:trHeight w:val="486"/>
        </w:trPr>
        <w:tc>
          <w:tcPr>
            <w:tcW w:w="1260" w:type="dxa"/>
            <w:vAlign w:val="bottom"/>
          </w:tcPr>
          <w:p>
            <w:pPr>
              <w:jc w:val="right"/>
              <w:spacing w:after="0"/>
              <w:rPr>
                <w:sz w:val="20"/>
                <w:szCs w:val="20"/>
                <w:color w:val="auto"/>
              </w:rPr>
            </w:pPr>
            <w:r>
              <w:rPr>
                <w:rFonts w:ascii="Arial" w:cs="Arial" w:eastAsia="Arial" w:hAnsi="Arial"/>
                <w:sz w:val="18"/>
                <w:szCs w:val="18"/>
                <w:color w:val="auto"/>
              </w:rPr>
              <w:t>41,650</w:t>
            </w:r>
          </w:p>
        </w:tc>
        <w:tc>
          <w:tcPr>
            <w:tcW w:w="20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56,539</w:t>
            </w:r>
          </w:p>
        </w:tc>
        <w:tc>
          <w:tcPr>
            <w:tcW w:w="1420" w:type="dxa"/>
            <w:vAlign w:val="bottom"/>
          </w:tcPr>
          <w:p>
            <w:pPr>
              <w:jc w:val="right"/>
              <w:spacing w:after="0"/>
              <w:rPr>
                <w:sz w:val="20"/>
                <w:szCs w:val="20"/>
                <w:color w:val="auto"/>
              </w:rPr>
            </w:pPr>
            <w:r>
              <w:rPr>
                <w:rFonts w:ascii="Arial" w:cs="Arial" w:eastAsia="Arial" w:hAnsi="Arial"/>
                <w:sz w:val="18"/>
                <w:szCs w:val="18"/>
                <w:color w:val="auto"/>
              </w:rPr>
              <w:t>93,115</w:t>
            </w:r>
          </w:p>
        </w:tc>
        <w:tc>
          <w:tcPr>
            <w:tcW w:w="20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191,304</w:t>
            </w:r>
          </w:p>
        </w:tc>
      </w:tr>
      <w:tr>
        <w:trPr>
          <w:trHeight w:val="270"/>
        </w:trPr>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(13,970)</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(15,804)</w:t>
            </w:r>
          </w:p>
        </w:tc>
      </w:tr>
      <w:tr>
        <w:trPr>
          <w:trHeight w:val="20"/>
        </w:trPr>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-334010</wp:posOffset>
            </wp:positionV>
            <wp:extent cx="6243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43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0</wp:posOffset>
            </wp:positionV>
            <wp:extent cx="6243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43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6120"/>
          </w:cols>
          <w:pgMar w:left="240" w:top="348" w:right="1379" w:bottom="1440" w:gutter="0" w:footer="0" w:header="0"/>
          <w:type w:val="continuous"/>
        </w:sectPr>
      </w:pPr>
    </w:p>
    <w:p>
      <w:pPr>
        <w:spacing w:after="0" w:line="5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260" w:type="dxa"/>
            <w:vAlign w:val="bottom"/>
          </w:tcPr>
          <w:p>
            <w:pPr>
              <w:jc w:val="right"/>
              <w:spacing w:after="0"/>
              <w:rPr>
                <w:sz w:val="20"/>
                <w:szCs w:val="20"/>
                <w:color w:val="auto"/>
              </w:rPr>
            </w:pPr>
            <w:r>
              <w:rPr>
                <w:rFonts w:ascii="Arial" w:cs="Arial" w:eastAsia="Arial" w:hAnsi="Arial"/>
                <w:sz w:val="18"/>
                <w:szCs w:val="18"/>
                <w:color w:val="auto"/>
              </w:rPr>
              <w:t>40,780</w:t>
            </w: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42,569</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92,151</w:t>
            </w:r>
          </w:p>
        </w:tc>
        <w:tc>
          <w:tcPr>
            <w:tcW w:w="1280" w:type="dxa"/>
            <w:vAlign w:val="bottom"/>
          </w:tcPr>
          <w:p>
            <w:pPr>
              <w:jc w:val="right"/>
              <w:spacing w:after="0"/>
              <w:rPr>
                <w:sz w:val="20"/>
                <w:szCs w:val="20"/>
                <w:color w:val="auto"/>
              </w:rPr>
            </w:pPr>
            <w:r>
              <w:rPr>
                <w:rFonts w:ascii="Arial" w:cs="Arial" w:eastAsia="Arial" w:hAnsi="Arial"/>
                <w:sz w:val="18"/>
                <w:szCs w:val="18"/>
                <w:color w:val="auto"/>
              </w:rPr>
              <w:t>175,500</w:t>
            </w:r>
          </w:p>
        </w:tc>
      </w:tr>
      <w:tr>
        <w:trPr>
          <w:trHeight w:val="20"/>
        </w:trPr>
        <w:tc>
          <w:tcPr>
            <w:tcW w:w="3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48" w:right="137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w:t>
        <w:tab/>
        <w:t>Other income and expenses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The items are made up as follow:</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99"/>
        </w:trPr>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2180" w:type="dxa"/>
            <w:vAlign w:val="bottom"/>
          </w:tcPr>
          <w:p>
            <w:pPr>
              <w:spacing w:after="0"/>
              <w:rPr>
                <w:sz w:val="21"/>
                <w:szCs w:val="21"/>
                <w:color w:val="auto"/>
              </w:rPr>
            </w:pPr>
          </w:p>
        </w:tc>
      </w:tr>
      <w:tr>
        <w:trPr>
          <w:trHeight w:val="243"/>
        </w:trPr>
        <w:tc>
          <w:tcPr>
            <w:tcW w:w="45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20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180" w:type="dxa"/>
            <w:vAlign w:val="bottom"/>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Income from the sale of assets seized</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10,689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9,244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6,202</w:t>
            </w:r>
          </w:p>
        </w:tc>
        <w:tc>
          <w:tcPr>
            <w:tcW w:w="21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Real estate rental income</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3,519</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3,031</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1,941</w:t>
            </w:r>
          </w:p>
        </w:tc>
        <w:tc>
          <w:tcPr>
            <w:tcW w:w="2180" w:type="dxa"/>
            <w:vAlign w:val="bottom"/>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w w:val="88"/>
              </w:rPr>
              <w:t>Recoveries of other accounts receivable and other assets</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3,113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1,763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4,512</w:t>
            </w:r>
          </w:p>
        </w:tc>
        <w:tc>
          <w:tcPr>
            <w:tcW w:w="2180" w:type="dxa"/>
            <w:vAlign w:val="bottom"/>
          </w:tcPr>
          <w:p>
            <w:pPr>
              <w:spacing w:after="0"/>
              <w:rPr>
                <w:sz w:val="21"/>
                <w:szCs w:val="21"/>
                <w:color w:val="auto"/>
              </w:rPr>
            </w:pPr>
          </w:p>
        </w:tc>
      </w:tr>
      <w:tr>
        <w:trPr>
          <w:trHeight w:val="275"/>
        </w:trPr>
        <w:tc>
          <w:tcPr>
            <w:tcW w:w="500" w:type="dxa"/>
            <w:vAlign w:val="bottom"/>
          </w:tcPr>
          <w:p>
            <w:pPr>
              <w:spacing w:after="0"/>
              <w:rPr>
                <w:sz w:val="23"/>
                <w:szCs w:val="23"/>
                <w:color w:val="auto"/>
              </w:rPr>
            </w:pPr>
          </w:p>
        </w:tc>
        <w:tc>
          <w:tcPr>
            <w:tcW w:w="40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5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7,613</w:t>
            </w:r>
          </w:p>
        </w:tc>
        <w:tc>
          <w:tcPr>
            <w:tcW w:w="15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8,638</w:t>
            </w:r>
          </w:p>
        </w:tc>
        <w:tc>
          <w:tcPr>
            <w:tcW w:w="14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8,916</w:t>
            </w:r>
          </w:p>
        </w:tc>
        <w:tc>
          <w:tcPr>
            <w:tcW w:w="2180" w:type="dxa"/>
            <w:vAlign w:val="bottom"/>
          </w:tcPr>
          <w:p>
            <w:pPr>
              <w:spacing w:after="0"/>
              <w:rPr>
                <w:sz w:val="23"/>
                <w:szCs w:val="23"/>
                <w:color w:val="auto"/>
              </w:rPr>
            </w:pPr>
          </w:p>
        </w:tc>
      </w:tr>
      <w:tr>
        <w:trPr>
          <w:trHeight w:val="237"/>
        </w:trPr>
        <w:tc>
          <w:tcPr>
            <w:tcW w:w="500" w:type="dxa"/>
            <w:vAlign w:val="bottom"/>
          </w:tcPr>
          <w:p>
            <w:pPr>
              <w:spacing w:after="0"/>
              <w:rPr>
                <w:sz w:val="20"/>
                <w:szCs w:val="20"/>
                <w:color w:val="auto"/>
              </w:rPr>
            </w:pPr>
          </w:p>
        </w:tc>
        <w:tc>
          <w:tcPr>
            <w:tcW w:w="406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2180" w:type="dxa"/>
            <w:vAlign w:val="bottom"/>
          </w:tcPr>
          <w:p>
            <w:pPr>
              <w:spacing w:after="0"/>
              <w:rPr>
                <w:sz w:val="20"/>
                <w:szCs w:val="20"/>
                <w:color w:val="auto"/>
              </w:rPr>
            </w:pPr>
          </w:p>
        </w:tc>
      </w:tr>
      <w:tr>
        <w:trPr>
          <w:trHeight w:val="250"/>
        </w:trPr>
        <w:tc>
          <w:tcPr>
            <w:tcW w:w="500" w:type="dxa"/>
            <w:vAlign w:val="bottom"/>
          </w:tcPr>
          <w:p>
            <w:pPr>
              <w:spacing w:after="0"/>
              <w:rPr>
                <w:sz w:val="21"/>
                <w:szCs w:val="21"/>
                <w:color w:val="auto"/>
              </w:rPr>
            </w:pPr>
          </w:p>
        </w:tc>
        <w:tc>
          <w:tcPr>
            <w:tcW w:w="40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20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24,934</w:t>
            </w:r>
          </w:p>
        </w:tc>
        <w:tc>
          <w:tcPr>
            <w:tcW w:w="15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22,676</w:t>
            </w:r>
          </w:p>
        </w:tc>
        <w:tc>
          <w:tcPr>
            <w:tcW w:w="14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21,571</w:t>
            </w:r>
          </w:p>
        </w:tc>
        <w:tc>
          <w:tcPr>
            <w:tcW w:w="218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0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7"/>
        </w:trPr>
        <w:tc>
          <w:tcPr>
            <w:tcW w:w="4560" w:type="dxa"/>
            <w:vAlign w:val="bottom"/>
            <w:gridSpan w:val="2"/>
          </w:tcPr>
          <w:p>
            <w:pPr>
              <w:ind w:left="500"/>
              <w:spacing w:after="0"/>
              <w:rPr>
                <w:sz w:val="20"/>
                <w:szCs w:val="20"/>
                <w:color w:val="auto"/>
              </w:rPr>
            </w:pPr>
            <w:r>
              <w:rPr>
                <w:rFonts w:ascii="Arial" w:cs="Arial" w:eastAsia="Arial" w:hAnsi="Arial"/>
                <w:sz w:val="18"/>
                <w:szCs w:val="18"/>
                <w:b w:val="1"/>
                <w:bCs w:val="1"/>
                <w:color w:val="auto"/>
              </w:rPr>
              <w:t>Other expenses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Commissions in insurance activities</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29,135</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25,555</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19,289</w:t>
            </w:r>
          </w:p>
        </w:tc>
        <w:tc>
          <w:tcPr>
            <w:tcW w:w="2180" w:type="dxa"/>
            <w:vAlign w:val="bottom"/>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Sundry technical insurance expenses</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21,929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10,910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8,183</w:t>
            </w:r>
          </w:p>
        </w:tc>
        <w:tc>
          <w:tcPr>
            <w:tcW w:w="21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13(e)</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8,096</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6,461</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5,567</w:t>
            </w:r>
          </w:p>
        </w:tc>
        <w:tc>
          <w:tcPr>
            <w:tcW w:w="2180" w:type="dxa"/>
            <w:vAlign w:val="bottom"/>
          </w:tcPr>
          <w:p>
            <w:pPr>
              <w:spacing w:after="0"/>
              <w:rPr>
                <w:sz w:val="21"/>
                <w:szCs w:val="21"/>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Provisions for other account receivables</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2,836</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3,163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7,112</w:t>
            </w:r>
          </w:p>
        </w:tc>
        <w:tc>
          <w:tcPr>
            <w:tcW w:w="218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Loss from fake bills</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1,960</w:t>
            </w:r>
          </w:p>
        </w:tc>
        <w:tc>
          <w:tcPr>
            <w:tcW w:w="2180" w:type="dxa"/>
            <w:vAlign w:val="bottom"/>
          </w:tcPr>
          <w:p>
            <w:pPr>
              <w:spacing w:after="0"/>
              <w:rPr>
                <w:sz w:val="21"/>
                <w:szCs w:val="21"/>
                <w:color w:val="auto"/>
              </w:rPr>
            </w:pPr>
          </w:p>
        </w:tc>
      </w:tr>
      <w:tr>
        <w:trPr>
          <w:trHeight w:val="270"/>
        </w:trPr>
        <w:tc>
          <w:tcPr>
            <w:tcW w:w="456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10,003</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6,629</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4,634</w:t>
            </w:r>
          </w:p>
        </w:tc>
        <w:tc>
          <w:tcPr>
            <w:tcW w:w="2180" w:type="dxa"/>
            <w:vAlign w:val="bottom"/>
          </w:tcPr>
          <w:p>
            <w:pPr>
              <w:spacing w:after="0"/>
              <w:rPr>
                <w:sz w:val="23"/>
                <w:szCs w:val="23"/>
                <w:color w:val="auto"/>
              </w:rPr>
            </w:pPr>
          </w:p>
        </w:tc>
      </w:tr>
      <w:tr>
        <w:trPr>
          <w:trHeight w:val="237"/>
        </w:trPr>
        <w:tc>
          <w:tcPr>
            <w:tcW w:w="500" w:type="dxa"/>
            <w:vAlign w:val="bottom"/>
          </w:tcPr>
          <w:p>
            <w:pPr>
              <w:spacing w:after="0"/>
              <w:rPr>
                <w:sz w:val="20"/>
                <w:szCs w:val="20"/>
                <w:color w:val="auto"/>
              </w:rPr>
            </w:pPr>
          </w:p>
        </w:tc>
        <w:tc>
          <w:tcPr>
            <w:tcW w:w="40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43"/>
        </w:trPr>
        <w:tc>
          <w:tcPr>
            <w:tcW w:w="456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other expenses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71,999</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52,718</w:t>
            </w:r>
          </w:p>
        </w:tc>
        <w:tc>
          <w:tcPr>
            <w:tcW w:w="20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46,745</w:t>
            </w:r>
          </w:p>
        </w:tc>
        <w:tc>
          <w:tcPr>
            <w:tcW w:w="218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7"/>
        </w:trPr>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F-85</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net earnings per ordinary share have been determined over the net income attributable to equity holders of Credicorp as follows:</w:t>
      </w:r>
    </w:p>
    <w:p>
      <w:pPr>
        <w:spacing w:after="0" w:line="31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r>
      <w:tr>
        <w:trPr>
          <w:trHeight w:val="243"/>
        </w:trPr>
        <w:tc>
          <w:tcPr>
            <w:tcW w:w="40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shares in issue:</w:t>
            </w:r>
          </w:p>
        </w:tc>
        <w:tc>
          <w:tcPr>
            <w:tcW w:w="20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060" w:type="dxa"/>
            <w:vAlign w:val="bottom"/>
            <w:gridSpan w:val="2"/>
          </w:tcPr>
          <w:p>
            <w:pPr>
              <w:spacing w:after="0"/>
              <w:rPr>
                <w:sz w:val="20"/>
                <w:szCs w:val="20"/>
                <w:color w:val="auto"/>
              </w:rPr>
            </w:pPr>
            <w:r>
              <w:rPr>
                <w:rFonts w:ascii="Arial" w:cs="Arial" w:eastAsia="Arial" w:hAnsi="Arial"/>
                <w:sz w:val="18"/>
                <w:szCs w:val="18"/>
                <w:color w:val="auto"/>
              </w:rPr>
              <w:t>Ordinary shares, note 18(a)</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94,382,317</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94,382,317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94,382,317</w:t>
            </w:r>
          </w:p>
        </w:tc>
      </w:tr>
      <w:tr>
        <w:trPr>
          <w:trHeight w:val="275"/>
        </w:trPr>
        <w:tc>
          <w:tcPr>
            <w:tcW w:w="20" w:type="dxa"/>
            <w:vAlign w:val="bottom"/>
          </w:tcPr>
          <w:p>
            <w:pPr>
              <w:spacing w:after="0"/>
              <w:rPr>
                <w:sz w:val="23"/>
                <w:szCs w:val="23"/>
                <w:color w:val="auto"/>
              </w:rPr>
            </w:pPr>
          </w:p>
        </w:tc>
        <w:tc>
          <w:tcPr>
            <w:tcW w:w="4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Less - treasury shares, note 18(b)</w:t>
            </w:r>
          </w:p>
        </w:tc>
        <w:tc>
          <w:tcPr>
            <w:tcW w:w="1700" w:type="dxa"/>
            <w:vAlign w:val="bottom"/>
            <w:tcBorders>
              <w:bottom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(14,620,842)</w:t>
            </w:r>
          </w:p>
        </w:tc>
        <w:tc>
          <w:tcPr>
            <w:tcW w:w="15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(14,620,842)</w:t>
            </w:r>
          </w:p>
        </w:tc>
        <w:tc>
          <w:tcPr>
            <w:tcW w:w="14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(14,620,842)</w:t>
            </w:r>
          </w:p>
        </w:tc>
      </w:tr>
      <w:tr>
        <w:trPr>
          <w:trHeight w:val="191"/>
        </w:trPr>
        <w:tc>
          <w:tcPr>
            <w:tcW w:w="20" w:type="dxa"/>
            <w:vAlign w:val="bottom"/>
          </w:tcPr>
          <w:p>
            <w:pPr>
              <w:spacing w:after="0"/>
              <w:rPr>
                <w:sz w:val="16"/>
                <w:szCs w:val="16"/>
                <w:color w:val="auto"/>
              </w:rPr>
            </w:pPr>
          </w:p>
        </w:tc>
        <w:tc>
          <w:tcPr>
            <w:tcW w:w="4040" w:type="dxa"/>
            <w:vAlign w:val="bottom"/>
            <w:tcBorders>
              <w:top w:val="single" w:sz="8" w:color="CCFFCC"/>
            </w:tcBorders>
          </w:tcPr>
          <w:p>
            <w:pPr>
              <w:spacing w:after="0" w:line="191" w:lineRule="exact"/>
              <w:rPr>
                <w:sz w:val="20"/>
                <w:szCs w:val="20"/>
                <w:color w:val="auto"/>
              </w:rPr>
            </w:pPr>
            <w:r>
              <w:rPr>
                <w:rFonts w:ascii="Arial" w:cs="Arial" w:eastAsia="Arial" w:hAnsi="Arial"/>
                <w:sz w:val="18"/>
                <w:szCs w:val="18"/>
                <w:b w:val="1"/>
                <w:bCs w:val="1"/>
                <w:color w:val="auto"/>
                <w:w w:val="93"/>
              </w:rPr>
              <w:t>Weighted outstanding average number of ordinary</w:t>
            </w:r>
          </w:p>
        </w:tc>
        <w:tc>
          <w:tcPr>
            <w:tcW w:w="200" w:type="dxa"/>
            <w:vAlign w:val="bottom"/>
            <w:tcBorders>
              <w:top w:val="single" w:sz="8" w:color="CCFFCC"/>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r>
      <w:tr>
        <w:trPr>
          <w:trHeight w:val="261"/>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79,761,475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79,761,475</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79,761,475</w:t>
            </w:r>
          </w:p>
        </w:tc>
      </w:tr>
      <w:tr>
        <w:trPr>
          <w:trHeight w:val="237"/>
        </w:trPr>
        <w:tc>
          <w:tcPr>
            <w:tcW w:w="20" w:type="dxa"/>
            <w:vAlign w:val="bottom"/>
          </w:tcPr>
          <w:p>
            <w:pPr>
              <w:spacing w:after="0"/>
              <w:rPr>
                <w:sz w:val="20"/>
                <w:szCs w:val="20"/>
                <w:color w:val="auto"/>
              </w:rPr>
            </w:pPr>
          </w:p>
        </w:tc>
        <w:tc>
          <w:tcPr>
            <w:tcW w:w="40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60"/>
          </w:cols>
          <w:pgMar w:left="240" w:top="375" w:right="399" w:bottom="1440" w:gutter="0" w:footer="0" w:header="0"/>
        </w:sectPr>
      </w:pPr>
    </w:p>
    <w:p>
      <w:pPr>
        <w:ind w:left="500" w:right="360"/>
        <w:spacing w:after="0" w:line="261" w:lineRule="auto"/>
        <w:rPr>
          <w:sz w:val="20"/>
          <w:szCs w:val="20"/>
          <w:color w:val="auto"/>
        </w:rPr>
      </w:pPr>
      <w:r>
        <w:rPr>
          <w:rFonts w:ascii="Arial" w:cs="Arial" w:eastAsia="Arial" w:hAnsi="Arial"/>
          <w:sz w:val="18"/>
          <w:szCs w:val="18"/>
          <w:color w:val="auto"/>
        </w:rPr>
        <w:t>Net income attributable to equity holders of Credicorp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13970</wp:posOffset>
            </wp:positionV>
            <wp:extent cx="554863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48630" cy="154305"/>
                    </a:xfrm>
                    <a:prstGeom prst="rect">
                      <a:avLst/>
                    </a:prstGeom>
                    <a:noFill/>
                  </pic:spPr>
                </pic:pic>
              </a:graphicData>
            </a:graphic>
          </wp:anchor>
        </w:drawing>
      </w:r>
    </w:p>
    <w:p>
      <w:pPr>
        <w:spacing w:after="0" w:line="231" w:lineRule="exact"/>
        <w:rPr>
          <w:sz w:val="20"/>
          <w:szCs w:val="20"/>
          <w:color w:val="auto"/>
        </w:rPr>
      </w:pPr>
    </w:p>
    <w:p>
      <w:pPr>
        <w:jc w:val="both"/>
        <w:ind w:left="500" w:right="560"/>
        <w:spacing w:after="0" w:line="264" w:lineRule="auto"/>
        <w:rPr>
          <w:sz w:val="20"/>
          <w:szCs w:val="20"/>
          <w:color w:val="auto"/>
        </w:rPr>
      </w:pPr>
      <w:r>
        <w:rPr>
          <w:rFonts w:ascii="Arial" w:cs="Arial" w:eastAsia="Arial" w:hAnsi="Arial"/>
          <w:sz w:val="18"/>
          <w:szCs w:val="18"/>
          <w:color w:val="auto"/>
        </w:rPr>
        <w:t>Basic and diluted earnings per share for net income attributable to equity holders of Credicorp (in U.S. Dollars)</w:t>
      </w:r>
    </w:p>
    <w:p>
      <w:pPr>
        <w:spacing w:after="0" w:line="272" w:lineRule="exact"/>
        <w:rPr>
          <w:sz w:val="20"/>
          <w:szCs w:val="20"/>
          <w:color w:val="auto"/>
        </w:rPr>
      </w:pPr>
    </w:p>
    <w:p>
      <w:pPr>
        <w:ind w:left="500" w:hanging="492"/>
        <w:spacing w:after="0"/>
        <w:tabs>
          <w:tab w:leader="none" w:pos="5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Group is organized on two main lines of business: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tabs>
          <w:tab w:leader="none" w:pos="1480" w:val="left"/>
          <w:tab w:leader="none" w:pos="3040" w:val="left"/>
        </w:tabs>
        <w:rPr>
          <w:sz w:val="20"/>
          <w:szCs w:val="20"/>
          <w:color w:val="auto"/>
        </w:rPr>
      </w:pPr>
      <w:r>
        <w:rPr>
          <w:rFonts w:ascii="Arial" w:cs="Arial" w:eastAsia="Arial" w:hAnsi="Arial"/>
          <w:sz w:val="18"/>
          <w:szCs w:val="18"/>
          <w:color w:val="auto"/>
        </w:rPr>
        <w:t>350,735</w:t>
      </w:r>
      <w:r>
        <w:rPr>
          <w:sz w:val="20"/>
          <w:szCs w:val="20"/>
          <w:color w:val="auto"/>
        </w:rPr>
        <w:tab/>
      </w:r>
      <w:r>
        <w:rPr>
          <w:rFonts w:ascii="Arial" w:cs="Arial" w:eastAsia="Arial" w:hAnsi="Arial"/>
          <w:sz w:val="18"/>
          <w:szCs w:val="18"/>
          <w:color w:val="auto"/>
        </w:rPr>
        <w:t>230,013</w:t>
      </w:r>
      <w:r>
        <w:rPr>
          <w:sz w:val="20"/>
          <w:szCs w:val="20"/>
          <w:color w:val="auto"/>
        </w:rPr>
        <w:tab/>
      </w:r>
      <w:r>
        <w:rPr>
          <w:rFonts w:ascii="Arial" w:cs="Arial" w:eastAsia="Arial" w:hAnsi="Arial"/>
          <w:sz w:val="16"/>
          <w:szCs w:val="16"/>
          <w:color w:val="auto"/>
        </w:rPr>
        <w:t>181,885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14605</wp:posOffset>
            </wp:positionV>
            <wp:extent cx="27698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tabs>
          <w:tab w:leader="none" w:pos="1760" w:val="left"/>
          <w:tab w:leader="none" w:pos="330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2.88</w:t>
      </w:r>
      <w:r>
        <w:rPr>
          <w:sz w:val="20"/>
          <w:szCs w:val="20"/>
          <w:color w:val="auto"/>
        </w:rPr>
        <w:tab/>
      </w: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14605</wp:posOffset>
            </wp:positionV>
            <wp:extent cx="276987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69870" cy="26035"/>
                    </a:xfrm>
                    <a:prstGeom prst="rect">
                      <a:avLst/>
                    </a:prstGeom>
                    <a:noFill/>
                  </pic:spPr>
                </pic:pic>
              </a:graphicData>
            </a:graphic>
          </wp:anchor>
        </w:drawing>
      </w:r>
    </w:p>
    <w:p>
      <w:pPr>
        <w:spacing w:after="0" w:line="934" w:lineRule="exact"/>
        <w:rPr>
          <w:sz w:val="20"/>
          <w:szCs w:val="20"/>
          <w:color w:val="auto"/>
        </w:rPr>
      </w:pPr>
    </w:p>
    <w:p>
      <w:pPr>
        <w:sectPr>
          <w:pgSz w:w="11900" w:h="16838" w:orient="portrait"/>
          <w:cols w:equalWidth="0" w:num="2">
            <w:col w:w="4760" w:space="720"/>
            <w:col w:w="5780"/>
          </w:cols>
          <w:pgMar w:left="240" w:top="375" w:right="399" w:bottom="1440" w:gutter="0" w:footer="0" w:header="0"/>
          <w:type w:val="continuous"/>
        </w:sectPr>
      </w:pPr>
    </w:p>
    <w:p>
      <w:pPr>
        <w:spacing w:after="0" w:line="88" w:lineRule="exact"/>
        <w:rPr>
          <w:sz w:val="20"/>
          <w:szCs w:val="20"/>
          <w:color w:val="auto"/>
        </w:rPr>
      </w:pPr>
    </w:p>
    <w:p>
      <w:pPr>
        <w:ind w:left="820" w:hanging="326"/>
        <w:spacing w:after="0" w:line="342" w:lineRule="auto"/>
        <w:tabs>
          <w:tab w:leader="none" w:pos="8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Banking business - incorporating corporate and private banking services, corporate, consumer, micro-business and mortgage loans, credit and debit cards, savings, deposits, overdrafts, foreign currency and derivative products, structure financing, corporate leasing, custody, among others.</w:t>
      </w:r>
    </w:p>
    <w:p>
      <w:pPr>
        <w:spacing w:after="0" w:line="177" w:lineRule="exact"/>
        <w:rPr>
          <w:rFonts w:ascii="Arial" w:cs="Arial" w:eastAsia="Arial" w:hAnsi="Arial"/>
          <w:sz w:val="16"/>
          <w:szCs w:val="16"/>
          <w:color w:val="auto"/>
        </w:rPr>
      </w:pPr>
    </w:p>
    <w:p>
      <w:pPr>
        <w:ind w:left="820" w:right="60" w:hanging="326"/>
        <w:spacing w:after="0" w:line="277" w:lineRule="auto"/>
        <w:tabs>
          <w:tab w:leader="none" w:pos="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Insurance business - incorporating the issuance of policies of insurance to cover claims, such as fires, vehicles, transport, personal accidents and life insurance, among others.</w:t>
      </w:r>
    </w:p>
    <w:p>
      <w:pPr>
        <w:spacing w:after="0" w:line="224"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color w:val="auto"/>
        </w:rPr>
        <w:t>In addition the Group, since 2005, maintains activities related to pension fund management, note 2(a). Other operations of the Group comprise brokerage, fund management and trusteeship.</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between the business segments are realized on normal commercial terms and conditions.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75" w:right="399" w:bottom="1440" w:gutter="0" w:footer="0" w:header="0"/>
          <w:type w:val="continuous"/>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Group’s financial information by industry (primary segment) and geographical area (secondary segment) as of</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December 31, 2007, 2006 and 2005:</w:t>
      </w:r>
    </w:p>
    <w:p>
      <w:pPr>
        <w:spacing w:after="0" w:line="265"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Business segments by industry (amount expressed in million of U.S. Dollars):</w:t>
      </w:r>
    </w:p>
    <w:p>
      <w:pPr>
        <w:spacing w:after="0" w:line="284"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Income from</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Depreciation</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Other</w:t>
            </w:r>
          </w:p>
        </w:tc>
      </w:tr>
      <w:tr>
        <w:trPr>
          <w:trHeight w:val="176"/>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External</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other</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Operating</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Fixed</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and</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provisions</w:t>
            </w:r>
          </w:p>
        </w:tc>
      </w:t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income</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segments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Eliminations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income (*)</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income (**)</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assets</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Assets, net</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amortization</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r>
      <w:tr>
        <w:trPr>
          <w:trHeight w:val="147"/>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6"/>
        </w:trPr>
        <w:tc>
          <w:tcPr>
            <w:tcW w:w="24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2007</w:t>
            </w:r>
          </w:p>
        </w:tc>
        <w:tc>
          <w:tcPr>
            <w:tcW w:w="10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5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Banking</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1,402</w:t>
            </w: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(65)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1,402</w:t>
            </w:r>
          </w:p>
        </w:tc>
        <w:tc>
          <w:tcPr>
            <w:tcW w:w="70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16,245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218</w:t>
            </w: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r>
      <w:tr>
        <w:trPr>
          <w:trHeight w:val="176"/>
        </w:trPr>
        <w:tc>
          <w:tcPr>
            <w:tcW w:w="2460" w:type="dxa"/>
            <w:vAlign w:val="bottom"/>
            <w:shd w:val="clear" w:color="auto" w:fill="CCFFCC"/>
          </w:tcPr>
          <w:p>
            <w:pPr>
              <w:spacing w:after="0"/>
              <w:rPr>
                <w:sz w:val="20"/>
                <w:szCs w:val="20"/>
                <w:color w:val="auto"/>
              </w:rPr>
            </w:pPr>
            <w:r>
              <w:rPr>
                <w:rFonts w:ascii="Arial" w:cs="Arial" w:eastAsia="Arial" w:hAnsi="Arial"/>
                <w:sz w:val="14"/>
                <w:szCs w:val="14"/>
                <w:color w:val="auto"/>
              </w:rPr>
              <w:t>Insurance</w:t>
            </w:r>
          </w:p>
        </w:tc>
        <w:tc>
          <w:tcPr>
            <w:tcW w:w="76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377</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(13)</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377</w:t>
            </w:r>
          </w:p>
        </w:tc>
        <w:tc>
          <w:tcPr>
            <w:tcW w:w="8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110</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1,138</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46</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FFCC"/>
          </w:tcPr>
          <w:p>
            <w:pPr>
              <w:spacing w:after="0"/>
              <w:rPr>
                <w:sz w:val="15"/>
                <w:szCs w:val="15"/>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Pension funds</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55</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244</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08"/>
        </w:trPr>
        <w:tc>
          <w:tcPr>
            <w:tcW w:w="2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Brokerage and other</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47</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(7</w:t>
            </w:r>
            <w:r>
              <w:rPr>
                <w:rFonts w:ascii="Arial" w:cs="Arial" w:eastAsia="Arial" w:hAnsi="Arial"/>
                <w:sz w:val="20"/>
                <w:szCs w:val="20"/>
                <w:color w:val="auto"/>
                <w:vertAlign w:val="superscript"/>
              </w:rPr>
              <w:t>)</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CCFFCC"/>
            </w:tcBorders>
            <w:shd w:val="clear" w:color="auto" w:fill="CCFFCC"/>
          </w:tcPr>
          <w:p>
            <w:pPr>
              <w:spacing w:after="0"/>
              <w:rPr>
                <w:sz w:val="17"/>
                <w:szCs w:val="17"/>
                <w:color w:val="auto"/>
              </w:rPr>
            </w:pPr>
          </w:p>
        </w:tc>
        <w:tc>
          <w:tcPr>
            <w:tcW w:w="800" w:type="dxa"/>
            <w:vAlign w:val="bottom"/>
            <w:tcBorders>
              <w:bottom w:val="single" w:sz="8" w:color="CCFFCC"/>
            </w:tcBorders>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(30</w:t>
            </w:r>
            <w:r>
              <w:rPr>
                <w:rFonts w:ascii="Arial" w:cs="Arial" w:eastAsia="Arial" w:hAnsi="Arial"/>
                <w:sz w:val="20"/>
                <w:szCs w:val="20"/>
                <w:color w:val="auto"/>
                <w:vertAlign w:val="superscript"/>
              </w:rPr>
              <w:t>)</w:t>
            </w: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79</w:t>
            </w:r>
          </w:p>
        </w:tc>
        <w:tc>
          <w:tcPr>
            <w:tcW w:w="7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(4</w:t>
            </w:r>
            <w:r>
              <w:rPr>
                <w:rFonts w:ascii="Arial" w:cs="Arial" w:eastAsia="Arial" w:hAnsi="Arial"/>
                <w:sz w:val="20"/>
                <w:szCs w:val="20"/>
                <w:color w:val="auto"/>
                <w:vertAlign w:val="superscript"/>
              </w:rPr>
              <w:t>)</w:t>
            </w:r>
          </w:p>
        </w:tc>
      </w:tr>
      <w:tr>
        <w:trPr>
          <w:trHeight w:val="142"/>
        </w:trPr>
        <w:tc>
          <w:tcPr>
            <w:tcW w:w="246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r>
      <w:tr>
        <w:trPr>
          <w:trHeight w:val="208"/>
        </w:trPr>
        <w:tc>
          <w:tcPr>
            <w:tcW w:w="2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consolidated</w:t>
            </w:r>
          </w:p>
        </w:tc>
        <w:tc>
          <w:tcPr>
            <w:tcW w:w="760" w:type="dxa"/>
            <w:vAlign w:val="bottom"/>
            <w:tcBorders>
              <w:bottom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1,881</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(81</w:t>
            </w:r>
            <w:r>
              <w:rPr>
                <w:rFonts w:ascii="Arial" w:cs="Arial" w:eastAsia="Arial" w:hAnsi="Arial"/>
                <w:sz w:val="20"/>
                <w:szCs w:val="20"/>
                <w:color w:val="auto"/>
                <w:vertAlign w:val="superscript"/>
              </w:rPr>
              <w:t>)</w:t>
            </w:r>
          </w:p>
        </w:tc>
        <w:tc>
          <w:tcPr>
            <w:tcW w:w="7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1,881</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17,706</w:t>
            </w:r>
          </w:p>
        </w:tc>
        <w:tc>
          <w:tcPr>
            <w:tcW w:w="7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275</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FFCC"/>
            </w:tcBorders>
            <w:shd w:val="clear" w:color="auto" w:fill="CCFFCC"/>
          </w:tcPr>
          <w:p>
            <w:pPr>
              <w:spacing w:after="0"/>
              <w:rPr>
                <w:sz w:val="17"/>
                <w:szCs w:val="17"/>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FFCC"/>
            </w:tcBorders>
            <w:shd w:val="clear" w:color="auto" w:fill="CCFFCC"/>
          </w:tcPr>
          <w:p>
            <w:pPr>
              <w:spacing w:after="0"/>
              <w:rPr>
                <w:sz w:val="17"/>
                <w:szCs w:val="17"/>
                <w:color w:val="auto"/>
              </w:rPr>
            </w:pPr>
          </w:p>
        </w:tc>
      </w:tr>
      <w:tr>
        <w:trPr>
          <w:trHeight w:val="142"/>
        </w:trPr>
        <w:tc>
          <w:tcPr>
            <w:tcW w:w="246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r>
      <w:tr>
        <w:trPr>
          <w:trHeight w:val="176"/>
        </w:trPr>
        <w:tc>
          <w:tcPr>
            <w:tcW w:w="24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2006</w:t>
            </w:r>
          </w:p>
        </w:tc>
        <w:tc>
          <w:tcPr>
            <w:tcW w:w="10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5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Banking</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975</w:t>
            </w: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660" w:type="dxa"/>
            <w:vAlign w:val="bottom"/>
          </w:tcPr>
          <w:p>
            <w:pPr>
              <w:jc w:val="right"/>
              <w:spacing w:after="0"/>
              <w:rPr>
                <w:sz w:val="20"/>
                <w:szCs w:val="20"/>
                <w:color w:val="auto"/>
              </w:rPr>
            </w:pPr>
            <w:r>
              <w:rPr>
                <w:rFonts w:ascii="Arial" w:cs="Arial" w:eastAsia="Arial" w:hAnsi="Arial"/>
                <w:sz w:val="14"/>
                <w:szCs w:val="14"/>
                <w:color w:val="auto"/>
              </w:rPr>
              <w:t>975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11,090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197</w:t>
            </w: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r>
      <w:tr>
        <w:trPr>
          <w:trHeight w:val="176"/>
        </w:trPr>
        <w:tc>
          <w:tcPr>
            <w:tcW w:w="2460" w:type="dxa"/>
            <w:vAlign w:val="bottom"/>
            <w:shd w:val="clear" w:color="auto" w:fill="CCFFCC"/>
          </w:tcPr>
          <w:p>
            <w:pPr>
              <w:spacing w:after="0"/>
              <w:rPr>
                <w:sz w:val="20"/>
                <w:szCs w:val="20"/>
                <w:color w:val="auto"/>
              </w:rPr>
            </w:pPr>
            <w:r>
              <w:rPr>
                <w:rFonts w:ascii="Arial" w:cs="Arial" w:eastAsia="Arial" w:hAnsi="Arial"/>
                <w:sz w:val="14"/>
                <w:szCs w:val="14"/>
                <w:color w:val="auto"/>
              </w:rPr>
              <w:t>Insurance</w:t>
            </w:r>
          </w:p>
        </w:tc>
        <w:tc>
          <w:tcPr>
            <w:tcW w:w="76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316</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115</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989</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47</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FFCC"/>
          </w:tcPr>
          <w:p>
            <w:pPr>
              <w:spacing w:after="0"/>
              <w:rPr>
                <w:sz w:val="15"/>
                <w:szCs w:val="15"/>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Pension funds</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23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227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08"/>
        </w:trPr>
        <w:tc>
          <w:tcPr>
            <w:tcW w:w="2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Brokerage and other</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58</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(1</w:t>
            </w:r>
            <w:r>
              <w:rPr>
                <w:rFonts w:ascii="Arial" w:cs="Arial" w:eastAsia="Arial" w:hAnsi="Arial"/>
                <w:sz w:val="20"/>
                <w:szCs w:val="20"/>
                <w:color w:val="auto"/>
                <w:vertAlign w:val="superscript"/>
              </w:rPr>
              <w:t>)</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FFCC"/>
            </w:tcBorders>
            <w:shd w:val="clear" w:color="auto" w:fill="CCFFCC"/>
          </w:tcPr>
          <w:p>
            <w:pPr>
              <w:spacing w:after="0"/>
              <w:rPr>
                <w:sz w:val="17"/>
                <w:szCs w:val="17"/>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576</w:t>
            </w:r>
          </w:p>
        </w:tc>
        <w:tc>
          <w:tcPr>
            <w:tcW w:w="7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7"/>
                <w:szCs w:val="17"/>
                <w:color w:val="auto"/>
              </w:rPr>
            </w:pPr>
          </w:p>
        </w:tc>
      </w:tr>
      <w:tr>
        <w:trPr>
          <w:trHeight w:val="142"/>
        </w:trPr>
        <w:tc>
          <w:tcPr>
            <w:tcW w:w="246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r>
      <w:tr>
        <w:trPr>
          <w:trHeight w:val="208"/>
        </w:trPr>
        <w:tc>
          <w:tcPr>
            <w:tcW w:w="2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consolidated</w:t>
            </w:r>
          </w:p>
        </w:tc>
        <w:tc>
          <w:tcPr>
            <w:tcW w:w="760" w:type="dxa"/>
            <w:vAlign w:val="bottom"/>
            <w:tcBorders>
              <w:bottom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1,372</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(27</w:t>
            </w:r>
            <w:r>
              <w:rPr>
                <w:rFonts w:ascii="Arial" w:cs="Arial" w:eastAsia="Arial" w:hAnsi="Arial"/>
                <w:sz w:val="20"/>
                <w:szCs w:val="20"/>
                <w:color w:val="auto"/>
                <w:vertAlign w:val="superscript"/>
              </w:rPr>
              <w:t>)</w:t>
            </w:r>
          </w:p>
        </w:tc>
        <w:tc>
          <w:tcPr>
            <w:tcW w:w="7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1,372</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12,882</w:t>
            </w:r>
          </w:p>
        </w:tc>
        <w:tc>
          <w:tcPr>
            <w:tcW w:w="7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255</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FFCC"/>
            </w:tcBorders>
            <w:shd w:val="clear" w:color="auto" w:fill="CCFFCC"/>
          </w:tcPr>
          <w:p>
            <w:pPr>
              <w:spacing w:after="0"/>
              <w:rPr>
                <w:sz w:val="17"/>
                <w:szCs w:val="17"/>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FFCC"/>
            </w:tcBorders>
            <w:shd w:val="clear" w:color="auto" w:fill="CCFFCC"/>
          </w:tcPr>
          <w:p>
            <w:pPr>
              <w:spacing w:after="0"/>
              <w:rPr>
                <w:sz w:val="17"/>
                <w:szCs w:val="17"/>
                <w:color w:val="auto"/>
              </w:rPr>
            </w:pPr>
          </w:p>
        </w:tc>
      </w:tr>
      <w:tr>
        <w:trPr>
          <w:trHeight w:val="142"/>
        </w:trPr>
        <w:tc>
          <w:tcPr>
            <w:tcW w:w="246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r>
      <w:tr>
        <w:trPr>
          <w:trHeight w:val="176"/>
        </w:trPr>
        <w:tc>
          <w:tcPr>
            <w:tcW w:w="24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2005</w:t>
            </w:r>
          </w:p>
        </w:tc>
        <w:tc>
          <w:tcPr>
            <w:tcW w:w="10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5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Banking</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712</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(11)</w:t>
            </w:r>
          </w:p>
        </w:tc>
        <w:tc>
          <w:tcPr>
            <w:tcW w:w="660" w:type="dxa"/>
            <w:vAlign w:val="bottom"/>
          </w:tcPr>
          <w:p>
            <w:pPr>
              <w:jc w:val="right"/>
              <w:spacing w:after="0"/>
              <w:rPr>
                <w:sz w:val="20"/>
                <w:szCs w:val="20"/>
                <w:color w:val="auto"/>
              </w:rPr>
            </w:pPr>
            <w:r>
              <w:rPr>
                <w:rFonts w:ascii="Arial" w:cs="Arial" w:eastAsia="Arial" w:hAnsi="Arial"/>
                <w:sz w:val="14"/>
                <w:szCs w:val="14"/>
                <w:color w:val="auto"/>
              </w:rPr>
              <w:t>712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9,893</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199</w:t>
            </w: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r>
      <w:tr>
        <w:trPr>
          <w:trHeight w:val="176"/>
        </w:trPr>
        <w:tc>
          <w:tcPr>
            <w:tcW w:w="2460" w:type="dxa"/>
            <w:vAlign w:val="bottom"/>
            <w:shd w:val="clear" w:color="auto" w:fill="CCFFCC"/>
          </w:tcPr>
          <w:p>
            <w:pPr>
              <w:spacing w:after="0"/>
              <w:rPr>
                <w:sz w:val="20"/>
                <w:szCs w:val="20"/>
                <w:color w:val="auto"/>
              </w:rPr>
            </w:pPr>
            <w:r>
              <w:rPr>
                <w:rFonts w:ascii="Arial" w:cs="Arial" w:eastAsia="Arial" w:hAnsi="Arial"/>
                <w:sz w:val="14"/>
                <w:szCs w:val="14"/>
                <w:color w:val="auto"/>
              </w:rPr>
              <w:t>Insurance</w:t>
            </w:r>
          </w:p>
        </w:tc>
        <w:tc>
          <w:tcPr>
            <w:tcW w:w="76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219</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(14)</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FFCC"/>
          </w:tcPr>
          <w:p>
            <w:pPr>
              <w:spacing w:after="0"/>
              <w:rPr>
                <w:sz w:val="15"/>
                <w:szCs w:val="15"/>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FFCC"/>
          </w:tcPr>
          <w:p>
            <w:pPr>
              <w:spacing w:after="0"/>
              <w:rPr>
                <w:sz w:val="15"/>
                <w:szCs w:val="15"/>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786</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46</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FFCC"/>
          </w:tcPr>
          <w:p>
            <w:pPr>
              <w:spacing w:after="0"/>
              <w:rPr>
                <w:sz w:val="15"/>
                <w:szCs w:val="15"/>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Pension funds</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08"/>
        </w:trPr>
        <w:tc>
          <w:tcPr>
            <w:tcW w:w="2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Brokerage and other</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166</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(3</w:t>
            </w:r>
            <w:r>
              <w:rPr>
                <w:rFonts w:ascii="Arial" w:cs="Arial" w:eastAsia="Arial" w:hAnsi="Arial"/>
                <w:sz w:val="20"/>
                <w:szCs w:val="20"/>
                <w:color w:val="auto"/>
                <w:vertAlign w:val="superscript"/>
              </w:rPr>
              <w:t>)</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166</w:t>
            </w:r>
          </w:p>
        </w:tc>
        <w:tc>
          <w:tcPr>
            <w:tcW w:w="80" w:type="dxa"/>
            <w:vAlign w:val="bottom"/>
            <w:tcBorders>
              <w:bottom w:val="single" w:sz="8" w:color="CCFFCC"/>
            </w:tcBorders>
            <w:shd w:val="clear" w:color="auto" w:fill="CCFFCC"/>
          </w:tcPr>
          <w:p>
            <w:pPr>
              <w:spacing w:after="0"/>
              <w:rPr>
                <w:sz w:val="17"/>
                <w:szCs w:val="17"/>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339</w:t>
            </w:r>
          </w:p>
        </w:tc>
        <w:tc>
          <w:tcPr>
            <w:tcW w:w="7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7"/>
                <w:szCs w:val="17"/>
                <w:color w:val="auto"/>
              </w:rPr>
            </w:pPr>
          </w:p>
        </w:tc>
      </w:tr>
      <w:tr>
        <w:trPr>
          <w:trHeight w:val="142"/>
        </w:trPr>
        <w:tc>
          <w:tcPr>
            <w:tcW w:w="246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r>
      <w:tr>
        <w:trPr>
          <w:trHeight w:val="196"/>
        </w:trPr>
        <w:tc>
          <w:tcPr>
            <w:tcW w:w="24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consolidated</w:t>
            </w:r>
          </w:p>
        </w:tc>
        <w:tc>
          <w:tcPr>
            <w:tcW w:w="100" w:type="dxa"/>
            <w:vAlign w:val="bottom"/>
            <w:shd w:val="clear" w:color="auto" w:fill="CCFFCC"/>
          </w:tcPr>
          <w:p>
            <w:pPr>
              <w:spacing w:after="0"/>
              <w:rPr>
                <w:sz w:val="17"/>
                <w:szCs w:val="17"/>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1,097</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(28)</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1,097</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FFCC"/>
          </w:tcPr>
          <w:p>
            <w:pPr>
              <w:spacing w:after="0"/>
              <w:rPr>
                <w:sz w:val="17"/>
                <w:szCs w:val="17"/>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11,036</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248</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w:t>
            </w:r>
          </w:p>
        </w:tc>
      </w:tr>
      <w:tr>
        <w:trPr>
          <w:trHeight w:val="20"/>
        </w:trPr>
        <w:tc>
          <w:tcPr>
            <w:tcW w:w="24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02" w:right="85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(ii) Segment information by geographical area (amounts expressed in million of U.S. Dollars):</w:t>
      </w:r>
    </w:p>
    <w:p>
      <w:pPr>
        <w:spacing w:after="0" w:line="284"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2660" w:type="dxa"/>
            <w:vAlign w:val="bottom"/>
          </w:tcPr>
          <w:p>
            <w:pPr>
              <w:spacing w:after="0"/>
              <w:rPr>
                <w:sz w:val="13"/>
                <w:szCs w:val="13"/>
                <w:color w:val="auto"/>
              </w:rPr>
            </w:pPr>
          </w:p>
        </w:tc>
        <w:tc>
          <w:tcPr>
            <w:tcW w:w="7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89"/>
              </w:rPr>
              <w:t>Total</w:t>
            </w:r>
          </w:p>
        </w:tc>
        <w:tc>
          <w:tcPr>
            <w:tcW w:w="8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3"/>
              </w:rPr>
              <w:t>Operating</w:t>
            </w:r>
          </w:p>
        </w:tc>
        <w:tc>
          <w:tcPr>
            <w:tcW w:w="580" w:type="dxa"/>
            <w:vAlign w:val="bottom"/>
          </w:tcPr>
          <w:p>
            <w:pPr>
              <w:jc w:val="right"/>
              <w:ind w:right="48"/>
              <w:spacing w:after="0" w:line="160"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5"/>
              </w:rPr>
              <w:t>Total</w:t>
            </w:r>
          </w:p>
        </w:tc>
        <w:tc>
          <w:tcPr>
            <w:tcW w:w="820" w:type="dxa"/>
            <w:vAlign w:val="bottom"/>
            <w:gridSpan w:val="2"/>
          </w:tcPr>
          <w:p>
            <w:pPr>
              <w:jc w:val="right"/>
              <w:ind w:right="140"/>
              <w:spacing w:after="0" w:line="160" w:lineRule="exact"/>
              <w:rPr>
                <w:sz w:val="20"/>
                <w:szCs w:val="20"/>
                <w:color w:val="auto"/>
              </w:rPr>
            </w:pPr>
            <w:r>
              <w:rPr>
                <w:rFonts w:ascii="Arial" w:cs="Arial" w:eastAsia="Arial" w:hAnsi="Arial"/>
                <w:sz w:val="14"/>
                <w:szCs w:val="14"/>
                <w:b w:val="1"/>
                <w:bCs w:val="1"/>
                <w:color w:val="auto"/>
                <w:w w:val="99"/>
              </w:rPr>
              <w:t>Operating</w:t>
            </w:r>
          </w:p>
        </w:tc>
        <w:tc>
          <w:tcPr>
            <w:tcW w:w="58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5"/>
              </w:rPr>
              <w:t>Total</w:t>
            </w:r>
          </w:p>
        </w:tc>
        <w:tc>
          <w:tcPr>
            <w:tcW w:w="84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6"/>
              </w:rPr>
              <w:t>Operating</w:t>
            </w:r>
          </w:p>
        </w:tc>
        <w:tc>
          <w:tcPr>
            <w:tcW w:w="62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86"/>
        </w:trPr>
        <w:tc>
          <w:tcPr>
            <w:tcW w:w="266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income (*)</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income (**)</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assets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income (*)</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income (**)</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assets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income (*)</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income (**)</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assets</w:t>
            </w:r>
          </w:p>
        </w:tc>
      </w:tr>
      <w:tr>
        <w:trPr>
          <w:trHeight w:val="147"/>
        </w:trPr>
        <w:tc>
          <w:tcPr>
            <w:tcW w:w="2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6"/>
        </w:trPr>
        <w:tc>
          <w:tcPr>
            <w:tcW w:w="2660" w:type="dxa"/>
            <w:vAlign w:val="bottom"/>
            <w:shd w:val="clear" w:color="auto" w:fill="CCFFCC"/>
          </w:tcPr>
          <w:p>
            <w:pPr>
              <w:spacing w:after="0"/>
              <w:rPr>
                <w:sz w:val="20"/>
                <w:szCs w:val="20"/>
                <w:color w:val="auto"/>
              </w:rPr>
            </w:pPr>
            <w:r>
              <w:rPr>
                <w:rFonts w:ascii="Arial" w:cs="Arial" w:eastAsia="Arial" w:hAnsi="Arial"/>
                <w:sz w:val="14"/>
                <w:szCs w:val="14"/>
                <w:color w:val="auto"/>
              </w:rPr>
              <w:t>Peru</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12,693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1,152</w:t>
            </w: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FFCC"/>
          </w:tcPr>
          <w:p>
            <w:pPr>
              <w:spacing w:after="0"/>
              <w:rPr>
                <w:sz w:val="15"/>
                <w:szCs w:val="15"/>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9,655</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947</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438</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8,336</w:t>
            </w:r>
          </w:p>
        </w:tc>
      </w:tr>
      <w:tr>
        <w:trPr>
          <w:trHeight w:val="176"/>
        </w:trPr>
        <w:tc>
          <w:tcPr>
            <w:tcW w:w="2660" w:type="dxa"/>
            <w:vAlign w:val="bottom"/>
          </w:tcPr>
          <w:p>
            <w:pPr>
              <w:spacing w:after="0"/>
              <w:rPr>
                <w:sz w:val="20"/>
                <w:szCs w:val="20"/>
                <w:color w:val="auto"/>
              </w:rPr>
            </w:pPr>
            <w:r>
              <w:rPr>
                <w:rFonts w:ascii="Arial" w:cs="Arial" w:eastAsia="Arial" w:hAnsi="Arial"/>
                <w:sz w:val="14"/>
                <w:szCs w:val="14"/>
                <w:color w:val="auto"/>
              </w:rPr>
              <w:t>Panama</w:t>
            </w:r>
          </w:p>
        </w:tc>
        <w:tc>
          <w:tcPr>
            <w:tcW w:w="66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2,506</w:t>
            </w:r>
          </w:p>
        </w:tc>
        <w:tc>
          <w:tcPr>
            <w:tcW w:w="6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839</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5"/>
                <w:szCs w:val="15"/>
                <w:color w:val="auto"/>
              </w:rPr>
            </w:pPr>
          </w:p>
        </w:tc>
      </w:tr>
      <w:tr>
        <w:trPr>
          <w:trHeight w:val="176"/>
        </w:trPr>
        <w:tc>
          <w:tcPr>
            <w:tcW w:w="2660" w:type="dxa"/>
            <w:vAlign w:val="bottom"/>
            <w:shd w:val="clear" w:color="auto" w:fill="CCFFCC"/>
          </w:tcPr>
          <w:p>
            <w:pPr>
              <w:spacing w:after="0"/>
              <w:rPr>
                <w:sz w:val="20"/>
                <w:szCs w:val="20"/>
                <w:color w:val="auto"/>
              </w:rPr>
            </w:pPr>
            <w:r>
              <w:rPr>
                <w:rFonts w:ascii="Arial" w:cs="Arial" w:eastAsia="Arial" w:hAnsi="Arial"/>
                <w:sz w:val="14"/>
                <w:szCs w:val="14"/>
                <w:color w:val="auto"/>
              </w:rPr>
              <w:t>Cayman Islands</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19</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1,423</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FFCC"/>
          </w:tcPr>
          <w:p>
            <w:pPr>
              <w:spacing w:after="0"/>
              <w:rPr>
                <w:sz w:val="15"/>
                <w:szCs w:val="15"/>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1,364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55</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1,238</w:t>
            </w:r>
          </w:p>
        </w:tc>
      </w:tr>
      <w:tr>
        <w:trPr>
          <w:trHeight w:val="176"/>
        </w:trPr>
        <w:tc>
          <w:tcPr>
            <w:tcW w:w="2660" w:type="dxa"/>
            <w:vAlign w:val="bottom"/>
          </w:tcPr>
          <w:p>
            <w:pPr>
              <w:spacing w:after="0"/>
              <w:rPr>
                <w:sz w:val="20"/>
                <w:szCs w:val="20"/>
                <w:color w:val="auto"/>
              </w:rPr>
            </w:pPr>
            <w:r>
              <w:rPr>
                <w:rFonts w:ascii="Arial" w:cs="Arial" w:eastAsia="Arial" w:hAnsi="Arial"/>
                <w:sz w:val="14"/>
                <w:szCs w:val="14"/>
                <w:color w:val="auto"/>
              </w:rPr>
              <w:t>Bolivia</w:t>
            </w:r>
          </w:p>
        </w:tc>
        <w:tc>
          <w:tcPr>
            <w:tcW w:w="6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58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654</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62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5"/>
                <w:szCs w:val="15"/>
                <w:color w:val="auto"/>
              </w:rPr>
            </w:pPr>
          </w:p>
        </w:tc>
      </w:tr>
      <w:tr>
        <w:trPr>
          <w:trHeight w:val="176"/>
        </w:trPr>
        <w:tc>
          <w:tcPr>
            <w:tcW w:w="2660" w:type="dxa"/>
            <w:vAlign w:val="bottom"/>
            <w:shd w:val="clear" w:color="auto" w:fill="CCFFCC"/>
          </w:tcPr>
          <w:p>
            <w:pPr>
              <w:spacing w:after="0"/>
              <w:rPr>
                <w:sz w:val="20"/>
                <w:szCs w:val="20"/>
                <w:color w:val="auto"/>
              </w:rPr>
            </w:pPr>
            <w:r>
              <w:rPr>
                <w:rFonts w:ascii="Arial" w:cs="Arial" w:eastAsia="Arial" w:hAnsi="Arial"/>
                <w:sz w:val="14"/>
                <w:szCs w:val="14"/>
                <w:color w:val="auto"/>
              </w:rPr>
              <w:t>Colombia</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r>
      <w:tr>
        <w:trPr>
          <w:trHeight w:val="203"/>
        </w:trPr>
        <w:tc>
          <w:tcPr>
            <w:tcW w:w="2660" w:type="dxa"/>
            <w:vAlign w:val="bottom"/>
          </w:tcPr>
          <w:p>
            <w:pPr>
              <w:spacing w:after="0"/>
              <w:rPr>
                <w:sz w:val="20"/>
                <w:szCs w:val="20"/>
                <w:color w:val="auto"/>
              </w:rPr>
            </w:pPr>
            <w:r>
              <w:rPr>
                <w:rFonts w:ascii="Arial" w:cs="Arial" w:eastAsia="Arial" w:hAnsi="Arial"/>
                <w:sz w:val="14"/>
                <w:szCs w:val="14"/>
                <w:color w:val="auto"/>
              </w:rPr>
              <w:t>United States of America</w:t>
            </w: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58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(4</w:t>
            </w:r>
            <w:r>
              <w:rPr>
                <w:rFonts w:ascii="Arial" w:cs="Arial" w:eastAsia="Arial" w:hAnsi="Arial"/>
                <w:sz w:val="23"/>
                <w:szCs w:val="23"/>
                <w:color w:val="auto"/>
                <w:vertAlign w:val="superscript"/>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620" w:type="dxa"/>
            <w:vAlign w:val="bottom"/>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7"/>
                <w:szCs w:val="17"/>
                <w:color w:val="auto"/>
              </w:rPr>
            </w:pPr>
          </w:p>
        </w:tc>
      </w:tr>
      <w:tr>
        <w:trPr>
          <w:trHeight w:val="142"/>
        </w:trPr>
        <w:tc>
          <w:tcPr>
            <w:tcW w:w="266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r>
      <w:tr>
        <w:trPr>
          <w:trHeight w:val="176"/>
        </w:trPr>
        <w:tc>
          <w:tcPr>
            <w:tcW w:w="2660" w:type="dxa"/>
            <w:vAlign w:val="bottom"/>
          </w:tcPr>
          <w:p>
            <w:pPr>
              <w:spacing w:after="0"/>
              <w:rPr>
                <w:sz w:val="20"/>
                <w:szCs w:val="20"/>
                <w:color w:val="auto"/>
              </w:rPr>
            </w:pPr>
            <w:r>
              <w:rPr>
                <w:rFonts w:ascii="Arial" w:cs="Arial" w:eastAsia="Arial" w:hAnsi="Arial"/>
                <w:sz w:val="14"/>
                <w:szCs w:val="14"/>
                <w:b w:val="1"/>
                <w:bCs w:val="1"/>
                <w:color w:val="auto"/>
              </w:rPr>
              <w:t>Total consolidated</w:t>
            </w:r>
          </w:p>
        </w:tc>
        <w:tc>
          <w:tcPr>
            <w:tcW w:w="660" w:type="dxa"/>
            <w:vAlign w:val="bottom"/>
          </w:tcPr>
          <w:p>
            <w:pPr>
              <w:jc w:val="right"/>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693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17,706</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1,372</w:t>
            </w:r>
          </w:p>
        </w:tc>
        <w:tc>
          <w:tcPr>
            <w:tcW w:w="72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12,882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1,097</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483</w:t>
            </w:r>
          </w:p>
        </w:tc>
        <w:tc>
          <w:tcPr>
            <w:tcW w:w="620" w:type="dxa"/>
            <w:vAlign w:val="bottom"/>
          </w:tcPr>
          <w:p>
            <w:pPr>
              <w:jc w:val="right"/>
              <w:spacing w:after="0"/>
              <w:rPr>
                <w:sz w:val="20"/>
                <w:szCs w:val="20"/>
                <w:color w:val="auto"/>
              </w:rPr>
            </w:pPr>
            <w:r>
              <w:rPr>
                <w:rFonts w:ascii="Arial" w:cs="Arial" w:eastAsia="Arial" w:hAnsi="Arial"/>
                <w:sz w:val="14"/>
                <w:szCs w:val="14"/>
                <w:color w:val="auto"/>
              </w:rPr>
              <w:t>11,036</w:t>
            </w:r>
          </w:p>
        </w:tc>
        <w:tc>
          <w:tcPr>
            <w:tcW w:w="120" w:type="dxa"/>
            <w:vAlign w:val="bottom"/>
          </w:tcPr>
          <w:p>
            <w:pPr>
              <w:spacing w:after="0"/>
              <w:rPr>
                <w:sz w:val="15"/>
                <w:szCs w:val="15"/>
                <w:color w:val="auto"/>
              </w:rPr>
            </w:pPr>
          </w:p>
        </w:tc>
      </w:tr>
      <w:tr>
        <w:trPr>
          <w:trHeight w:val="20"/>
        </w:trPr>
        <w:tc>
          <w:tcPr>
            <w:tcW w:w="2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300" w:hanging="482"/>
        <w:spacing w:after="0"/>
        <w:tabs>
          <w:tab w:leader="none" w:pos="13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Include total interest and dividend income, other income and net premiums earned from insurance activities.</w:t>
      </w:r>
    </w:p>
    <w:p>
      <w:pPr>
        <w:spacing w:after="0" w:line="23" w:lineRule="exact"/>
        <w:rPr>
          <w:sz w:val="20"/>
          <w:szCs w:val="20"/>
          <w:color w:val="auto"/>
        </w:rPr>
      </w:pPr>
    </w:p>
    <w:p>
      <w:pPr>
        <w:ind w:left="1300" w:hanging="482"/>
        <w:spacing w:after="0" w:line="250" w:lineRule="auto"/>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4240" w:hanging="4722"/>
        <w:spacing w:after="0" w:line="622" w:lineRule="auto"/>
        <w:tabs>
          <w:tab w:leader="none" w:pos="130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Correspond to reserves for assets seized and the allowance for loan losses. 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75" w:right="75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7" w:lineRule="exact"/>
        <w:rPr>
          <w:rFonts w:ascii="Arial" w:cs="Arial" w:eastAsia="Arial" w:hAnsi="Arial"/>
          <w:sz w:val="18"/>
          <w:szCs w:val="18"/>
          <w:b w:val="1"/>
          <w:bCs w:val="1"/>
          <w:color w:val="auto"/>
        </w:rPr>
      </w:pPr>
    </w:p>
    <w:p>
      <w:pPr>
        <w:ind w:left="820" w:hanging="326"/>
        <w:spacing w:after="0" w:line="273" w:lineRule="auto"/>
        <w:tabs>
          <w:tab w:leader="none" w:pos="82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consolidated financial statements of the Group as of December 31, 2007 and 2006 include the transactions with related parties of the companies mentioned in note 3(b). For its 2007 and 2006 consolidated financial statements, the Group defines related parties as related companies, the Board of Directors, the Group’s key executives (defined as the management of Credicorp’s Holding) and enterprises which are controlled by these individuals through their majority shareholding or their role as chairman or CEO in those companies.</w:t>
      </w:r>
    </w:p>
    <w:p>
      <w:pPr>
        <w:spacing w:after="0" w:line="230" w:lineRule="exact"/>
        <w:rPr>
          <w:rFonts w:ascii="Arial" w:cs="Arial" w:eastAsia="Arial" w:hAnsi="Arial"/>
          <w:sz w:val="17"/>
          <w:szCs w:val="17"/>
          <w:color w:val="auto"/>
        </w:rPr>
      </w:pPr>
    </w:p>
    <w:p>
      <w:pPr>
        <w:ind w:left="820" w:hanging="326"/>
        <w:spacing w:after="0"/>
        <w:tabs>
          <w:tab w:leader="none" w:pos="8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companies as of December 31, 2007 and 2006.</w:t>
      </w:r>
    </w:p>
    <w:p>
      <w:pPr>
        <w:spacing w:after="0" w:line="329"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60" w:type="dxa"/>
            <w:vAlign w:val="bottom"/>
            <w:gridSpan w:val="3"/>
          </w:tcPr>
          <w:p>
            <w:pPr>
              <w:ind w:left="660"/>
              <w:spacing w:after="0"/>
              <w:rPr>
                <w:sz w:val="20"/>
                <w:szCs w:val="20"/>
                <w:color w:val="auto"/>
              </w:rPr>
            </w:pPr>
            <w:r>
              <w:rPr>
                <w:rFonts w:ascii="Arial" w:cs="Arial" w:eastAsia="Arial" w:hAnsi="Arial"/>
                <w:sz w:val="18"/>
                <w:szCs w:val="18"/>
                <w:b w:val="1"/>
                <w:bCs w:val="1"/>
                <w:color w:val="auto"/>
              </w:rPr>
              <w:t>Related companies</w:t>
            </w:r>
          </w:p>
        </w:tc>
      </w:tr>
      <w:tr>
        <w:trPr>
          <w:trHeight w:val="237"/>
        </w:trPr>
        <w:tc>
          <w:tcPr>
            <w:tcW w:w="5620" w:type="dxa"/>
            <w:vAlign w:val="bottom"/>
          </w:tcPr>
          <w:p>
            <w:pPr>
              <w:spacing w:after="0"/>
              <w:rPr>
                <w:sz w:val="20"/>
                <w:szCs w:val="20"/>
                <w:color w:val="auto"/>
              </w:rPr>
            </w:pPr>
          </w:p>
        </w:tc>
        <w:tc>
          <w:tcPr>
            <w:tcW w:w="15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2007</w:t>
            </w:r>
          </w:p>
        </w:tc>
        <w:tc>
          <w:tcPr>
            <w:tcW w:w="12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43"/>
        </w:trPr>
        <w:tc>
          <w:tcPr>
            <w:tcW w:w="5620" w:type="dxa"/>
            <w:vAlign w:val="bottom"/>
          </w:tcPr>
          <w:p>
            <w:pPr>
              <w:spacing w:after="0"/>
              <w:rPr>
                <w:sz w:val="21"/>
                <w:szCs w:val="21"/>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US$(000)</w:t>
            </w:r>
          </w:p>
        </w:tc>
      </w:tr>
      <w:tr>
        <w:trPr>
          <w:trHeight w:val="243"/>
        </w:trPr>
        <w:tc>
          <w:tcPr>
            <w:tcW w:w="5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5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94,102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70,636</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90,396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62,125</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5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31,689</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25,074</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Contingent credits</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14,026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13,925</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15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2,288</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2,097</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2,009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 cost</w:t>
            </w:r>
          </w:p>
        </w:tc>
        <w:tc>
          <w:tcPr>
            <w:tcW w:w="15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1,673</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386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5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1,192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953</w:t>
            </w:r>
          </w:p>
        </w:tc>
      </w:tr>
    </w:tbl>
    <w:p>
      <w:pPr>
        <w:spacing w:after="0" w:line="256" w:lineRule="exact"/>
        <w:rPr>
          <w:sz w:val="20"/>
          <w:szCs w:val="20"/>
          <w:color w:val="auto"/>
        </w:rPr>
      </w:pPr>
    </w:p>
    <w:p>
      <w:pPr>
        <w:ind w:left="820" w:right="100" w:hanging="326"/>
        <w:spacing w:after="0" w:line="255" w:lineRule="auto"/>
        <w:tabs>
          <w:tab w:leader="none" w:pos="8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loans, contingent operations and derivative contracts with related parties are made in accordance with the normal market conditions available to other customers. Outstanding loans balances at the year-end are granted by collaterals given by the related part. The loans to related companies as of December 31, 2007 had a maturity between January 2008 and September 2017 and an accrued annual interest average of 6.79 percent (as of December 31, 2006 had a maturity between January 2007 and August 2012 and an accrued annual interest average of 7.71 percent). As of December 31, 2007, the provision for doubtful debts due to related parties amounts to US$0.2 million (US$0.1 million as of December 31, 2006). This amount is established based on an assessment performed on a continuous basis in the financial position of the related party and the market where it operates.</w:t>
      </w:r>
    </w:p>
    <w:p>
      <w:pPr>
        <w:spacing w:after="0" w:line="243" w:lineRule="exact"/>
        <w:rPr>
          <w:rFonts w:ascii="Arial" w:cs="Arial" w:eastAsia="Arial" w:hAnsi="Arial"/>
          <w:sz w:val="18"/>
          <w:szCs w:val="18"/>
          <w:color w:val="auto"/>
        </w:rPr>
      </w:pPr>
    </w:p>
    <w:p>
      <w:pPr>
        <w:ind w:left="820" w:right="260" w:hanging="326"/>
        <w:spacing w:after="0" w:line="257" w:lineRule="auto"/>
        <w:tabs>
          <w:tab w:leader="none" w:pos="8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of December 31, 2007 and 2006, directors, officers and employees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2007 and 2006, direct loans to employees, directors and key management amounts to US$82.5 and US$59.5 million, respectively and are paid monthly during their loan enforce and earn interest at similar market rates for these loans.</w:t>
      </w:r>
    </w:p>
    <w:p>
      <w:pPr>
        <w:spacing w:after="0" w:line="242"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color w:val="auto"/>
        </w:rPr>
        <w:t>The Group does not maintain loans to the directors and key personnel which are guaranteed with shares of Credicorp or other companies of the Group.</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  The Group key executives compensation as of December 31, 2007 and 2006, comprises the following captions:</w:t>
      </w:r>
    </w:p>
    <w:p>
      <w:pPr>
        <w:spacing w:after="0" w:line="302"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43"/>
        </w:trPr>
        <w:tc>
          <w:tcPr>
            <w:tcW w:w="5620" w:type="dxa"/>
            <w:vAlign w:val="bottom"/>
          </w:tcPr>
          <w:p>
            <w:pPr>
              <w:spacing w:after="0"/>
              <w:rPr>
                <w:sz w:val="21"/>
                <w:szCs w:val="21"/>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US$(000)</w:t>
            </w:r>
          </w:p>
        </w:tc>
      </w:tr>
      <w:tr>
        <w:trPr>
          <w:trHeight w:val="243"/>
        </w:trPr>
        <w:tc>
          <w:tcPr>
            <w:tcW w:w="5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 note 20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27,113</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23,206</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Salaries</w:t>
            </w:r>
          </w:p>
        </w:tc>
        <w:tc>
          <w:tcPr>
            <w:tcW w:w="1260" w:type="dxa"/>
            <w:vAlign w:val="bottom"/>
          </w:tcPr>
          <w:p>
            <w:pPr>
              <w:jc w:val="right"/>
              <w:spacing w:after="0"/>
              <w:rPr>
                <w:sz w:val="20"/>
                <w:szCs w:val="20"/>
                <w:color w:val="auto"/>
              </w:rPr>
            </w:pPr>
            <w:r>
              <w:rPr>
                <w:rFonts w:ascii="Arial" w:cs="Arial" w:eastAsia="Arial" w:hAnsi="Arial"/>
                <w:sz w:val="18"/>
                <w:szCs w:val="18"/>
                <w:color w:val="auto"/>
              </w:rPr>
              <w:t>5,535</w:t>
            </w:r>
          </w:p>
        </w:tc>
        <w:tc>
          <w:tcPr>
            <w:tcW w:w="20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1,173</w:t>
            </w: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spacing w:after="0"/>
              <w:rPr>
                <w:sz w:val="20"/>
                <w:szCs w:val="20"/>
                <w:color w:val="auto"/>
              </w:rPr>
            </w:pPr>
            <w:r>
              <w:rPr>
                <w:rFonts w:ascii="Arial" w:cs="Arial" w:eastAsia="Arial" w:hAnsi="Arial"/>
                <w:sz w:val="18"/>
                <w:szCs w:val="18"/>
                <w:color w:val="auto"/>
              </w:rPr>
              <w:t>12,947</w:t>
            </w:r>
          </w:p>
        </w:tc>
        <w:tc>
          <w:tcPr>
            <w:tcW w:w="200" w:type="dxa"/>
            <w:vAlign w:val="bottom"/>
          </w:tcPr>
          <w:p>
            <w:pPr>
              <w:spacing w:after="0"/>
              <w:rPr>
                <w:sz w:val="23"/>
                <w:szCs w:val="2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6,962</w:t>
            </w:r>
          </w:p>
        </w:tc>
      </w:tr>
      <w:tr>
        <w:trPr>
          <w:trHeight w:val="237"/>
        </w:trPr>
        <w:tc>
          <w:tcPr>
            <w:tcW w:w="56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46,757</w:t>
            </w:r>
          </w:p>
        </w:tc>
        <w:tc>
          <w:tcPr>
            <w:tcW w:w="20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36,165</w:t>
            </w:r>
          </w:p>
        </w:tc>
      </w:tr>
      <w:tr>
        <w:trPr>
          <w:trHeight w:val="20"/>
        </w:trPr>
        <w:tc>
          <w:tcPr>
            <w:tcW w:w="5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Group key executives compensation comprises all the payments received by them, including the taxes assumed by the Group.</w:t>
      </w:r>
    </w:p>
    <w:p>
      <w:pPr>
        <w:spacing w:after="0" w:line="3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500" w:hanging="492"/>
        <w:spacing w:after="0"/>
        <w:tabs>
          <w:tab w:leader="none" w:pos="5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7" w:lineRule="exact"/>
        <w:rPr>
          <w:rFonts w:ascii="Arial" w:cs="Arial" w:eastAsia="Arial" w:hAnsi="Arial"/>
          <w:sz w:val="18"/>
          <w:szCs w:val="18"/>
          <w:b w:val="1"/>
          <w:bCs w:val="1"/>
          <w:color w:val="auto"/>
        </w:rPr>
      </w:pPr>
    </w:p>
    <w:p>
      <w:pPr>
        <w:ind w:left="50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carrying amounts of the financial assets and liabilities captions in the consolidated balance sheets, by categories as defined under IAS 39: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As of December 31, 2007</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1"/>
                <w:szCs w:val="11"/>
                <w:b w:val="1"/>
                <w:bCs w:val="1"/>
                <w:color w:val="auto"/>
                <w:w w:val="89"/>
              </w:rPr>
              <w:t>As of December 31, 2006</w:t>
            </w: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520" w:type="dxa"/>
            <w:vAlign w:val="bottom"/>
            <w:gridSpan w:val="4"/>
          </w:tcPr>
          <w:p>
            <w:pPr>
              <w:ind w:left="120"/>
              <w:spacing w:after="0" w:line="119" w:lineRule="exact"/>
              <w:rPr>
                <w:sz w:val="20"/>
                <w:szCs w:val="20"/>
                <w:color w:val="auto"/>
              </w:rPr>
            </w:pPr>
            <w:r>
              <w:rPr>
                <w:rFonts w:ascii="Arial" w:cs="Arial" w:eastAsia="Arial" w:hAnsi="Arial"/>
                <w:sz w:val="11"/>
                <w:szCs w:val="11"/>
                <w:b w:val="1"/>
                <w:bCs w:val="1"/>
                <w:color w:val="auto"/>
              </w:rPr>
              <w:t>Financial assets/liabilities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4"/>
          </w:tcPr>
          <w:p>
            <w:pPr>
              <w:ind w:left="140"/>
              <w:spacing w:after="0" w:line="119" w:lineRule="exact"/>
              <w:rPr>
                <w:sz w:val="20"/>
                <w:szCs w:val="20"/>
                <w:color w:val="auto"/>
              </w:rPr>
            </w:pPr>
            <w:r>
              <w:rPr>
                <w:rFonts w:ascii="Arial" w:cs="Arial" w:eastAsia="Arial" w:hAnsi="Arial"/>
                <w:sz w:val="11"/>
                <w:szCs w:val="11"/>
                <w:b w:val="1"/>
                <w:bCs w:val="1"/>
                <w:color w:val="auto"/>
                <w:w w:val="97"/>
              </w:rPr>
              <w:t>Financial assets/liabilities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20" w:type="dxa"/>
            <w:vAlign w:val="bottom"/>
            <w:gridSpan w:val="4"/>
          </w:tcPr>
          <w:p>
            <w:pPr>
              <w:ind w:left="180"/>
              <w:spacing w:after="0"/>
              <w:rPr>
                <w:sz w:val="20"/>
                <w:szCs w:val="20"/>
                <w:color w:val="auto"/>
              </w:rPr>
            </w:pPr>
            <w:r>
              <w:rPr>
                <w:rFonts w:ascii="Arial" w:cs="Arial" w:eastAsia="Arial" w:hAnsi="Arial"/>
                <w:sz w:val="11"/>
                <w:szCs w:val="11"/>
                <w:b w:val="1"/>
                <w:bCs w:val="1"/>
                <w:color w:val="auto"/>
              </w:rPr>
              <w:t>designated at fair value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ind w:left="180"/>
              <w:spacing w:after="0"/>
              <w:rPr>
                <w:sz w:val="20"/>
                <w:szCs w:val="20"/>
                <w:color w:val="auto"/>
              </w:rPr>
            </w:pPr>
            <w:r>
              <w:rPr>
                <w:rFonts w:ascii="Arial" w:cs="Arial" w:eastAsia="Arial" w:hAnsi="Arial"/>
                <w:sz w:val="11"/>
                <w:szCs w:val="11"/>
                <w:b w:val="1"/>
                <w:bCs w:val="1"/>
                <w:color w:val="auto"/>
              </w:rPr>
              <w:t>designated at fair value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Liabilities at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w w:val="87"/>
              </w:rPr>
              <w:t>Liabilities at</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Held for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Loans and</w:t>
            </w: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Available for</w:t>
            </w:r>
          </w:p>
        </w:tc>
        <w:tc>
          <w:tcPr>
            <w:tcW w:w="620" w:type="dxa"/>
            <w:vAlign w:val="bottom"/>
          </w:tcPr>
          <w:p>
            <w:pPr>
              <w:jc w:val="center"/>
              <w:ind w:left="6"/>
              <w:spacing w:after="0"/>
              <w:rPr>
                <w:sz w:val="20"/>
                <w:szCs w:val="20"/>
                <w:color w:val="auto"/>
              </w:rPr>
            </w:pPr>
            <w:r>
              <w:rPr>
                <w:rFonts w:ascii="Arial" w:cs="Arial" w:eastAsia="Arial" w:hAnsi="Arial"/>
                <w:sz w:val="11"/>
                <w:szCs w:val="11"/>
                <w:b w:val="1"/>
                <w:bCs w:val="1"/>
                <w:color w:val="auto"/>
                <w:w w:val="92"/>
              </w:rPr>
              <w:t>amortized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Held for</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Loans and</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Available for</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amortized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trading</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At inception</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receivables</w:t>
            </w: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4"/>
              </w:rPr>
              <w:t>sale securities</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79"/>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trading</w:t>
            </w: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At inception</w:t>
            </w:r>
          </w:p>
        </w:tc>
        <w:tc>
          <w:tcPr>
            <w:tcW w:w="6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receivables</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sale securities</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79"/>
              </w:rPr>
              <w:t>cost</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620" w:type="dxa"/>
            <w:vAlign w:val="bottom"/>
          </w:tcPr>
          <w:p>
            <w:pPr>
              <w:jc w:val="center"/>
              <w:ind w:left="6"/>
              <w:spacing w:after="0"/>
              <w:rPr>
                <w:sz w:val="20"/>
                <w:szCs w:val="20"/>
                <w:color w:val="auto"/>
              </w:rPr>
            </w:pPr>
            <w:r>
              <w:rPr>
                <w:rFonts w:ascii="Arial" w:cs="Arial" w:eastAsia="Arial" w:hAnsi="Arial"/>
                <w:sz w:val="11"/>
                <w:szCs w:val="11"/>
                <w:color w:val="auto"/>
                <w:w w:val="93"/>
              </w:rPr>
              <w:t>US$(000)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6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Assets</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3,073,865</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1"/>
                <w:szCs w:val="11"/>
                <w:color w:val="auto"/>
              </w:rPr>
            </w:pPr>
          </w:p>
        </w:tc>
        <w:tc>
          <w:tcPr>
            <w:tcW w:w="140" w:type="dxa"/>
            <w:vAlign w:val="bottom"/>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3,073,865</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2,733,530</w:t>
            </w:r>
          </w:p>
        </w:tc>
        <w:tc>
          <w:tcPr>
            <w:tcW w:w="10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2,733,530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1"/>
                <w:szCs w:val="11"/>
                <w:color w:val="auto"/>
              </w:rPr>
              <w:t>Trading securities</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50,995</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FFCC"/>
          </w:tcPr>
          <w:p>
            <w:pPr>
              <w:spacing w:after="0"/>
              <w:rPr>
                <w:sz w:val="11"/>
                <w:szCs w:val="11"/>
                <w:color w:val="auto"/>
              </w:rPr>
            </w:pPr>
          </w:p>
        </w:tc>
        <w:tc>
          <w:tcPr>
            <w:tcW w:w="140" w:type="dxa"/>
            <w:vAlign w:val="bottom"/>
            <w:gridSpan w:val="2"/>
            <w:shd w:val="clear" w:color="auto" w:fill="CCFFCC"/>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50,995</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45,136</w:t>
            </w:r>
          </w:p>
        </w:tc>
        <w:tc>
          <w:tcPr>
            <w:tcW w:w="1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45,136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Arial" w:cs="Arial" w:eastAsia="Arial" w:hAnsi="Arial"/>
                <w:sz w:val="11"/>
                <w:szCs w:val="11"/>
                <w:color w:val="auto"/>
              </w:rPr>
              <w:t>Investments available-for-sale</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5,228,641</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5,228,641</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3,450,711</w:t>
            </w:r>
          </w:p>
        </w:tc>
        <w:tc>
          <w:tcPr>
            <w:tcW w:w="10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3,450,711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1"/>
                <w:szCs w:val="11"/>
                <w:color w:val="auto"/>
              </w:rPr>
              <w:t>Loans, net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8,039,500</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FFCC"/>
          </w:tcPr>
          <w:p>
            <w:pPr>
              <w:spacing w:after="0"/>
              <w:rPr>
                <w:sz w:val="11"/>
                <w:szCs w:val="11"/>
                <w:color w:val="auto"/>
              </w:rPr>
            </w:pPr>
          </w:p>
        </w:tc>
        <w:tc>
          <w:tcPr>
            <w:tcW w:w="140" w:type="dxa"/>
            <w:vAlign w:val="bottom"/>
            <w:gridSpan w:val="2"/>
            <w:shd w:val="clear" w:color="auto" w:fill="CCFFCC"/>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8,039,500</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5,736,823</w:t>
            </w: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5,736,823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40" w:type="dxa"/>
            <w:vAlign w:val="bottom"/>
          </w:tcPr>
          <w:p>
            <w:pPr>
              <w:spacing w:after="0" w:line="125" w:lineRule="exact"/>
              <w:rPr>
                <w:sz w:val="20"/>
                <w:szCs w:val="20"/>
                <w:color w:val="auto"/>
              </w:rPr>
            </w:pPr>
            <w:r>
              <w:rPr>
                <w:rFonts w:ascii="Arial" w:cs="Arial" w:eastAsia="Arial" w:hAnsi="Arial"/>
                <w:sz w:val="11"/>
                <w:szCs w:val="11"/>
                <w:color w:val="auto"/>
                <w:w w:val="95"/>
              </w:rPr>
              <w:t>Financial assets designated at fair value through profit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tcPr>
          <w:p>
            <w:pPr>
              <w:ind w:left="160"/>
              <w:spacing w:after="0"/>
              <w:rPr>
                <w:sz w:val="20"/>
                <w:szCs w:val="20"/>
                <w:color w:val="auto"/>
              </w:rPr>
            </w:pPr>
            <w:r>
              <w:rPr>
                <w:rFonts w:ascii="Arial" w:cs="Arial" w:eastAsia="Arial" w:hAnsi="Arial"/>
                <w:sz w:val="11"/>
                <w:szCs w:val="11"/>
                <w:color w:val="auto"/>
              </w:rPr>
              <w:t>and loss</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213,153</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1"/>
                <w:szCs w:val="11"/>
                <w:color w:val="auto"/>
              </w:rPr>
            </w:pPr>
          </w:p>
        </w:tc>
        <w:tc>
          <w:tcPr>
            <w:tcW w:w="140" w:type="dxa"/>
            <w:vAlign w:val="bottom"/>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213,153</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53,116</w:t>
            </w:r>
          </w:p>
        </w:tc>
        <w:tc>
          <w:tcPr>
            <w:tcW w:w="40" w:type="dxa"/>
            <w:vAlign w:val="bottom"/>
          </w:tcPr>
          <w:p>
            <w:pPr>
              <w:spacing w:after="0"/>
              <w:rPr>
                <w:sz w:val="11"/>
                <w:szCs w:val="1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53,116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1"/>
                <w:szCs w:val="11"/>
                <w:color w:val="auto"/>
              </w:rPr>
              <w:t>Premiums and other policies receivable</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85,495</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FFCC"/>
          </w:tcPr>
          <w:p>
            <w:pPr>
              <w:spacing w:after="0"/>
              <w:rPr>
                <w:sz w:val="12"/>
                <w:szCs w:val="12"/>
                <w:color w:val="auto"/>
              </w:rPr>
            </w:pPr>
          </w:p>
        </w:tc>
        <w:tc>
          <w:tcPr>
            <w:tcW w:w="140" w:type="dxa"/>
            <w:vAlign w:val="bottom"/>
            <w:gridSpan w:val="2"/>
            <w:shd w:val="clear" w:color="auto" w:fill="CCFFCC"/>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85,495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61,279</w:t>
            </w:r>
          </w:p>
        </w:tc>
        <w:tc>
          <w:tcPr>
            <w:tcW w:w="10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61,279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20"/>
                <w:szCs w:val="20"/>
                <w:color w:val="auto"/>
              </w:rPr>
            </w:pPr>
            <w:r>
              <w:rPr>
                <w:rFonts w:ascii="Arial" w:cs="Arial" w:eastAsia="Arial" w:hAnsi="Arial"/>
                <w:sz w:val="11"/>
                <w:szCs w:val="11"/>
                <w:color w:val="auto"/>
                <w:w w:val="97"/>
              </w:rPr>
              <w:t>Accounts receivable from re-insurers and co-insurers</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116,141</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1"/>
                <w:szCs w:val="11"/>
                <w:color w:val="auto"/>
              </w:rPr>
            </w:pPr>
          </w:p>
        </w:tc>
        <w:tc>
          <w:tcPr>
            <w:tcW w:w="140" w:type="dxa"/>
            <w:vAlign w:val="bottom"/>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116,141</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35,181</w:t>
            </w:r>
          </w:p>
        </w:tc>
        <w:tc>
          <w:tcPr>
            <w:tcW w:w="10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35,181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1"/>
                <w:szCs w:val="11"/>
                <w:color w:val="auto"/>
              </w:rPr>
              <w:t>Due from customers on acceptances</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35,901</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FFCC"/>
          </w:tcPr>
          <w:p>
            <w:pPr>
              <w:spacing w:after="0"/>
              <w:rPr>
                <w:sz w:val="11"/>
                <w:szCs w:val="11"/>
                <w:color w:val="auto"/>
              </w:rPr>
            </w:pPr>
          </w:p>
        </w:tc>
        <w:tc>
          <w:tcPr>
            <w:tcW w:w="140" w:type="dxa"/>
            <w:vAlign w:val="bottom"/>
            <w:gridSpan w:val="2"/>
            <w:shd w:val="clear" w:color="auto" w:fill="CCFFCC"/>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35,901</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45,129</w:t>
            </w: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45,129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Arial" w:cs="Arial" w:eastAsia="Arial" w:hAnsi="Arial"/>
                <w:sz w:val="11"/>
                <w:szCs w:val="11"/>
                <w:color w:val="auto"/>
              </w:rPr>
              <w:t>Other assets, note 13</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45,843</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151,825</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3"/>
                <w:szCs w:val="13"/>
                <w:color w:val="auto"/>
              </w:rPr>
            </w:pPr>
          </w:p>
        </w:tc>
        <w:tc>
          <w:tcPr>
            <w:tcW w:w="140" w:type="dxa"/>
            <w:vAlign w:val="bottom"/>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197,668</w:t>
            </w:r>
          </w:p>
        </w:tc>
        <w:tc>
          <w:tcPr>
            <w:tcW w:w="660" w:type="dxa"/>
            <w:vAlign w:val="bottom"/>
          </w:tcPr>
          <w:p>
            <w:pPr>
              <w:jc w:val="right"/>
              <w:spacing w:after="0"/>
              <w:rPr>
                <w:sz w:val="20"/>
                <w:szCs w:val="20"/>
                <w:color w:val="auto"/>
              </w:rPr>
            </w:pPr>
            <w:r>
              <w:rPr>
                <w:rFonts w:ascii="Arial" w:cs="Arial" w:eastAsia="Arial" w:hAnsi="Arial"/>
                <w:sz w:val="11"/>
                <w:szCs w:val="11"/>
                <w:color w:val="auto"/>
              </w:rPr>
              <w:t>19,134</w:t>
            </w:r>
          </w:p>
        </w:tc>
        <w:tc>
          <w:tcPr>
            <w:tcW w:w="1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98,630</w:t>
            </w:r>
          </w:p>
        </w:tc>
        <w:tc>
          <w:tcPr>
            <w:tcW w:w="1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117,764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4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96,838</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213,153</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11,502,727</w:t>
            </w:r>
          </w:p>
        </w:tc>
        <w:tc>
          <w:tcPr>
            <w:tcW w:w="680" w:type="dxa"/>
            <w:vAlign w:val="bottom"/>
          </w:tcPr>
          <w:p>
            <w:pPr>
              <w:jc w:val="right"/>
              <w:spacing w:after="0"/>
              <w:rPr>
                <w:sz w:val="20"/>
                <w:szCs w:val="20"/>
                <w:color w:val="auto"/>
              </w:rPr>
            </w:pPr>
            <w:r>
              <w:rPr>
                <w:rFonts w:ascii="Arial" w:cs="Arial" w:eastAsia="Arial" w:hAnsi="Arial"/>
                <w:sz w:val="11"/>
                <w:szCs w:val="11"/>
                <w:color w:val="auto"/>
              </w:rPr>
              <w:t>5,228,641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17,041,359</w:t>
            </w:r>
          </w:p>
        </w:tc>
        <w:tc>
          <w:tcPr>
            <w:tcW w:w="660" w:type="dxa"/>
            <w:vAlign w:val="bottom"/>
          </w:tcPr>
          <w:p>
            <w:pPr>
              <w:jc w:val="right"/>
              <w:spacing w:after="0"/>
              <w:rPr>
                <w:sz w:val="20"/>
                <w:szCs w:val="20"/>
                <w:color w:val="auto"/>
              </w:rPr>
            </w:pPr>
            <w:r>
              <w:rPr>
                <w:rFonts w:ascii="Arial" w:cs="Arial" w:eastAsia="Arial" w:hAnsi="Arial"/>
                <w:sz w:val="11"/>
                <w:szCs w:val="11"/>
                <w:color w:val="auto"/>
              </w:rPr>
              <w:t>64,270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53,116</w:t>
            </w:r>
          </w:p>
        </w:tc>
        <w:tc>
          <w:tcPr>
            <w:tcW w:w="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8,710,572</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3,450,711</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w w:val="94"/>
              </w:rPr>
              <w:t>12,278,669</w:t>
            </w:r>
          </w:p>
        </w:tc>
        <w:tc>
          <w:tcPr>
            <w:tcW w:w="0" w:type="dxa"/>
            <w:vAlign w:val="bottom"/>
          </w:tcPr>
          <w:p>
            <w:pPr>
              <w:spacing w:after="0"/>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-130175</wp:posOffset>
            </wp:positionV>
            <wp:extent cx="55740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As of December 31, 2007</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As of December 31, 2006</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52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Financial assets/liabilities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Financial assets/liabilities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1"/>
                <w:szCs w:val="11"/>
                <w:b w:val="1"/>
                <w:bCs w:val="1"/>
                <w:color w:val="auto"/>
              </w:rPr>
              <w:t>designated at fair value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ind w:right="226"/>
              <w:spacing w:after="0"/>
              <w:rPr>
                <w:sz w:val="20"/>
                <w:szCs w:val="20"/>
                <w:color w:val="auto"/>
              </w:rPr>
            </w:pPr>
            <w:r>
              <w:rPr>
                <w:rFonts w:ascii="Arial" w:cs="Arial" w:eastAsia="Arial" w:hAnsi="Arial"/>
                <w:sz w:val="11"/>
                <w:szCs w:val="11"/>
                <w:b w:val="1"/>
                <w:bCs w:val="1"/>
                <w:color w:val="auto"/>
                <w:w w:val="99"/>
              </w:rPr>
              <w:t>designated at fair value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Liabilities at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1"/>
              </w:rPr>
              <w:t>Liabilities at</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Held for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Loans and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Available for</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amortized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Held for</w:t>
            </w:r>
          </w:p>
        </w:tc>
        <w:tc>
          <w:tcPr>
            <w:tcW w:w="76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Loans and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Available for</w:t>
            </w:r>
          </w:p>
        </w:tc>
        <w:tc>
          <w:tcPr>
            <w:tcW w:w="64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amortized</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gridSpan w:val="2"/>
          </w:tcPr>
          <w:p>
            <w:pPr>
              <w:ind w:left="160"/>
              <w:spacing w:after="0"/>
              <w:rPr>
                <w:sz w:val="20"/>
                <w:szCs w:val="20"/>
                <w:color w:val="auto"/>
              </w:rPr>
            </w:pPr>
            <w:r>
              <w:rPr>
                <w:rFonts w:ascii="Arial" w:cs="Arial" w:eastAsia="Arial" w:hAnsi="Arial"/>
                <w:sz w:val="11"/>
                <w:szCs w:val="11"/>
                <w:b w:val="1"/>
                <w:bCs w:val="1"/>
                <w:color w:val="auto"/>
              </w:rPr>
              <w:t>trading</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4"/>
              </w:rPr>
              <w:t>At inception</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receivables</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sale securities</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9"/>
              </w:rPr>
              <w:t>cost</w:t>
            </w:r>
          </w:p>
        </w:tc>
        <w:tc>
          <w:tcPr>
            <w:tcW w:w="640" w:type="dxa"/>
            <w:vAlign w:val="bottom"/>
          </w:tcPr>
          <w:p>
            <w:pPr>
              <w:jc w:val="right"/>
              <w:ind w:right="146"/>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760" w:type="dxa"/>
            <w:vAlign w:val="bottom"/>
            <w:gridSpan w:val="2"/>
          </w:tcPr>
          <w:p>
            <w:pPr>
              <w:ind w:left="160"/>
              <w:spacing w:after="0"/>
              <w:rPr>
                <w:sz w:val="20"/>
                <w:szCs w:val="20"/>
                <w:color w:val="auto"/>
              </w:rPr>
            </w:pPr>
            <w:r>
              <w:rPr>
                <w:rFonts w:ascii="Arial" w:cs="Arial" w:eastAsia="Arial" w:hAnsi="Arial"/>
                <w:sz w:val="11"/>
                <w:szCs w:val="11"/>
                <w:b w:val="1"/>
                <w:bCs w:val="1"/>
                <w:color w:val="auto"/>
              </w:rPr>
              <w:t>trading</w:t>
            </w:r>
          </w:p>
        </w:tc>
        <w:tc>
          <w:tcPr>
            <w:tcW w:w="760" w:type="dxa"/>
            <w:vAlign w:val="bottom"/>
          </w:tcPr>
          <w:p>
            <w:pPr>
              <w:jc w:val="right"/>
              <w:ind w:right="86"/>
              <w:spacing w:after="0"/>
              <w:rPr>
                <w:sz w:val="20"/>
                <w:szCs w:val="20"/>
                <w:color w:val="auto"/>
              </w:rPr>
            </w:pPr>
            <w:r>
              <w:rPr>
                <w:rFonts w:ascii="Arial" w:cs="Arial" w:eastAsia="Arial" w:hAnsi="Arial"/>
                <w:sz w:val="11"/>
                <w:szCs w:val="11"/>
                <w:b w:val="1"/>
                <w:bCs w:val="1"/>
                <w:color w:val="auto"/>
                <w:w w:val="94"/>
              </w:rPr>
              <w:t>At inception</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receivables</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sale securities</w:t>
            </w:r>
          </w:p>
        </w:tc>
        <w:tc>
          <w:tcPr>
            <w:tcW w:w="640" w:type="dxa"/>
            <w:vAlign w:val="bottom"/>
          </w:tcPr>
          <w:p>
            <w:pPr>
              <w:jc w:val="center"/>
              <w:ind w:right="6"/>
              <w:spacing w:after="0"/>
              <w:rPr>
                <w:sz w:val="20"/>
                <w:szCs w:val="20"/>
                <w:color w:val="auto"/>
              </w:rPr>
            </w:pPr>
            <w:r>
              <w:rPr>
                <w:rFonts w:ascii="Arial" w:cs="Arial" w:eastAsia="Arial" w:hAnsi="Arial"/>
                <w:sz w:val="11"/>
                <w:szCs w:val="11"/>
                <w:b w:val="1"/>
                <w:bCs w:val="1"/>
                <w:color w:val="auto"/>
                <w:w w:val="79"/>
              </w:rPr>
              <w:t>cost</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760" w:type="dxa"/>
            <w:vAlign w:val="bottom"/>
          </w:tcPr>
          <w:p>
            <w:pPr>
              <w:jc w:val="right"/>
              <w:ind w:right="166"/>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640" w:type="dxa"/>
            <w:vAlign w:val="bottom"/>
          </w:tcPr>
          <w:p>
            <w:pPr>
              <w:jc w:val="center"/>
              <w:ind w:right="6"/>
              <w:spacing w:after="0"/>
              <w:rPr>
                <w:sz w:val="20"/>
                <w:szCs w:val="20"/>
                <w:color w:val="auto"/>
              </w:rPr>
            </w:pPr>
            <w:r>
              <w:rPr>
                <w:rFonts w:ascii="Arial" w:cs="Arial" w:eastAsia="Arial" w:hAnsi="Arial"/>
                <w:sz w:val="11"/>
                <w:szCs w:val="11"/>
                <w:color w:val="auto"/>
                <w:w w:val="89"/>
              </w:rPr>
              <w:t>US$(000)</w:t>
            </w:r>
          </w:p>
        </w:tc>
        <w:tc>
          <w:tcPr>
            <w:tcW w:w="540" w:type="dxa"/>
            <w:vAlign w:val="bottom"/>
          </w:tcPr>
          <w:p>
            <w:pPr>
              <w:jc w:val="right"/>
              <w:ind w:right="26"/>
              <w:spacing w:after="0"/>
              <w:rPr>
                <w:sz w:val="20"/>
                <w:szCs w:val="20"/>
                <w:color w:val="auto"/>
              </w:rPr>
            </w:pPr>
            <w:r>
              <w:rPr>
                <w:rFonts w:ascii="Arial" w:cs="Arial" w:eastAsia="Arial" w:hAnsi="Arial"/>
                <w:sz w:val="11"/>
                <w:szCs w:val="11"/>
                <w:color w:val="auto"/>
                <w:w w:val="93"/>
              </w:rPr>
              <w:t>US$(000)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Liabilities</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tcBorders>
              <w:right w:val="single" w:sz="8" w:color="CCFFCC"/>
            </w:tcBorders>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tcBorders>
              <w:right w:val="single" w:sz="8" w:color="CCFFCC"/>
            </w:tcBorders>
            <w:shd w:val="clear" w:color="auto" w:fill="CCFFCC"/>
          </w:tcPr>
          <w:p>
            <w:pPr>
              <w:spacing w:after="0"/>
              <w:rPr>
                <w:sz w:val="11"/>
                <w:szCs w:val="11"/>
                <w:color w:val="auto"/>
              </w:rPr>
            </w:pPr>
          </w:p>
        </w:tc>
        <w:tc>
          <w:tcPr>
            <w:tcW w:w="540" w:type="dxa"/>
            <w:vAlign w:val="bottom"/>
            <w:tcBorders>
              <w:righ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Deposits and obligation</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11,350,714</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11,350,714</w:t>
            </w:r>
          </w:p>
        </w:tc>
        <w:tc>
          <w:tcPr>
            <w:tcW w:w="8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8,838,991</w:t>
            </w:r>
          </w:p>
        </w:tc>
        <w:tc>
          <w:tcPr>
            <w:tcW w:w="540" w:type="dxa"/>
            <w:vAlign w:val="bottom"/>
          </w:tcPr>
          <w:p>
            <w:pPr>
              <w:jc w:val="right"/>
              <w:spacing w:after="0"/>
              <w:rPr>
                <w:sz w:val="20"/>
                <w:szCs w:val="20"/>
                <w:color w:val="auto"/>
              </w:rPr>
            </w:pPr>
            <w:r>
              <w:rPr>
                <w:rFonts w:ascii="Arial" w:cs="Arial" w:eastAsia="Arial" w:hAnsi="Arial"/>
                <w:sz w:val="11"/>
                <w:szCs w:val="11"/>
                <w:color w:val="auto"/>
              </w:rPr>
              <w:t>8,838,991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40" w:type="dxa"/>
            <w:vAlign w:val="bottom"/>
            <w:shd w:val="clear" w:color="auto" w:fill="CCFFCC"/>
          </w:tcPr>
          <w:p>
            <w:pPr>
              <w:spacing w:after="0" w:line="125" w:lineRule="exact"/>
              <w:rPr>
                <w:sz w:val="20"/>
                <w:szCs w:val="20"/>
                <w:color w:val="auto"/>
              </w:rPr>
            </w:pPr>
            <w:r>
              <w:rPr>
                <w:rFonts w:ascii="Arial" w:cs="Arial" w:eastAsia="Arial" w:hAnsi="Arial"/>
                <w:sz w:val="11"/>
                <w:szCs w:val="11"/>
                <w:color w:val="auto"/>
                <w:w w:val="95"/>
              </w:rPr>
              <w:t>Financial liabilities designated at fair value through profit</w:t>
            </w: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60" w:type="dxa"/>
            <w:vAlign w:val="bottom"/>
            <w:tcBorders>
              <w:right w:val="single" w:sz="8" w:color="CCFFCC"/>
            </w:tcBorders>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4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40" w:type="dxa"/>
            <w:vAlign w:val="bottom"/>
            <w:shd w:val="clear" w:color="auto" w:fill="CCFFCC"/>
          </w:tcPr>
          <w:p>
            <w:pPr>
              <w:ind w:left="160"/>
              <w:spacing w:after="0"/>
              <w:rPr>
                <w:sz w:val="20"/>
                <w:szCs w:val="20"/>
                <w:color w:val="auto"/>
              </w:rPr>
            </w:pPr>
            <w:r>
              <w:rPr>
                <w:rFonts w:ascii="Arial" w:cs="Arial" w:eastAsia="Arial" w:hAnsi="Arial"/>
                <w:sz w:val="11"/>
                <w:szCs w:val="11"/>
                <w:color w:val="auto"/>
              </w:rPr>
              <w:t>and loss</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50,561</w:t>
            </w:r>
          </w:p>
        </w:tc>
        <w:tc>
          <w:tcPr>
            <w:tcW w:w="1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50,561</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Due to banks and correspondents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1,453,261</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1,453,261</w:t>
            </w:r>
          </w:p>
        </w:tc>
        <w:tc>
          <w:tcPr>
            <w:tcW w:w="8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570,989</w:t>
            </w:r>
          </w:p>
        </w:tc>
        <w:tc>
          <w:tcPr>
            <w:tcW w:w="540" w:type="dxa"/>
            <w:vAlign w:val="bottom"/>
          </w:tcPr>
          <w:p>
            <w:pPr>
              <w:jc w:val="right"/>
              <w:spacing w:after="0"/>
              <w:rPr>
                <w:sz w:val="20"/>
                <w:szCs w:val="20"/>
                <w:color w:val="auto"/>
              </w:rPr>
            </w:pPr>
            <w:r>
              <w:rPr>
                <w:rFonts w:ascii="Arial" w:cs="Arial" w:eastAsia="Arial" w:hAnsi="Arial"/>
                <w:sz w:val="11"/>
                <w:szCs w:val="11"/>
                <w:color w:val="auto"/>
              </w:rPr>
              <w:t>570,989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1"/>
                <w:szCs w:val="11"/>
                <w:color w:val="auto"/>
              </w:rPr>
              <w:t>Due from customers on acceptances</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35,901</w:t>
            </w: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35,901</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45,129</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45,129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Accounts payable to re-insurers and co-insurers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21,914</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21,914</w:t>
            </w:r>
          </w:p>
        </w:tc>
        <w:tc>
          <w:tcPr>
            <w:tcW w:w="8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25,134</w:t>
            </w:r>
          </w:p>
        </w:tc>
        <w:tc>
          <w:tcPr>
            <w:tcW w:w="540" w:type="dxa"/>
            <w:vAlign w:val="bottom"/>
          </w:tcPr>
          <w:p>
            <w:pPr>
              <w:jc w:val="right"/>
              <w:spacing w:after="0"/>
              <w:rPr>
                <w:sz w:val="20"/>
                <w:szCs w:val="20"/>
                <w:color w:val="auto"/>
              </w:rPr>
            </w:pPr>
            <w:r>
              <w:rPr>
                <w:rFonts w:ascii="Arial" w:cs="Arial" w:eastAsia="Arial" w:hAnsi="Arial"/>
                <w:sz w:val="11"/>
                <w:szCs w:val="11"/>
                <w:color w:val="auto"/>
              </w:rPr>
              <w:t>25,134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1"/>
                <w:szCs w:val="11"/>
                <w:color w:val="auto"/>
              </w:rPr>
              <w:t>Borrowed funds</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870,404</w:t>
            </w: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870,404</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370,612</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370,612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Bonds and subordinated notes issued</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702,298</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702,298</w:t>
            </w:r>
          </w:p>
        </w:tc>
        <w:tc>
          <w:tcPr>
            <w:tcW w:w="8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512,572</w:t>
            </w:r>
          </w:p>
        </w:tc>
        <w:tc>
          <w:tcPr>
            <w:tcW w:w="540" w:type="dxa"/>
            <w:vAlign w:val="bottom"/>
          </w:tcPr>
          <w:p>
            <w:pPr>
              <w:jc w:val="right"/>
              <w:spacing w:after="0"/>
              <w:rPr>
                <w:sz w:val="20"/>
                <w:szCs w:val="20"/>
                <w:color w:val="auto"/>
              </w:rPr>
            </w:pPr>
            <w:r>
              <w:rPr>
                <w:rFonts w:ascii="Arial" w:cs="Arial" w:eastAsia="Arial" w:hAnsi="Arial"/>
                <w:sz w:val="11"/>
                <w:szCs w:val="11"/>
                <w:color w:val="auto"/>
              </w:rPr>
              <w:t>512,572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1"/>
                <w:szCs w:val="11"/>
                <w:color w:val="auto"/>
              </w:rPr>
              <w:t>Other liabilities, note 13</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69,662</w:t>
            </w:r>
          </w:p>
        </w:tc>
        <w:tc>
          <w:tcPr>
            <w:tcW w:w="100" w:type="dxa"/>
            <w:vAlign w:val="bottom"/>
            <w:tcBorders>
              <w:bottom w:val="single" w:sz="8" w:color="CCFFCC"/>
            </w:tcBorders>
            <w:shd w:val="clear" w:color="auto" w:fill="CCFFCC"/>
          </w:tcPr>
          <w:p>
            <w:pPr>
              <w:spacing w:after="0"/>
              <w:rPr>
                <w:sz w:val="14"/>
                <w:szCs w:val="14"/>
                <w:color w:val="auto"/>
              </w:rPr>
            </w:pPr>
          </w:p>
        </w:tc>
        <w:tc>
          <w:tcPr>
            <w:tcW w:w="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389,314</w:t>
            </w:r>
          </w:p>
        </w:tc>
        <w:tc>
          <w:tcPr>
            <w:tcW w:w="100" w:type="dxa"/>
            <w:vAlign w:val="bottom"/>
            <w:tcBorders>
              <w:bottom w:val="single" w:sz="8" w:color="CCFFCC"/>
            </w:tcBorders>
            <w:shd w:val="clear" w:color="auto" w:fill="CCFFCC"/>
          </w:tcPr>
          <w:p>
            <w:pPr>
              <w:spacing w:after="0"/>
              <w:rPr>
                <w:sz w:val="14"/>
                <w:szCs w:val="14"/>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458,976</w:t>
            </w:r>
          </w:p>
        </w:tc>
        <w:tc>
          <w:tcPr>
            <w:tcW w:w="86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7,774</w:t>
            </w:r>
          </w:p>
        </w:tc>
        <w:tc>
          <w:tcPr>
            <w:tcW w:w="760" w:type="dxa"/>
            <w:vAlign w:val="bottom"/>
            <w:tcBorders>
              <w:bottom w:val="single" w:sz="8" w:color="CCFFCC"/>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FFCC"/>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257,742</w:t>
            </w:r>
          </w:p>
        </w:tc>
        <w:tc>
          <w:tcPr>
            <w:tcW w:w="54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265,516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4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69,662</w:t>
            </w:r>
          </w:p>
        </w:tc>
        <w:tc>
          <w:tcPr>
            <w:tcW w:w="10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50,561</w:t>
            </w:r>
          </w:p>
        </w:tc>
        <w:tc>
          <w:tcPr>
            <w:tcW w:w="100" w:type="dxa"/>
            <w:vAlign w:val="bottom"/>
            <w:shd w:val="clear" w:color="auto" w:fill="CCFFCC"/>
          </w:tcPr>
          <w:p>
            <w:pPr>
              <w:spacing w:after="0"/>
              <w:rPr>
                <w:sz w:val="13"/>
                <w:szCs w:val="13"/>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14,823,806</w:t>
            </w:r>
          </w:p>
        </w:tc>
        <w:tc>
          <w:tcPr>
            <w:tcW w:w="100" w:type="dxa"/>
            <w:vAlign w:val="bottom"/>
            <w:shd w:val="clear" w:color="auto" w:fill="CCFFCC"/>
          </w:tcPr>
          <w:p>
            <w:pPr>
              <w:spacing w:after="0"/>
              <w:rPr>
                <w:sz w:val="13"/>
                <w:szCs w:val="13"/>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14,944,029</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7,774</w:t>
            </w:r>
          </w:p>
        </w:tc>
        <w:tc>
          <w:tcPr>
            <w:tcW w:w="76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10,621,169</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w w:val="90"/>
              </w:rPr>
              <w:t>10,628,943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6874510</wp:posOffset>
            </wp:positionH>
            <wp:positionV relativeFrom="paragraph">
              <wp:posOffset>-213995</wp:posOffset>
            </wp:positionV>
            <wp:extent cx="3429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-213995</wp:posOffset>
            </wp:positionV>
            <wp:extent cx="1714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 cy="26035"/>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-25400</wp:posOffset>
            </wp:positionV>
            <wp:extent cx="34290"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-25400</wp:posOffset>
            </wp:positionV>
            <wp:extent cx="1714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 cy="2603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7" w:lineRule="exact"/>
        <w:rPr>
          <w:rFonts w:ascii="Arial" w:cs="Arial" w:eastAsia="Arial" w:hAnsi="Arial"/>
          <w:sz w:val="18"/>
          <w:szCs w:val="18"/>
          <w:b w:val="1"/>
          <w:bCs w:val="1"/>
          <w:color w:val="auto"/>
        </w:rPr>
      </w:pPr>
    </w:p>
    <w:p>
      <w:pPr>
        <w:ind w:left="500" w:right="2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involved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43" w:lineRule="exact"/>
        <w:rPr>
          <w:rFonts w:ascii="Arial" w:cs="Arial" w:eastAsia="Arial" w:hAnsi="Arial"/>
          <w:sz w:val="18"/>
          <w:szCs w:val="18"/>
          <w:b w:val="1"/>
          <w:bCs w:val="1"/>
          <w:color w:val="auto"/>
        </w:rPr>
      </w:pPr>
    </w:p>
    <w:p>
      <w:pPr>
        <w:ind w:left="50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the Group also enters into guarantees and other commitments such as letters of credit and performance.</w:t>
      </w:r>
    </w:p>
    <w:p>
      <w:pPr>
        <w:spacing w:after="0" w:line="235" w:lineRule="exact"/>
        <w:rPr>
          <w:rFonts w:ascii="Arial" w:cs="Arial" w:eastAsia="Arial" w:hAnsi="Arial"/>
          <w:sz w:val="18"/>
          <w:szCs w:val="18"/>
          <w:b w:val="1"/>
          <w:bCs w:val="1"/>
          <w:color w:val="auto"/>
        </w:rPr>
      </w:pPr>
    </w:p>
    <w:p>
      <w:pPr>
        <w:ind w:left="50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w:t>
      </w:r>
    </w:p>
    <w:p>
      <w:pPr>
        <w:spacing w:after="0" w:line="224"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credit risk, liquidity risk and market risk, the latter being subdivided into trading and non-trading risks. It is also subject to operating risks.</w:t>
      </w:r>
    </w:p>
    <w:p>
      <w:pPr>
        <w:spacing w:after="0" w:line="240" w:lineRule="exact"/>
        <w:rPr>
          <w:rFonts w:ascii="Arial" w:cs="Arial" w:eastAsia="Arial" w:hAnsi="Arial"/>
          <w:sz w:val="18"/>
          <w:szCs w:val="18"/>
          <w:b w:val="1"/>
          <w:bCs w:val="1"/>
          <w:color w:val="auto"/>
        </w:rPr>
      </w:pPr>
    </w:p>
    <w:p>
      <w:pPr>
        <w:ind w:left="5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224" w:lineRule="exact"/>
        <w:rPr>
          <w:rFonts w:ascii="Arial" w:cs="Arial" w:eastAsia="Arial" w:hAnsi="Arial"/>
          <w:sz w:val="18"/>
          <w:szCs w:val="18"/>
          <w:b w:val="1"/>
          <w:bCs w:val="1"/>
          <w:color w:val="auto"/>
        </w:rPr>
      </w:pPr>
    </w:p>
    <w:p>
      <w:pPr>
        <w:ind w:left="820" w:hanging="326"/>
        <w:spacing w:after="0"/>
        <w:tabs>
          <w:tab w:leader="none" w:pos="8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3" w:lineRule="exact"/>
        <w:rPr>
          <w:rFonts w:ascii="Arial" w:cs="Arial" w:eastAsia="Arial" w:hAnsi="Arial"/>
          <w:sz w:val="18"/>
          <w:szCs w:val="18"/>
          <w:color w:val="auto"/>
        </w:rPr>
      </w:pPr>
    </w:p>
    <w:p>
      <w:pPr>
        <w:ind w:left="820" w:right="20"/>
        <w:spacing w:after="0" w:line="255" w:lineRule="auto"/>
        <w:rPr>
          <w:rFonts w:ascii="Arial" w:cs="Arial" w:eastAsia="Arial" w:hAnsi="Arial"/>
          <w:sz w:val="18"/>
          <w:szCs w:val="18"/>
          <w:color w:val="auto"/>
        </w:rPr>
      </w:pPr>
      <w:r>
        <w:rPr>
          <w:rFonts w:ascii="Arial" w:cs="Arial" w:eastAsia="Arial" w:hAnsi="Arial"/>
          <w:sz w:val="18"/>
          <w:szCs w:val="18"/>
          <w:color w:val="auto"/>
        </w:rPr>
        <w:t>The Board of Directors of the Group and of each subsidiary is ultimately responsible for identifying and controlling risks; however, there are separate independent bodies in the major subsidiaries (BCP, PPS and ASH) responsible for managing and monitoring risks, as further explained to follow:</w:t>
      </w:r>
    </w:p>
    <w:p>
      <w:pPr>
        <w:spacing w:after="0" w:line="244" w:lineRule="exact"/>
        <w:rPr>
          <w:rFonts w:ascii="Arial" w:cs="Arial" w:eastAsia="Arial" w:hAnsi="Arial"/>
          <w:sz w:val="18"/>
          <w:szCs w:val="18"/>
          <w:color w:val="auto"/>
        </w:rPr>
      </w:pPr>
    </w:p>
    <w:p>
      <w:pPr>
        <w:ind w:left="1140" w:hanging="322"/>
        <w:spacing w:after="0"/>
        <w:tabs>
          <w:tab w:leader="none" w:pos="1140" w:val="left"/>
        </w:tabs>
        <w:numPr>
          <w:ilvl w:val="2"/>
          <w:numId w:val="222"/>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3" w:lineRule="exact"/>
        <w:rPr>
          <w:rFonts w:ascii="Arial" w:cs="Arial" w:eastAsia="Arial" w:hAnsi="Arial"/>
          <w:sz w:val="18"/>
          <w:szCs w:val="18"/>
          <w:color w:val="auto"/>
        </w:rPr>
      </w:pPr>
    </w:p>
    <w:p>
      <w:pPr>
        <w:ind w:left="1140" w:right="60"/>
        <w:spacing w:after="0" w:line="254"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800" w:hanging="658"/>
        <w:spacing w:after="0"/>
        <w:tabs>
          <w:tab w:leader="none" w:pos="18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3" w:lineRule="exact"/>
        <w:rPr>
          <w:rFonts w:ascii="Arial" w:cs="Arial" w:eastAsia="Arial" w:hAnsi="Arial"/>
          <w:sz w:val="18"/>
          <w:szCs w:val="18"/>
          <w:color w:val="auto"/>
        </w:rPr>
      </w:pPr>
    </w:p>
    <w:p>
      <w:pPr>
        <w:ind w:left="1800" w:right="28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to be used in mitigating risks as well as setting forth the overall principles, policies and limits for the different type of risk that face the Group. It is responsible for monitoring fundamental risk issues and manages and monitors the relevant risk decisions.</w:t>
      </w:r>
    </w:p>
    <w:p>
      <w:pPr>
        <w:spacing w:after="0" w:line="244" w:lineRule="exact"/>
        <w:rPr>
          <w:rFonts w:ascii="Arial" w:cs="Arial" w:eastAsia="Arial" w:hAnsi="Arial"/>
          <w:sz w:val="18"/>
          <w:szCs w:val="18"/>
          <w:color w:val="auto"/>
        </w:rPr>
      </w:pPr>
    </w:p>
    <w:p>
      <w:pPr>
        <w:ind w:left="1800" w:hanging="658"/>
        <w:spacing w:after="0"/>
        <w:tabs>
          <w:tab w:leader="none" w:pos="18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3" w:lineRule="exact"/>
        <w:rPr>
          <w:rFonts w:ascii="Arial" w:cs="Arial" w:eastAsia="Arial" w:hAnsi="Arial"/>
          <w:sz w:val="18"/>
          <w:szCs w:val="18"/>
          <w:color w:val="auto"/>
        </w:rPr>
      </w:pPr>
    </w:p>
    <w:p>
      <w:pPr>
        <w:ind w:left="1800" w:right="42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244" w:lineRule="exact"/>
        <w:rPr>
          <w:rFonts w:ascii="Arial" w:cs="Arial" w:eastAsia="Arial" w:hAnsi="Arial"/>
          <w:sz w:val="18"/>
          <w:szCs w:val="18"/>
          <w:color w:val="auto"/>
        </w:rPr>
      </w:pPr>
    </w:p>
    <w:p>
      <w:pPr>
        <w:ind w:left="1800" w:hanging="658"/>
        <w:spacing w:after="0"/>
        <w:tabs>
          <w:tab w:leader="none" w:pos="18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3" w:lineRule="exact"/>
        <w:rPr>
          <w:rFonts w:ascii="Arial" w:cs="Arial" w:eastAsia="Arial" w:hAnsi="Arial"/>
          <w:sz w:val="18"/>
          <w:szCs w:val="18"/>
          <w:color w:val="auto"/>
        </w:rPr>
      </w:pPr>
    </w:p>
    <w:p>
      <w:pPr>
        <w:ind w:left="1800"/>
        <w:spacing w:after="0" w:line="277" w:lineRule="auto"/>
        <w:rPr>
          <w:rFonts w:ascii="Arial" w:cs="Arial" w:eastAsia="Arial" w:hAnsi="Arial"/>
          <w:sz w:val="18"/>
          <w:szCs w:val="18"/>
          <w:color w:val="auto"/>
        </w:rPr>
      </w:pPr>
      <w:r>
        <w:rPr>
          <w:rFonts w:ascii="Arial" w:cs="Arial" w:eastAsia="Arial" w:hAnsi="Arial"/>
          <w:sz w:val="17"/>
          <w:szCs w:val="17"/>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the Credicorp’s Audit Committee and the Board of Directors.</w:t>
      </w:r>
    </w:p>
    <w:p>
      <w:pPr>
        <w:spacing w:after="0" w:line="227" w:lineRule="exact"/>
        <w:rPr>
          <w:rFonts w:ascii="Arial" w:cs="Arial" w:eastAsia="Arial" w:hAnsi="Arial"/>
          <w:sz w:val="18"/>
          <w:szCs w:val="18"/>
          <w:color w:val="auto"/>
        </w:rPr>
      </w:pPr>
    </w:p>
    <w:p>
      <w:pPr>
        <w:ind w:left="1800" w:hanging="658"/>
        <w:spacing w:after="0"/>
        <w:tabs>
          <w:tab w:leader="none" w:pos="18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3" w:lineRule="exact"/>
        <w:rPr>
          <w:rFonts w:ascii="Arial" w:cs="Arial" w:eastAsia="Arial" w:hAnsi="Arial"/>
          <w:sz w:val="18"/>
          <w:szCs w:val="18"/>
          <w:color w:val="auto"/>
        </w:rPr>
      </w:pPr>
    </w:p>
    <w:p>
      <w:pPr>
        <w:ind w:left="1800" w:right="260"/>
        <w:spacing w:after="0" w:line="254" w:lineRule="auto"/>
        <w:rPr>
          <w:rFonts w:ascii="Arial" w:cs="Arial" w:eastAsia="Arial" w:hAnsi="Arial"/>
          <w:sz w:val="18"/>
          <w:szCs w:val="18"/>
          <w:color w:val="auto"/>
        </w:rPr>
      </w:pPr>
      <w:r>
        <w:rPr>
          <w:rFonts w:ascii="Arial" w:cs="Arial" w:eastAsia="Arial" w:hAnsi="Arial"/>
          <w:sz w:val="18"/>
          <w:szCs w:val="18"/>
          <w:color w:val="auto"/>
        </w:rPr>
        <w:t>Treasury Department is responsible for managing the Group’s assets and liabilities and the overall financial structure. It is also primarily responsible for the management of funding and liquidity risks of the Group as well as the investment, forward and spot portfolios, assuming the related liquidity, interest rate and exchange rate risks, under the policies and limits currently effective and established by the Group.</w:t>
      </w:r>
    </w:p>
    <w:p>
      <w:pPr>
        <w:spacing w:after="0" w:line="243" w:lineRule="exact"/>
        <w:rPr>
          <w:rFonts w:ascii="Arial" w:cs="Arial" w:eastAsia="Arial" w:hAnsi="Arial"/>
          <w:sz w:val="18"/>
          <w:szCs w:val="18"/>
          <w:color w:val="auto"/>
        </w:rPr>
      </w:pPr>
    </w:p>
    <w:p>
      <w:pPr>
        <w:ind w:left="1140" w:hanging="646"/>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243" w:lineRule="exact"/>
        <w:rPr>
          <w:rFonts w:ascii="Arial" w:cs="Arial" w:eastAsia="Arial" w:hAnsi="Arial"/>
          <w:sz w:val="18"/>
          <w:szCs w:val="18"/>
          <w:color w:val="auto"/>
        </w:rPr>
      </w:pPr>
    </w:p>
    <w:p>
      <w:pPr>
        <w:ind w:left="1140" w:right="260"/>
        <w:spacing w:after="0" w:line="286" w:lineRule="auto"/>
        <w:rPr>
          <w:rFonts w:ascii="Arial" w:cs="Arial" w:eastAsia="Arial" w:hAnsi="Arial"/>
          <w:sz w:val="18"/>
          <w:szCs w:val="18"/>
          <w:color w:val="auto"/>
        </w:rPr>
      </w:pPr>
      <w:r>
        <w:rPr>
          <w:rFonts w:ascii="Arial" w:cs="Arial" w:eastAsia="Arial" w:hAnsi="Arial"/>
          <w:sz w:val="17"/>
          <w:szCs w:val="17"/>
          <w:color w:val="auto"/>
        </w:rPr>
        <w:t>Monitoring and controlling risks is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219" w:lineRule="exact"/>
        <w:rPr>
          <w:rFonts w:ascii="Arial" w:cs="Arial" w:eastAsia="Arial" w:hAnsi="Arial"/>
          <w:sz w:val="18"/>
          <w:szCs w:val="18"/>
          <w:color w:val="auto"/>
        </w:rPr>
      </w:pPr>
    </w:p>
    <w:p>
      <w:pPr>
        <w:ind w:left="1140" w:right="200"/>
        <w:spacing w:after="0" w:line="302" w:lineRule="auto"/>
        <w:rPr>
          <w:rFonts w:ascii="Arial" w:cs="Arial" w:eastAsia="Arial" w:hAnsi="Arial"/>
          <w:sz w:val="18"/>
          <w:szCs w:val="18"/>
          <w:color w:val="auto"/>
        </w:rPr>
      </w:pPr>
      <w:r>
        <w:rPr>
          <w:rFonts w:ascii="Arial" w:cs="Arial" w:eastAsia="Arial" w:hAnsi="Arial"/>
          <w:sz w:val="16"/>
          <w:szCs w:val="16"/>
          <w:color w:val="auto"/>
        </w:rPr>
        <w:t>Information compiled from all the Group’s subsidiaries is examined and processed in order to analyze, control and identify early risks.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assesses the appropriateness of the allowance for credit losses on a quarterly basis.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646"/>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3" w:lineRule="exact"/>
        <w:rPr>
          <w:rFonts w:ascii="Arial" w:cs="Arial" w:eastAsia="Arial" w:hAnsi="Arial"/>
          <w:sz w:val="18"/>
          <w:szCs w:val="18"/>
          <w:color w:val="auto"/>
        </w:rPr>
      </w:pPr>
    </w:p>
    <w:p>
      <w:pPr>
        <w:ind w:left="1140" w:right="520"/>
        <w:spacing w:after="0" w:line="261" w:lineRule="auto"/>
        <w:rPr>
          <w:rFonts w:ascii="Arial" w:cs="Arial" w:eastAsia="Arial" w:hAnsi="Arial"/>
          <w:sz w:val="18"/>
          <w:szCs w:val="18"/>
          <w:color w:val="auto"/>
        </w:rPr>
      </w:pPr>
      <w:r>
        <w:rPr>
          <w:rFonts w:ascii="Arial" w:cs="Arial" w:eastAsia="Arial" w:hAnsi="Arial"/>
          <w:sz w:val="18"/>
          <w:szCs w:val="18"/>
          <w:color w:val="auto"/>
        </w:rPr>
        <w:t>As part of its overall risk management, the Group uses derivatives and other instruments to manage exposures resulting from change in interest rates, foreign currencies, equity risk and credit risk.</w:t>
      </w:r>
    </w:p>
    <w:p>
      <w:pPr>
        <w:spacing w:after="0" w:line="237" w:lineRule="exact"/>
        <w:rPr>
          <w:rFonts w:ascii="Arial" w:cs="Arial" w:eastAsia="Arial" w:hAnsi="Arial"/>
          <w:sz w:val="18"/>
          <w:szCs w:val="18"/>
          <w:color w:val="auto"/>
        </w:rPr>
      </w:pPr>
    </w:p>
    <w:p>
      <w:pPr>
        <w:ind w:left="1140" w:right="60"/>
        <w:spacing w:after="0" w:line="279" w:lineRule="auto"/>
        <w:rPr>
          <w:rFonts w:ascii="Arial" w:cs="Arial" w:eastAsia="Arial" w:hAnsi="Arial"/>
          <w:sz w:val="18"/>
          <w:szCs w:val="18"/>
          <w:color w:val="auto"/>
        </w:rPr>
      </w:pPr>
      <w:r>
        <w:rPr>
          <w:rFonts w:ascii="Arial" w:cs="Arial" w:eastAsia="Arial" w:hAnsi="Arial"/>
          <w:sz w:val="17"/>
          <w:szCs w:val="17"/>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by the unit monthly. In situations of ineffectiveness, the Group will enter into a new hedge relationship to mitigate risk on a continuous basis.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Group actively uses collateral to reduce its credit risks.</w:t>
      </w:r>
    </w:p>
    <w:p>
      <w:pPr>
        <w:spacing w:after="0" w:line="279" w:lineRule="exact"/>
        <w:rPr>
          <w:rFonts w:ascii="Arial" w:cs="Arial" w:eastAsia="Arial" w:hAnsi="Arial"/>
          <w:sz w:val="18"/>
          <w:szCs w:val="18"/>
          <w:color w:val="auto"/>
        </w:rPr>
      </w:pPr>
    </w:p>
    <w:p>
      <w:pPr>
        <w:ind w:left="1140" w:hanging="646"/>
        <w:spacing w:after="0"/>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244"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Credit risk -</w:t>
      </w:r>
    </w:p>
    <w:p>
      <w:pPr>
        <w:spacing w:after="0" w:line="27" w:lineRule="exact"/>
        <w:rPr>
          <w:sz w:val="20"/>
          <w:szCs w:val="20"/>
          <w:color w:val="auto"/>
        </w:rPr>
      </w:pPr>
    </w:p>
    <w:p>
      <w:pPr>
        <w:ind w:left="1140" w:right="60" w:hanging="646"/>
        <w:spacing w:after="0" w:line="252" w:lineRule="auto"/>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Group takes on exposure to credit risk, which is the risk that a counterparty will cause a financial loss for the Group by failing to discharge an obligation. Credit risk is the most important risk for the Group’s business; management therefore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which expose the Group to similar risks to loans and these are mitigated by the same control processes and policies. Likewise, credit risk arising from derivative financial instruments is, at any time, limited to those with positive fair values, as recorded in the consolidated balance sheet.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Impairment provisions are provided for losses that have been incurred at the consolidated balance sheet date. Significant changes in the economy or in the particular situation of an industry segment that represents a concentration in the Group’s portfolio could result in losses that are different from those provided for at the balance consolidated sheet date.</w:t>
      </w:r>
    </w:p>
    <w:p>
      <w:pPr>
        <w:spacing w:after="0" w:line="235" w:lineRule="exact"/>
        <w:rPr>
          <w:sz w:val="20"/>
          <w:szCs w:val="20"/>
          <w:color w:val="auto"/>
        </w:rPr>
      </w:pPr>
    </w:p>
    <w:p>
      <w:pPr>
        <w:jc w:val="both"/>
        <w:ind w:left="1140" w:right="360"/>
        <w:spacing w:after="0" w:line="312" w:lineRule="auto"/>
        <w:rPr>
          <w:sz w:val="20"/>
          <w:szCs w:val="20"/>
          <w:color w:val="auto"/>
        </w:rPr>
      </w:pPr>
      <w:r>
        <w:rPr>
          <w:rFonts w:ascii="Arial" w:cs="Arial" w:eastAsia="Arial" w:hAnsi="Arial"/>
          <w:sz w:val="16"/>
          <w:szCs w:val="16"/>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 frequent review. Limits in the level of credit risk by product, industry sector and by country are approved by the Board of Directors.</w:t>
      </w:r>
    </w:p>
    <w:p>
      <w:pPr>
        <w:spacing w:after="0" w:line="201" w:lineRule="exact"/>
        <w:rPr>
          <w:sz w:val="20"/>
          <w:szCs w:val="20"/>
          <w:color w:val="auto"/>
        </w:rPr>
      </w:pPr>
    </w:p>
    <w:p>
      <w:pPr>
        <w:ind w:left="1140" w:right="28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capital repayment obligations and by changing these lending limits where appropriate. Some other specific control and mitigation measures are outlined below:</w:t>
      </w:r>
    </w:p>
    <w:p>
      <w:pPr>
        <w:spacing w:after="0" w:line="235" w:lineRule="exact"/>
        <w:rPr>
          <w:sz w:val="20"/>
          <w:szCs w:val="20"/>
          <w:color w:val="auto"/>
        </w:rPr>
      </w:pPr>
    </w:p>
    <w:p>
      <w:pPr>
        <w:ind w:left="1620" w:hanging="478"/>
        <w:spacing w:after="0"/>
        <w:tabs>
          <w:tab w:leader="none" w:pos="1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3" w:lineRule="exact"/>
        <w:rPr>
          <w:rFonts w:ascii="Arial" w:cs="Arial" w:eastAsia="Arial" w:hAnsi="Arial"/>
          <w:sz w:val="18"/>
          <w:szCs w:val="18"/>
          <w:color w:val="auto"/>
        </w:rPr>
      </w:pPr>
    </w:p>
    <w:p>
      <w:pPr>
        <w:ind w:left="1620" w:right="220"/>
        <w:spacing w:after="0" w:line="253"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the taking of security for funds advances, which is common practice. The Group implements guidelines on the acceptability of specific classes of collateral or credit risk mitigation. The principal collateral types for loans and advances are mortgages over residential properties; liens over business assets such as premises, inventory and accounts receivable; liens over financial instruments such as debt securities and equities.</w:t>
      </w:r>
    </w:p>
    <w:p>
      <w:pPr>
        <w:spacing w:after="0" w:line="245" w:lineRule="exact"/>
        <w:rPr>
          <w:rFonts w:ascii="Arial" w:cs="Arial" w:eastAsia="Arial" w:hAnsi="Arial"/>
          <w:sz w:val="18"/>
          <w:szCs w:val="18"/>
          <w:color w:val="auto"/>
        </w:rPr>
      </w:pPr>
    </w:p>
    <w:p>
      <w:pPr>
        <w:ind w:left="1620" w:right="20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are generally unsecured. In addition, in order to minimize the credit loss the Group will seek additional collateral from the counterparty as soon as impairment indicators are noticed for the relevant individual loans and advances.</w:t>
      </w:r>
    </w:p>
    <w:p>
      <w:pPr>
        <w:spacing w:after="0" w:line="235" w:lineRule="exact"/>
        <w:rPr>
          <w:rFonts w:ascii="Arial" w:cs="Arial" w:eastAsia="Arial" w:hAnsi="Arial"/>
          <w:sz w:val="18"/>
          <w:szCs w:val="18"/>
          <w:color w:val="auto"/>
        </w:rPr>
      </w:pPr>
    </w:p>
    <w:p>
      <w:pPr>
        <w:ind w:left="1620" w:right="18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asset-backed securities and similar instruments, which are secured by portfolios of financial instruments.</w:t>
      </w:r>
    </w:p>
    <w:p>
      <w:pPr>
        <w:spacing w:after="0" w:line="235" w:lineRule="exact"/>
        <w:rPr>
          <w:rFonts w:ascii="Arial" w:cs="Arial" w:eastAsia="Arial" w:hAnsi="Arial"/>
          <w:sz w:val="18"/>
          <w:szCs w:val="18"/>
          <w:color w:val="auto"/>
        </w:rPr>
      </w:pPr>
    </w:p>
    <w:p>
      <w:pPr>
        <w:ind w:left="1620" w:right="180"/>
        <w:spacing w:after="0" w:line="279" w:lineRule="auto"/>
        <w:rPr>
          <w:rFonts w:ascii="Arial" w:cs="Arial" w:eastAsia="Arial" w:hAnsi="Arial"/>
          <w:sz w:val="18"/>
          <w:szCs w:val="18"/>
          <w:color w:val="auto"/>
        </w:rPr>
      </w:pPr>
      <w:r>
        <w:rPr>
          <w:rFonts w:ascii="Arial" w:cs="Arial" w:eastAsia="Arial" w:hAnsi="Arial"/>
          <w:sz w:val="17"/>
          <w:szCs w:val="17"/>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repossessed properties in an orderly fashion. The proceeds are used to reduce or repay the outstanding claim. In general, the Group does not occupy repossessed properties for business use.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620" w:hanging="478"/>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1620" w:right="120"/>
        <w:spacing w:after="0" w:line="270" w:lineRule="auto"/>
        <w:rPr>
          <w:rFonts w:ascii="Arial" w:cs="Arial" w:eastAsia="Arial" w:hAnsi="Arial"/>
          <w:sz w:val="18"/>
          <w:szCs w:val="18"/>
          <w:color w:val="auto"/>
        </w:rPr>
      </w:pPr>
      <w:r>
        <w:rPr>
          <w:rFonts w:ascii="Arial" w:cs="Arial" w:eastAsia="Arial" w:hAnsi="Arial"/>
          <w:sz w:val="17"/>
          <w:szCs w:val="17"/>
          <w:color w:val="auto"/>
        </w:rPr>
        <w:t>The Group maintains strict control limits on net open derivative positions (i.e., the difference between purchase and sale contracts), by both amount and term. At any one time, the amount subject to credit risk is limited to the current fair value of instruments that are favorable to the Group (ie, assets where their fair value is positive), which in relation to derivatives is only a small fraction of the contract, or notional values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232" w:lineRule="exact"/>
        <w:rPr>
          <w:rFonts w:ascii="Arial" w:cs="Arial" w:eastAsia="Arial" w:hAnsi="Arial"/>
          <w:sz w:val="18"/>
          <w:szCs w:val="18"/>
          <w:color w:val="auto"/>
        </w:rPr>
      </w:pPr>
    </w:p>
    <w:p>
      <w:pPr>
        <w:ind w:left="1620" w:right="38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equities is made in the expectation of a corresponding receipt in cash, securities or equities. Daily settlement limits are established for each counterparty to cover the aggregate of all settlement risk arising from the Group’s market transactions on any single day.</w:t>
      </w:r>
    </w:p>
    <w:p>
      <w:pPr>
        <w:spacing w:after="0" w:line="235" w:lineRule="exact"/>
        <w:rPr>
          <w:rFonts w:ascii="Arial" w:cs="Arial" w:eastAsia="Arial" w:hAnsi="Arial"/>
          <w:sz w:val="18"/>
          <w:szCs w:val="18"/>
          <w:color w:val="auto"/>
        </w:rPr>
      </w:pPr>
    </w:p>
    <w:p>
      <w:pPr>
        <w:ind w:left="1620" w:hanging="478"/>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3" w:lineRule="exact"/>
        <w:rPr>
          <w:rFonts w:ascii="Arial" w:cs="Arial" w:eastAsia="Arial" w:hAnsi="Arial"/>
          <w:sz w:val="18"/>
          <w:szCs w:val="18"/>
          <w:color w:val="auto"/>
        </w:rPr>
      </w:pPr>
    </w:p>
    <w:p>
      <w:pPr>
        <w:ind w:left="1620" w:right="40"/>
        <w:spacing w:after="0" w:line="253" w:lineRule="auto"/>
        <w:rPr>
          <w:rFonts w:ascii="Arial" w:cs="Arial" w:eastAsia="Arial" w:hAnsi="Arial"/>
          <w:sz w:val="18"/>
          <w:szCs w:val="18"/>
          <w:color w:val="auto"/>
        </w:rPr>
      </w:pPr>
      <w:r>
        <w:rPr>
          <w:rFonts w:ascii="Arial" w:cs="Arial" w:eastAsia="Arial" w:hAnsi="Arial"/>
          <w:sz w:val="18"/>
          <w:szCs w:val="18"/>
          <w:color w:val="auto"/>
        </w:rPr>
        <w:t>The primary purpose of these instruments is to ensure that funds are available to a customer as required. Guarantees and standby letters of credit carry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carry less risk than a direct loan. The Group is under no commitments to extend credit.</w:t>
      </w:r>
    </w:p>
    <w:p>
      <w:pPr>
        <w:spacing w:after="0" w:line="245" w:lineRule="exact"/>
        <w:rPr>
          <w:sz w:val="20"/>
          <w:szCs w:val="20"/>
          <w:color w:val="auto"/>
        </w:rPr>
      </w:pPr>
    </w:p>
    <w:p>
      <w:pPr>
        <w:ind w:left="1140" w:right="40"/>
        <w:spacing w:after="0" w:line="257" w:lineRule="auto"/>
        <w:rPr>
          <w:sz w:val="20"/>
          <w:szCs w:val="20"/>
          <w:color w:val="auto"/>
        </w:rPr>
      </w:pPr>
      <w:r>
        <w:rPr>
          <w:rFonts w:ascii="Arial" w:cs="Arial" w:eastAsia="Arial" w:hAnsi="Arial"/>
          <w:sz w:val="18"/>
          <w:szCs w:val="18"/>
          <w:color w:val="auto"/>
        </w:rPr>
        <w:t>In order to manage the credit risk, as part of the Risk Management Department of the Group, see note 31(a), exist a Risk Management Service which its major functions are implementing methodologies and statistical models for the measurement of credit risk exposures, developing and applying methodologies for the calculation of the risk-rated, both at the corporate and business unit levels, performing analysis of credit concentrations and verifying that the credit exposures are within the established limits. Also, suggesting the global risk exposures by economic sector, time term, among others.</w:t>
      </w:r>
    </w:p>
    <w:p>
      <w:pPr>
        <w:spacing w:after="0" w:line="242" w:lineRule="exact"/>
        <w:rPr>
          <w:sz w:val="20"/>
          <w:szCs w:val="20"/>
          <w:color w:val="auto"/>
        </w:rPr>
      </w:pPr>
    </w:p>
    <w:p>
      <w:pPr>
        <w:ind w:left="1140"/>
        <w:spacing w:after="0" w:line="279" w:lineRule="auto"/>
        <w:rPr>
          <w:sz w:val="20"/>
          <w:szCs w:val="20"/>
          <w:color w:val="auto"/>
        </w:rPr>
      </w:pPr>
      <w:r>
        <w:rPr>
          <w:rFonts w:ascii="Arial" w:cs="Arial" w:eastAsia="Arial" w:hAnsi="Arial"/>
          <w:sz w:val="17"/>
          <w:szCs w:val="17"/>
          <w:color w:val="auto"/>
        </w:rPr>
        <w:t>Also, a Risk Assessment Committee has been established comprising 3 directors, the Chief Executive Officer, the Chief Financial Officer, the Deputy Chief Executive Officer and the Risk Management Department Manager. Each of the financial indicators prepared by the Risk Management Service are analyzed by this committee on a quarterly basis to subsequently evaluate the policies, procedures and limits currently effective at the Group to make sure an efficient and effective risk management is always in place.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100"/>
        <w:spacing w:after="0" w:line="272" w:lineRule="auto"/>
        <w:rPr>
          <w:sz w:val="20"/>
          <w:szCs w:val="20"/>
          <w:color w:val="auto"/>
        </w:rPr>
      </w:pPr>
      <w:r>
        <w:rPr>
          <w:rFonts w:ascii="Arial" w:cs="Arial" w:eastAsia="Arial" w:hAnsi="Arial"/>
          <w:sz w:val="17"/>
          <w:szCs w:val="17"/>
          <w:color w:val="auto"/>
        </w:rPr>
        <w:t>At the same time, the Group has a Credit Division, which establishes the overall credit policies for each and all the businesses in which the Group decides to take part. These policies are set forth based on the guidelines established by the Board of Directors and keeping in mind the statutory financial laws and regulations. The main activities of this function are to establish the client credit standards and guidelines (evaluation, authorization and control), to follow the guidelines established by the Board of Directors and General Management as well as those established by governmental regulatory bodies, to review and authorize credit applications, up to the limit within the scope of its responsibilities and to submit to upper hierarchies those credit applications exceeding the established limits, to monitor credit-granting activities within the different autonomous bodies, among others.</w:t>
      </w:r>
    </w:p>
    <w:p>
      <w:pPr>
        <w:spacing w:after="0" w:line="232" w:lineRule="exact"/>
        <w:rPr>
          <w:sz w:val="20"/>
          <w:szCs w:val="20"/>
          <w:color w:val="auto"/>
        </w:rPr>
      </w:pPr>
    </w:p>
    <w:p>
      <w:pPr>
        <w:ind w:left="1140" w:hanging="646"/>
        <w:spacing w:after="0" w:line="342" w:lineRule="auto"/>
        <w:tabs>
          <w:tab w:leader="none" w:pos="11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table below shows the maximum exposure to credit risk for the components of the consolidated balance sheet, including derivatives at fair value as of December 31, 2007 and 2006. The maximum exposure is shown gross, before the effect of mitigation through any collateral: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1"/>
                <w:szCs w:val="21"/>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Cash and due from banks</w:t>
            </w:r>
          </w:p>
        </w:tc>
        <w:tc>
          <w:tcPr>
            <w:tcW w:w="1220" w:type="dxa"/>
            <w:vAlign w:val="bottom"/>
          </w:tcPr>
          <w:p>
            <w:pPr>
              <w:jc w:val="right"/>
              <w:spacing w:after="0"/>
              <w:rPr>
                <w:sz w:val="20"/>
                <w:szCs w:val="20"/>
                <w:color w:val="auto"/>
              </w:rPr>
            </w:pPr>
            <w:r>
              <w:rPr>
                <w:rFonts w:ascii="Arial" w:cs="Arial" w:eastAsia="Arial" w:hAnsi="Arial"/>
                <w:sz w:val="18"/>
                <w:szCs w:val="18"/>
                <w:color w:val="auto"/>
              </w:rPr>
              <w:t>3,073,865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2,733,530</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50,995</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45,136</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Investments available-for-sale</w:t>
            </w:r>
          </w:p>
        </w:tc>
        <w:tc>
          <w:tcPr>
            <w:tcW w:w="1220" w:type="dxa"/>
            <w:vAlign w:val="bottom"/>
          </w:tcPr>
          <w:p>
            <w:pPr>
              <w:jc w:val="right"/>
              <w:spacing w:after="0"/>
              <w:rPr>
                <w:sz w:val="20"/>
                <w:szCs w:val="20"/>
                <w:color w:val="auto"/>
              </w:rPr>
            </w:pPr>
            <w:r>
              <w:rPr>
                <w:rFonts w:ascii="Arial" w:cs="Arial" w:eastAsia="Arial" w:hAnsi="Arial"/>
                <w:sz w:val="18"/>
                <w:szCs w:val="18"/>
                <w:color w:val="auto"/>
              </w:rPr>
              <w:t>5,228,641</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3,450,711</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8,039,500</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5,736,823</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Financial assets designated at fair value through profit and loss</w:t>
            </w:r>
          </w:p>
        </w:tc>
        <w:tc>
          <w:tcPr>
            <w:tcW w:w="1220" w:type="dxa"/>
            <w:vAlign w:val="bottom"/>
          </w:tcPr>
          <w:p>
            <w:pPr>
              <w:jc w:val="right"/>
              <w:spacing w:after="0"/>
              <w:rPr>
                <w:sz w:val="20"/>
                <w:szCs w:val="20"/>
                <w:color w:val="auto"/>
              </w:rPr>
            </w:pPr>
            <w:r>
              <w:rPr>
                <w:rFonts w:ascii="Arial" w:cs="Arial" w:eastAsia="Arial" w:hAnsi="Arial"/>
                <w:sz w:val="18"/>
                <w:szCs w:val="18"/>
                <w:color w:val="auto"/>
              </w:rPr>
              <w:t>213,153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53,116</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85,495</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61,279</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Accounts receivable from re-insurers and co-insurers</w:t>
            </w:r>
          </w:p>
        </w:tc>
        <w:tc>
          <w:tcPr>
            <w:tcW w:w="1220" w:type="dxa"/>
            <w:vAlign w:val="bottom"/>
          </w:tcPr>
          <w:p>
            <w:pPr>
              <w:jc w:val="right"/>
              <w:spacing w:after="0"/>
              <w:rPr>
                <w:sz w:val="20"/>
                <w:szCs w:val="20"/>
                <w:color w:val="auto"/>
              </w:rPr>
            </w:pPr>
            <w:r>
              <w:rPr>
                <w:rFonts w:ascii="Arial" w:cs="Arial" w:eastAsia="Arial" w:hAnsi="Arial"/>
                <w:sz w:val="18"/>
                <w:szCs w:val="18"/>
                <w:color w:val="auto"/>
              </w:rPr>
              <w:t>116,141</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35,181</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35,901</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45,129</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Other assets, note 13</w:t>
            </w:r>
          </w:p>
        </w:tc>
        <w:tc>
          <w:tcPr>
            <w:tcW w:w="1220" w:type="dxa"/>
            <w:vAlign w:val="bottom"/>
          </w:tcPr>
          <w:p>
            <w:pPr>
              <w:jc w:val="right"/>
              <w:spacing w:after="0"/>
              <w:rPr>
                <w:sz w:val="20"/>
                <w:szCs w:val="20"/>
                <w:color w:val="auto"/>
              </w:rPr>
            </w:pPr>
            <w:r>
              <w:rPr>
                <w:rFonts w:ascii="Arial" w:cs="Arial" w:eastAsia="Arial" w:hAnsi="Arial"/>
                <w:sz w:val="18"/>
                <w:szCs w:val="18"/>
                <w:color w:val="auto"/>
              </w:rPr>
              <w:t>197,668</w:t>
            </w:r>
          </w:p>
        </w:tc>
        <w:tc>
          <w:tcPr>
            <w:tcW w:w="200" w:type="dxa"/>
            <w:vAlign w:val="bottom"/>
          </w:tcPr>
          <w:p>
            <w:pPr>
              <w:spacing w:after="0"/>
              <w:rPr>
                <w:sz w:val="23"/>
                <w:szCs w:val="2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117,764</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140" w:type="dxa"/>
            <w:vAlign w:val="bottom"/>
          </w:tcPr>
          <w:p>
            <w:pPr>
              <w:spacing w:after="0"/>
              <w:rPr>
                <w:sz w:val="22"/>
                <w:szCs w:val="22"/>
                <w:color w:val="auto"/>
              </w:rPr>
            </w:pPr>
          </w:p>
        </w:tc>
        <w:tc>
          <w:tcPr>
            <w:tcW w:w="5460" w:type="dxa"/>
            <w:vAlign w:val="bottom"/>
            <w:tcBorders>
              <w:bottom w:val="single" w:sz="8" w:color="CCFFCC"/>
            </w:tcBorders>
            <w:shd w:val="clear" w:color="auto" w:fill="CCFFCC"/>
          </w:tcPr>
          <w:p>
            <w:pPr>
              <w:spacing w:after="0"/>
              <w:rPr>
                <w:sz w:val="22"/>
                <w:szCs w:val="22"/>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17,041,359</w:t>
            </w:r>
          </w:p>
        </w:tc>
        <w:tc>
          <w:tcPr>
            <w:tcW w:w="200" w:type="dxa"/>
            <w:vAlign w:val="bottom"/>
            <w:tcBorders>
              <w:bottom w:val="single" w:sz="8" w:color="CCFFCC"/>
            </w:tcBorders>
            <w:shd w:val="clear" w:color="auto" w:fill="CCFFCC"/>
          </w:tcPr>
          <w:p>
            <w:pPr>
              <w:spacing w:after="0"/>
              <w:rPr>
                <w:sz w:val="22"/>
                <w:szCs w:val="22"/>
                <w:color w:val="auto"/>
              </w:rPr>
            </w:pPr>
          </w:p>
        </w:tc>
        <w:tc>
          <w:tcPr>
            <w:tcW w:w="13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12,278,669</w:t>
            </w: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46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Off-balance instruments</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Contingent credits</w:t>
            </w:r>
          </w:p>
        </w:tc>
        <w:tc>
          <w:tcPr>
            <w:tcW w:w="1220" w:type="dxa"/>
            <w:vAlign w:val="bottom"/>
          </w:tcPr>
          <w:p>
            <w:pPr>
              <w:jc w:val="right"/>
              <w:spacing w:after="0"/>
              <w:rPr>
                <w:sz w:val="20"/>
                <w:szCs w:val="20"/>
                <w:color w:val="auto"/>
              </w:rPr>
            </w:pPr>
            <w:r>
              <w:rPr>
                <w:rFonts w:ascii="Arial" w:cs="Arial" w:eastAsia="Arial" w:hAnsi="Arial"/>
                <w:sz w:val="18"/>
                <w:szCs w:val="18"/>
                <w:color w:val="auto"/>
              </w:rPr>
              <w:t>1,564,525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46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w:t>
            </w:r>
          </w:p>
        </w:tc>
        <w:tc>
          <w:tcPr>
            <w:tcW w:w="1220" w:type="dxa"/>
            <w:vAlign w:val="bottom"/>
          </w:tcPr>
          <w:p>
            <w:pPr>
              <w:jc w:val="right"/>
              <w:spacing w:after="0"/>
              <w:rPr>
                <w:sz w:val="20"/>
                <w:szCs w:val="20"/>
                <w:color w:val="auto"/>
              </w:rPr>
            </w:pPr>
            <w:r>
              <w:rPr>
                <w:rFonts w:ascii="Arial" w:cs="Arial" w:eastAsia="Arial" w:hAnsi="Arial"/>
                <w:sz w:val="18"/>
                <w:szCs w:val="18"/>
                <w:color w:val="auto"/>
              </w:rPr>
              <w:t>18,605,884</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13,734,045</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60" w:type="dxa"/>
            <w:vAlign w:val="bottom"/>
            <w:vMerge w:val="restart"/>
          </w:tcPr>
          <w:p>
            <w:pPr>
              <w:ind w:left="4400"/>
              <w:spacing w:after="0"/>
              <w:rPr>
                <w:sz w:val="20"/>
                <w:szCs w:val="20"/>
                <w:color w:val="auto"/>
              </w:rPr>
            </w:pPr>
            <w:r>
              <w:rPr>
                <w:rFonts w:ascii="Arial" w:cs="Arial" w:eastAsia="Arial" w:hAnsi="Arial"/>
                <w:sz w:val="18"/>
                <w:szCs w:val="18"/>
                <w:color w:val="auto"/>
              </w:rPr>
              <w:t>F-98</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20"/>
        <w:spacing w:after="0" w:line="272" w:lineRule="auto"/>
        <w:rPr>
          <w:sz w:val="20"/>
          <w:szCs w:val="20"/>
          <w:color w:val="auto"/>
        </w:rPr>
      </w:pPr>
      <w:r>
        <w:rPr>
          <w:rFonts w:ascii="Arial" w:cs="Arial" w:eastAsia="Arial" w:hAnsi="Arial"/>
          <w:sz w:val="17"/>
          <w:szCs w:val="17"/>
          <w:color w:val="auto"/>
        </w:rPr>
        <w:t>The above table represents a worse case scenario of credit risk exposure to the Group at December 31, 2007 and 2006, without taking account of any collateral held or other credit enhancements attached. For on-balance-sheet assets, the exposures set out above are based on net carrying amounts as reported in the consolidated balance sheets. As shown above, as of December 31, 2007, 52 percent of the total maximum exposure is derived from loans (52 percent as of December 31, 2006); 28 percent represents investments in trading securities and available for sale (25 percent as of December 31, 2006) and 17 percent represents cash and due from banks (20 percent as of December 31, 2006). Management is confident in its ability to continue to control and sustain minimal exposure of credit risk to the Group resulting from both its loan portfolio and investments based on the following:</w:t>
      </w:r>
    </w:p>
    <w:p>
      <w:pPr>
        <w:spacing w:after="0" w:line="232" w:lineRule="exact"/>
        <w:rPr>
          <w:sz w:val="20"/>
          <w:szCs w:val="20"/>
          <w:color w:val="auto"/>
        </w:rPr>
      </w:pPr>
    </w:p>
    <w:p>
      <w:pPr>
        <w:ind w:left="1460" w:right="60" w:hanging="318"/>
        <w:spacing w:after="0" w:line="277" w:lineRule="auto"/>
        <w:tabs>
          <w:tab w:leader="none" w:pos="14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97 percent of the loans portfolio is categorized in the top two grades of the internal rating system as of December 31, 2007 (96 percent as of December 31, 2006);</w:t>
      </w:r>
    </w:p>
    <w:p>
      <w:pPr>
        <w:spacing w:after="0" w:line="224" w:lineRule="exact"/>
        <w:rPr>
          <w:rFonts w:ascii="Arial" w:cs="Arial" w:eastAsia="Arial" w:hAnsi="Arial"/>
          <w:sz w:val="18"/>
          <w:szCs w:val="18"/>
          <w:color w:val="auto"/>
        </w:rPr>
      </w:pPr>
    </w:p>
    <w:p>
      <w:pPr>
        <w:ind w:left="1460" w:hanging="318"/>
        <w:spacing w:after="0" w:line="277" w:lineRule="auto"/>
        <w:tabs>
          <w:tab w:leader="none" w:pos="14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94 percent of the loan portfolio is considered to be neither past due nor impaired as of December 31, 2007 (93 percent as of December 31, 2006);</w:t>
      </w:r>
    </w:p>
    <w:p>
      <w:pPr>
        <w:spacing w:after="0" w:line="224" w:lineRule="exact"/>
        <w:rPr>
          <w:rFonts w:ascii="Arial" w:cs="Arial" w:eastAsia="Arial" w:hAnsi="Arial"/>
          <w:sz w:val="18"/>
          <w:szCs w:val="18"/>
          <w:color w:val="auto"/>
        </w:rPr>
      </w:pPr>
    </w:p>
    <w:p>
      <w:pPr>
        <w:ind w:left="1460" w:right="60" w:hanging="318"/>
        <w:spacing w:after="0" w:line="308" w:lineRule="auto"/>
        <w:tabs>
          <w:tab w:leader="none" w:pos="146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75 percent of the investments have at least investment grade credit rating (BBB- or higher) or are debt securities issued by Banco Central de Reserva del Peru - BCRP (not rated) as of December 31, 2007 (74 percent as of December 31, 2006); and</w:t>
      </w:r>
    </w:p>
    <w:p>
      <w:pPr>
        <w:spacing w:after="0" w:line="200" w:lineRule="exact"/>
        <w:rPr>
          <w:rFonts w:ascii="Arial" w:cs="Arial" w:eastAsia="Arial" w:hAnsi="Arial"/>
          <w:sz w:val="17"/>
          <w:szCs w:val="17"/>
          <w:color w:val="auto"/>
        </w:rPr>
      </w:pPr>
    </w:p>
    <w:p>
      <w:pPr>
        <w:ind w:left="1460" w:right="360" w:hanging="318"/>
        <w:spacing w:after="0" w:line="264" w:lineRule="auto"/>
        <w:tabs>
          <w:tab w:leader="none" w:pos="14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18 percent and 59 percent of the cash and due from banks represent amounts deposited in the vaults of the Group and in the Peruvian Central Bank (included overnight operations), respectively, as of December 31, 2007 (17 percent and 52 percent, respectively, as of December 31, 2006).</w:t>
      </w:r>
    </w:p>
    <w:p>
      <w:pPr>
        <w:spacing w:after="0" w:line="235" w:lineRule="exact"/>
        <w:rPr>
          <w:rFonts w:ascii="Arial" w:cs="Arial" w:eastAsia="Arial" w:hAnsi="Arial"/>
          <w:sz w:val="18"/>
          <w:szCs w:val="18"/>
          <w:color w:val="auto"/>
        </w:rPr>
      </w:pPr>
    </w:p>
    <w:p>
      <w:pPr>
        <w:ind w:left="1140" w:hanging="646"/>
        <w:spacing w:after="0"/>
        <w:tabs>
          <w:tab w:leader="none" w:pos="11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3" w:lineRule="exact"/>
        <w:rPr>
          <w:rFonts w:ascii="Arial" w:cs="Arial" w:eastAsia="Arial" w:hAnsi="Arial"/>
          <w:sz w:val="18"/>
          <w:szCs w:val="18"/>
          <w:color w:val="auto"/>
        </w:rPr>
      </w:pPr>
    </w:p>
    <w:p>
      <w:pPr>
        <w:ind w:left="1140" w:right="180"/>
        <w:spacing w:after="0" w:line="261" w:lineRule="auto"/>
        <w:rPr>
          <w:rFonts w:ascii="Arial" w:cs="Arial" w:eastAsia="Arial" w:hAnsi="Arial"/>
          <w:sz w:val="18"/>
          <w:szCs w:val="18"/>
          <w:color w:val="auto"/>
        </w:rPr>
      </w:pPr>
      <w:r>
        <w:rPr>
          <w:rFonts w:ascii="Arial" w:cs="Arial" w:eastAsia="Arial" w:hAnsi="Arial"/>
          <w:sz w:val="18"/>
          <w:szCs w:val="18"/>
          <w:color w:val="auto"/>
        </w:rPr>
        <w:t>Credicorp classifies all its loans into one of five risk categories, depending upon the degree of risk of non-payment of each loan. The grades used by Credicorp are: (i) normal, (ii) potential problems, (iii) substandard, (iv) doubtful and (v) loss.</w:t>
      </w:r>
    </w:p>
    <w:p>
      <w:pPr>
        <w:spacing w:after="0" w:line="23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five loan risk grades have the following characteristics:</w:t>
      </w:r>
    </w:p>
    <w:p>
      <w:pPr>
        <w:spacing w:after="0" w:line="279" w:lineRule="exact"/>
        <w:rPr>
          <w:rFonts w:ascii="Arial" w:cs="Arial" w:eastAsia="Arial" w:hAnsi="Arial"/>
          <w:sz w:val="18"/>
          <w:szCs w:val="18"/>
          <w:color w:val="auto"/>
        </w:rPr>
      </w:pPr>
    </w:p>
    <w:p>
      <w:pPr>
        <w:ind w:left="1140" w:right="20"/>
        <w:spacing w:after="0" w:line="284" w:lineRule="auto"/>
        <w:rPr>
          <w:rFonts w:ascii="Arial" w:cs="Arial" w:eastAsia="Arial" w:hAnsi="Arial"/>
          <w:sz w:val="18"/>
          <w:szCs w:val="18"/>
          <w:color w:val="auto"/>
        </w:rPr>
      </w:pPr>
      <w:r>
        <w:rPr>
          <w:rFonts w:ascii="Arial" w:cs="Arial" w:eastAsia="Arial" w:hAnsi="Arial"/>
          <w:sz w:val="16"/>
          <w:szCs w:val="16"/>
          <w:color w:val="auto"/>
        </w:rPr>
        <w:t>Normal (Class A): Debtors of commercial loans or credits that fall into this category have complied on a timely basis with their obligations and at the time of evaluation of the credit do not present any reason for doubt with respect to repayment of interest and principal on the agreed upon dates, and the Group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Consumer loans warrant Class A classification if payments are current or up to eight days past-due. Residential mortgage loans warrant Class A classification if payments are current or up to thirty days past-due.</w:t>
      </w:r>
    </w:p>
    <w:p>
      <w:pPr>
        <w:spacing w:after="0" w:line="4" w:lineRule="exact"/>
        <w:rPr>
          <w:rFonts w:ascii="Arial" w:cs="Arial" w:eastAsia="Arial" w:hAnsi="Arial"/>
          <w:sz w:val="18"/>
          <w:szCs w:val="18"/>
          <w:color w:val="auto"/>
        </w:rPr>
      </w:pPr>
    </w:p>
    <w:p>
      <w:pPr>
        <w:ind w:left="1140"/>
        <w:spacing w:after="0" w:line="267" w:lineRule="auto"/>
        <w:rPr>
          <w:rFonts w:ascii="Arial" w:cs="Arial" w:eastAsia="Arial" w:hAnsi="Arial"/>
          <w:sz w:val="18"/>
          <w:szCs w:val="18"/>
          <w:color w:val="auto"/>
        </w:rPr>
      </w:pPr>
      <w:r>
        <w:rPr>
          <w:rFonts w:ascii="Arial" w:cs="Arial" w:eastAsia="Arial" w:hAnsi="Arial"/>
          <w:sz w:val="17"/>
          <w:szCs w:val="17"/>
          <w:color w:val="auto"/>
        </w:rPr>
        <w:t>Potential problems (Class B): Debtors of commercial loans or credits included in this 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Consumer loans are categorized as Class B if payments are between 9 and 30 days late. Residential mortgage loans become Class B when payments are between 31 and 90 days late.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20"/>
        <w:spacing w:after="0" w:line="254" w:lineRule="auto"/>
        <w:rPr>
          <w:sz w:val="20"/>
          <w:szCs w:val="20"/>
          <w:color w:val="auto"/>
        </w:rPr>
      </w:pPr>
      <w:r>
        <w:rPr>
          <w:rFonts w:ascii="Arial" w:cs="Arial" w:eastAsia="Arial" w:hAnsi="Arial"/>
          <w:sz w:val="18"/>
          <w:szCs w:val="18"/>
          <w:color w:val="auto"/>
        </w:rPr>
        <w:t>Substandard (Class C): Debtors of commercial loans or credits whose loans or credits are 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If payments on a consumer loan are between 31 and 60 days late, such loans are classified as Class C. Residential mortgage loans are classified as Class C when payments are between 91 and 120 days late.</w:t>
      </w:r>
    </w:p>
    <w:p>
      <w:pPr>
        <w:spacing w:after="0" w:line="246" w:lineRule="exact"/>
        <w:rPr>
          <w:sz w:val="20"/>
          <w:szCs w:val="20"/>
          <w:color w:val="auto"/>
        </w:rPr>
      </w:pPr>
    </w:p>
    <w:p>
      <w:pPr>
        <w:ind w:left="1140"/>
        <w:spacing w:after="0" w:line="272" w:lineRule="auto"/>
        <w:rPr>
          <w:sz w:val="20"/>
          <w:szCs w:val="20"/>
          <w:color w:val="auto"/>
        </w:rPr>
      </w:pPr>
      <w:r>
        <w:rPr>
          <w:rFonts w:ascii="Arial" w:cs="Arial" w:eastAsia="Arial" w:hAnsi="Arial"/>
          <w:sz w:val="17"/>
          <w:szCs w:val="17"/>
          <w:color w:val="auto"/>
        </w:rPr>
        <w:t>Doubtful (Class D): Debtors of commercial loans or credits included in this 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232" w:lineRule="exact"/>
        <w:rPr>
          <w:sz w:val="20"/>
          <w:szCs w:val="20"/>
          <w:color w:val="auto"/>
        </w:rPr>
      </w:pPr>
    </w:p>
    <w:p>
      <w:pPr>
        <w:ind w:left="1140" w:right="180"/>
        <w:spacing w:after="0" w:line="279" w:lineRule="auto"/>
        <w:rPr>
          <w:sz w:val="20"/>
          <w:szCs w:val="20"/>
          <w:color w:val="auto"/>
        </w:rPr>
      </w:pPr>
      <w:r>
        <w:rPr>
          <w:rFonts w:ascii="Arial" w:cs="Arial" w:eastAsia="Arial" w:hAnsi="Arial"/>
          <w:sz w:val="17"/>
          <w:szCs w:val="17"/>
          <w:color w:val="auto"/>
        </w:rPr>
        <w:t>Loss credits (Class E): Commercial loans or credits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moved into Class E when payments are more than 365 days late.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grades.</w:t>
      </w:r>
    </w:p>
    <w:p>
      <w:pPr>
        <w:spacing w:after="0" w:line="279" w:lineRule="exact"/>
        <w:rPr>
          <w:sz w:val="20"/>
          <w:szCs w:val="20"/>
          <w:color w:val="auto"/>
        </w:rPr>
      </w:pPr>
    </w:p>
    <w:p>
      <w:pPr>
        <w:ind w:left="1140" w:right="260"/>
        <w:spacing w:after="0" w:line="342" w:lineRule="auto"/>
        <w:rPr>
          <w:sz w:val="20"/>
          <w:szCs w:val="20"/>
          <w:color w:val="auto"/>
        </w:rPr>
      </w:pPr>
      <w:r>
        <w:rPr>
          <w:rFonts w:ascii="Arial" w:cs="Arial" w:eastAsia="Arial" w:hAnsi="Arial"/>
          <w:sz w:val="16"/>
          <w:szCs w:val="16"/>
          <w:color w:val="auto"/>
        </w:rPr>
        <w:t>All loans considered impaired (the ones classified as substandard, doubtful and loss) are analyzed by the Groups’ management. The Group addresses impairment assessment in two areas: individually assessed allowances and collectively assessed allowances, as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3" w:lineRule="exact"/>
        <w:rPr>
          <w:sz w:val="20"/>
          <w:szCs w:val="20"/>
          <w:color w:val="auto"/>
        </w:rPr>
      </w:pPr>
    </w:p>
    <w:p>
      <w:pPr>
        <w:ind w:left="1620" w:right="120"/>
        <w:spacing w:after="0" w:line="292" w:lineRule="auto"/>
        <w:rPr>
          <w:sz w:val="20"/>
          <w:szCs w:val="20"/>
          <w:color w:val="auto"/>
        </w:rPr>
      </w:pPr>
      <w:r>
        <w:rPr>
          <w:rFonts w:ascii="Arial" w:cs="Arial" w:eastAsia="Arial" w:hAnsi="Arial"/>
          <w:sz w:val="16"/>
          <w:szCs w:val="16"/>
          <w:color w:val="auto"/>
        </w:rPr>
        <w:t>The Group determines the allowances appropriate for each individually significant loan or advance on an individual basis. Items considered when determining allowance amounts include the sustainability of the counterparty’s business plan, its ability to improve performance once a financial difficulty has arisen, projected receipts and the expected dividend payout should bankruptcy ensue, the availability of other financial support and the realizable value of collateral, and the timing of the expected cash flows. The impairment losses are evaluated at each reporting date, unless unforeseen circumstances require more careful attention.</w:t>
      </w:r>
    </w:p>
    <w:p>
      <w:pPr>
        <w:spacing w:after="0" w:line="217" w:lineRule="exact"/>
        <w:rPr>
          <w:sz w:val="20"/>
          <w:szCs w:val="20"/>
          <w:color w:val="auto"/>
        </w:rPr>
      </w:pPr>
    </w:p>
    <w:p>
      <w:pPr>
        <w:ind w:left="1620" w:right="28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224"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3" w:lineRule="exact"/>
        <w:rPr>
          <w:sz w:val="20"/>
          <w:szCs w:val="20"/>
          <w:color w:val="auto"/>
        </w:rPr>
      </w:pPr>
    </w:p>
    <w:p>
      <w:pPr>
        <w:ind w:left="1620" w:right="100"/>
        <w:spacing w:after="0" w:line="254" w:lineRule="auto"/>
        <w:rPr>
          <w:sz w:val="20"/>
          <w:szCs w:val="20"/>
          <w:color w:val="auto"/>
        </w:rPr>
      </w:pPr>
      <w:r>
        <w:rPr>
          <w:rFonts w:ascii="Arial" w:cs="Arial" w:eastAsia="Arial" w:hAnsi="Arial"/>
          <w:sz w:val="18"/>
          <w:szCs w:val="18"/>
          <w:color w:val="auto"/>
        </w:rPr>
        <w:t>Allowances are assessed collectively for losses on loans and advances that are not individually significant (including consumer and residential mortgages) and for individually significant loans and advances where there is not yet objective evidence of individual impairment (included in categories A and B). Allowances are evaluated on each reporting date with each portfolio receiving a separate review.</w:t>
      </w:r>
    </w:p>
    <w:p>
      <w:pPr>
        <w:spacing w:after="0" w:line="244" w:lineRule="exact"/>
        <w:rPr>
          <w:sz w:val="20"/>
          <w:szCs w:val="20"/>
          <w:color w:val="auto"/>
        </w:rPr>
      </w:pPr>
    </w:p>
    <w:p>
      <w:pPr>
        <w:ind w:left="1620" w:right="6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of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Local management is responsible for deciding the length of this period which can extend for as long as one year. The impairment allowance is then reviewed by credit management to ensure alignment with the Group’s overall policy.</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guarantees and letter of credit are assessed and provision made in similar manners as for loans.</w:t>
      </w:r>
    </w:p>
    <w:p>
      <w:pPr>
        <w:spacing w:after="0" w:line="279"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24" w:lineRule="exact"/>
        <w:rPr>
          <w:sz w:val="20"/>
          <w:szCs w:val="20"/>
          <w:color w:val="auto"/>
        </w:rPr>
      </w:pPr>
    </w:p>
    <w:p>
      <w:pPr>
        <w:ind w:left="1300" w:right="200"/>
        <w:spacing w:after="0" w:line="286" w:lineRule="auto"/>
        <w:rPr>
          <w:sz w:val="20"/>
          <w:szCs w:val="20"/>
          <w:color w:val="auto"/>
        </w:rPr>
      </w:pPr>
      <w:r>
        <w:rPr>
          <w:rFonts w:ascii="Arial" w:cs="Arial" w:eastAsia="Arial" w:hAnsi="Arial"/>
          <w:sz w:val="17"/>
          <w:szCs w:val="17"/>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20" w:lineRule="exact"/>
        <w:rPr>
          <w:sz w:val="20"/>
          <w:szCs w:val="20"/>
          <w:color w:val="auto"/>
        </w:rPr>
      </w:pPr>
    </w:p>
    <w:p>
      <w:pPr>
        <w:ind w:left="114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and potential problems; ii) Past due but not impaired loans comprising past due loans of clients classified as normal or with potential problems and iii) Impaired loans, or those past due loans of clients classified as substandard, doubtful and loss; presented net of the provision for loan losses for each of the loan grades: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ind w:left="640"/>
              <w:spacing w:after="0"/>
              <w:rPr>
                <w:sz w:val="20"/>
                <w:szCs w:val="20"/>
                <w:color w:val="auto"/>
              </w:rPr>
            </w:pPr>
            <w:r>
              <w:rPr>
                <w:rFonts w:ascii="Arial" w:cs="Arial" w:eastAsia="Arial" w:hAnsi="Arial"/>
                <w:sz w:val="18"/>
                <w:szCs w:val="18"/>
                <w:b w:val="1"/>
                <w:bCs w:val="1"/>
                <w:color w:val="auto"/>
              </w:rPr>
              <w:t>As of December 31, 2007</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91"/>
        </w:trPr>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Commercial</w:t>
            </w: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mortgage</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US$(000)</w:t>
            </w: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US$(000)</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US$(000)</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w w:val="99"/>
              </w:rPr>
              <w:t>Neither past due nor impaired -</w:t>
            </w:r>
          </w:p>
        </w:tc>
        <w:tc>
          <w:tcPr>
            <w:tcW w:w="1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120" w:type="dxa"/>
            <w:vAlign w:val="bottom"/>
          </w:tcPr>
          <w:p>
            <w:pPr>
              <w:jc w:val="right"/>
              <w:spacing w:after="0"/>
              <w:rPr>
                <w:sz w:val="20"/>
                <w:szCs w:val="20"/>
                <w:color w:val="auto"/>
              </w:rPr>
            </w:pPr>
            <w:r>
              <w:rPr>
                <w:rFonts w:ascii="Arial" w:cs="Arial" w:eastAsia="Arial" w:hAnsi="Arial"/>
                <w:sz w:val="18"/>
                <w:szCs w:val="18"/>
                <w:color w:val="auto"/>
              </w:rPr>
              <w:t>5,517,220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1,138,912</w:t>
            </w:r>
          </w:p>
        </w:tc>
        <w:tc>
          <w:tcPr>
            <w:tcW w:w="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779,866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7,435,998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347,186</w:t>
            </w: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13,781</w:t>
            </w:r>
          </w:p>
        </w:tc>
        <w:tc>
          <w:tcPr>
            <w:tcW w:w="80" w:type="dxa"/>
            <w:vAlign w:val="bottom"/>
            <w:tcBorders>
              <w:right w:val="single" w:sz="8" w:color="CCFFCC"/>
            </w:tcBorders>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7,463</w:t>
            </w:r>
          </w:p>
        </w:tc>
        <w:tc>
          <w:tcPr>
            <w:tcW w:w="100" w:type="dxa"/>
            <w:vAlign w:val="bottom"/>
            <w:tcBorders>
              <w:right w:val="single" w:sz="8" w:color="CCFFCC"/>
            </w:tcBorders>
            <w:shd w:val="clear" w:color="auto" w:fill="CCFFCC"/>
          </w:tcPr>
          <w:p>
            <w:pPr>
              <w:spacing w:after="0"/>
              <w:rPr>
                <w:sz w:val="21"/>
                <w:szCs w:val="21"/>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368,430</w:t>
            </w:r>
          </w:p>
        </w:tc>
        <w:tc>
          <w:tcPr>
            <w:tcW w:w="100" w:type="dxa"/>
            <w:vAlign w:val="bottom"/>
            <w:tcBorders>
              <w:right w:val="single" w:sz="8" w:color="CCFFCC"/>
            </w:tcBorders>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Past due but not impaired -</w:t>
            </w:r>
          </w:p>
        </w:tc>
        <w:tc>
          <w:tcPr>
            <w:tcW w:w="1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120" w:type="dxa"/>
            <w:vAlign w:val="bottom"/>
          </w:tcPr>
          <w:p>
            <w:pPr>
              <w:jc w:val="right"/>
              <w:spacing w:after="0"/>
              <w:rPr>
                <w:sz w:val="20"/>
                <w:szCs w:val="20"/>
                <w:color w:val="auto"/>
              </w:rPr>
            </w:pPr>
            <w:r>
              <w:rPr>
                <w:rFonts w:ascii="Arial" w:cs="Arial" w:eastAsia="Arial" w:hAnsi="Arial"/>
                <w:sz w:val="18"/>
                <w:szCs w:val="18"/>
                <w:color w:val="auto"/>
              </w:rPr>
              <w:t>204,766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70,738</w:t>
            </w:r>
          </w:p>
        </w:tc>
        <w:tc>
          <w:tcPr>
            <w:tcW w:w="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52,379</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327,883</w:t>
            </w: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5,410</w:t>
            </w: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318</w:t>
            </w:r>
          </w:p>
        </w:tc>
        <w:tc>
          <w:tcPr>
            <w:tcW w:w="80" w:type="dxa"/>
            <w:vAlign w:val="bottom"/>
            <w:tcBorders>
              <w:right w:val="single" w:sz="8" w:color="CCFFCC"/>
            </w:tcBorders>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tcBorders>
              <w:right w:val="single" w:sz="8" w:color="CCFFCC"/>
            </w:tcBorders>
            <w:shd w:val="clear" w:color="auto" w:fill="CCFFCC"/>
          </w:tcPr>
          <w:p>
            <w:pPr>
              <w:spacing w:after="0"/>
              <w:rPr>
                <w:sz w:val="21"/>
                <w:szCs w:val="21"/>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5,862</w:t>
            </w:r>
          </w:p>
        </w:tc>
        <w:tc>
          <w:tcPr>
            <w:tcW w:w="10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Impaired -</w:t>
            </w:r>
          </w:p>
        </w:tc>
        <w:tc>
          <w:tcPr>
            <w:tcW w:w="1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Substandard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49,535</w:t>
            </w:r>
          </w:p>
        </w:tc>
        <w:tc>
          <w:tcPr>
            <w:tcW w:w="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10,097</w:t>
            </w:r>
          </w:p>
        </w:tc>
        <w:tc>
          <w:tcPr>
            <w:tcW w:w="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11,733</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71,365</w:t>
            </w: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Doubtful</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61,578</w:t>
            </w:r>
          </w:p>
        </w:tc>
        <w:tc>
          <w:tcPr>
            <w:tcW w:w="80" w:type="dxa"/>
            <w:vAlign w:val="bottom"/>
            <w:tcBorders>
              <w:right w:val="single" w:sz="8" w:color="CCFFCC"/>
            </w:tcBorders>
            <w:shd w:val="clear" w:color="auto" w:fill="CCFFCC"/>
          </w:tcPr>
          <w:p>
            <w:pPr>
              <w:spacing w:after="0"/>
              <w:rPr>
                <w:sz w:val="21"/>
                <w:szCs w:val="21"/>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12,552</w:t>
            </w:r>
          </w:p>
        </w:tc>
        <w:tc>
          <w:tcPr>
            <w:tcW w:w="80" w:type="dxa"/>
            <w:vAlign w:val="bottom"/>
            <w:tcBorders>
              <w:right w:val="single" w:sz="8" w:color="CCFFCC"/>
            </w:tcBorders>
            <w:shd w:val="clear" w:color="auto" w:fill="CCFFCC"/>
          </w:tcPr>
          <w:p>
            <w:pPr>
              <w:spacing w:after="0"/>
              <w:rPr>
                <w:sz w:val="21"/>
                <w:szCs w:val="21"/>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14,586</w:t>
            </w:r>
          </w:p>
        </w:tc>
        <w:tc>
          <w:tcPr>
            <w:tcW w:w="100" w:type="dxa"/>
            <w:vAlign w:val="bottom"/>
            <w:tcBorders>
              <w:right w:val="single" w:sz="8" w:color="CCFFCC"/>
            </w:tcBorders>
            <w:shd w:val="clear" w:color="auto" w:fill="CCFFCC"/>
          </w:tcPr>
          <w:p>
            <w:pPr>
              <w:spacing w:after="0"/>
              <w:rPr>
                <w:sz w:val="21"/>
                <w:szCs w:val="21"/>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88,716</w:t>
            </w:r>
          </w:p>
        </w:tc>
        <w:tc>
          <w:tcPr>
            <w:tcW w:w="100" w:type="dxa"/>
            <w:vAlign w:val="bottom"/>
            <w:tcBorders>
              <w:right w:val="single" w:sz="8" w:color="CCFFCC"/>
            </w:tcBorders>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21"/>
                <w:szCs w:val="21"/>
                <w:color w:val="auto"/>
              </w:rPr>
            </w:pPr>
          </w:p>
        </w:tc>
      </w:tr>
      <w:tr>
        <w:trPr>
          <w:trHeight w:val="270"/>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Loss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36,483</w:t>
            </w:r>
          </w:p>
        </w:tc>
        <w:tc>
          <w:tcPr>
            <w:tcW w:w="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7,437</w:t>
            </w:r>
          </w:p>
        </w:tc>
        <w:tc>
          <w:tcPr>
            <w:tcW w:w="8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52,563</w:t>
            </w:r>
          </w:p>
        </w:tc>
        <w:tc>
          <w:tcPr>
            <w:tcW w:w="10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23"/>
                <w:szCs w:val="23"/>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9"/>
        </w:trPr>
        <w:tc>
          <w:tcPr>
            <w:tcW w:w="1140" w:type="dxa"/>
            <w:vAlign w:val="bottom"/>
          </w:tcPr>
          <w:p>
            <w:pPr>
              <w:spacing w:after="0"/>
              <w:rPr>
                <w:sz w:val="22"/>
                <w:szCs w:val="22"/>
                <w:color w:val="auto"/>
              </w:rPr>
            </w:pPr>
          </w:p>
        </w:tc>
        <w:tc>
          <w:tcPr>
            <w:tcW w:w="2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6,222,178</w:t>
            </w:r>
          </w:p>
        </w:tc>
        <w:tc>
          <w:tcPr>
            <w:tcW w:w="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right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1,253,835</w:t>
            </w:r>
          </w:p>
        </w:tc>
        <w:tc>
          <w:tcPr>
            <w:tcW w:w="80" w:type="dxa"/>
            <w:vAlign w:val="bottom"/>
            <w:tcBorders>
              <w:bottom w:val="single" w:sz="8" w:color="CCFFCC"/>
              <w:right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874,804</w:t>
            </w:r>
          </w:p>
        </w:tc>
        <w:tc>
          <w:tcPr>
            <w:tcW w:w="100" w:type="dxa"/>
            <w:vAlign w:val="bottom"/>
            <w:tcBorders>
              <w:bottom w:val="single" w:sz="8" w:color="CCFFCC"/>
              <w:right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8,350,817</w:t>
            </w:r>
          </w:p>
        </w:tc>
        <w:tc>
          <w:tcPr>
            <w:tcW w:w="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right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w:t>
            </w:r>
          </w:p>
        </w:tc>
        <w:tc>
          <w:tcPr>
            <w:tcW w:w="2060" w:type="dxa"/>
            <w:vAlign w:val="bottom"/>
          </w:tcPr>
          <w:p>
            <w:pPr>
              <w:spacing w:after="0"/>
              <w:rPr>
                <w:sz w:val="22"/>
                <w:szCs w:val="22"/>
                <w:color w:val="auto"/>
              </w:rPr>
            </w:pPr>
          </w:p>
        </w:tc>
      </w:tr>
      <w:tr>
        <w:trPr>
          <w:trHeight w:val="191"/>
        </w:trPr>
        <w:tc>
          <w:tcPr>
            <w:tcW w:w="1140" w:type="dxa"/>
            <w:vAlign w:val="bottom"/>
          </w:tcPr>
          <w:p>
            <w:pPr>
              <w:spacing w:after="0"/>
              <w:rPr>
                <w:sz w:val="16"/>
                <w:szCs w:val="16"/>
                <w:color w:val="auto"/>
              </w:rPr>
            </w:pPr>
          </w:p>
        </w:tc>
        <w:tc>
          <w:tcPr>
            <w:tcW w:w="2480" w:type="dxa"/>
            <w:vAlign w:val="bottom"/>
            <w:tcBorders>
              <w:top w:val="single" w:sz="8" w:color="CCFFCC"/>
            </w:tcBorders>
          </w:tcPr>
          <w:p>
            <w:pPr>
              <w:spacing w:after="0" w:line="191" w:lineRule="exact"/>
              <w:rPr>
                <w:sz w:val="20"/>
                <w:szCs w:val="20"/>
                <w:color w:val="auto"/>
              </w:rPr>
            </w:pPr>
            <w:r>
              <w:rPr>
                <w:rFonts w:ascii="Arial" w:cs="Arial" w:eastAsia="Arial" w:hAnsi="Arial"/>
                <w:sz w:val="18"/>
                <w:szCs w:val="18"/>
                <w:b w:val="1"/>
                <w:bCs w:val="1"/>
                <w:color w:val="auto"/>
              </w:rPr>
              <w:t>Less: Allowance for loan</w:t>
            </w:r>
          </w:p>
        </w:tc>
        <w:tc>
          <w:tcPr>
            <w:tcW w:w="1120" w:type="dxa"/>
            <w:vAlign w:val="bottom"/>
            <w:tcBorders>
              <w:top w:val="single" w:sz="8" w:color="auto"/>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2060" w:type="dxa"/>
            <w:vAlign w:val="bottom"/>
          </w:tcPr>
          <w:p>
            <w:pPr>
              <w:spacing w:after="0"/>
              <w:rPr>
                <w:sz w:val="16"/>
                <w:szCs w:val="16"/>
                <w:color w:val="auto"/>
              </w:rPr>
            </w:pPr>
          </w:p>
        </w:tc>
      </w:tr>
      <w:tr>
        <w:trPr>
          <w:trHeight w:val="261"/>
        </w:trPr>
        <w:tc>
          <w:tcPr>
            <w:tcW w:w="3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losses</w:t>
            </w:r>
          </w:p>
        </w:tc>
        <w:tc>
          <w:tcPr>
            <w:tcW w:w="1120" w:type="dxa"/>
            <w:vAlign w:val="bottom"/>
          </w:tcPr>
          <w:p>
            <w:pPr>
              <w:jc w:val="right"/>
              <w:spacing w:after="0"/>
              <w:rPr>
                <w:sz w:val="20"/>
                <w:szCs w:val="20"/>
                <w:color w:val="auto"/>
              </w:rPr>
            </w:pPr>
            <w:r>
              <w:rPr>
                <w:rFonts w:ascii="Arial" w:cs="Arial" w:eastAsia="Arial" w:hAnsi="Arial"/>
                <w:sz w:val="18"/>
                <w:szCs w:val="18"/>
                <w:color w:val="auto"/>
              </w:rPr>
              <w:t>166,203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14,454</w:t>
            </w:r>
          </w:p>
        </w:tc>
        <w:tc>
          <w:tcPr>
            <w:tcW w:w="8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30,662</w:t>
            </w:r>
          </w:p>
        </w:tc>
        <w:tc>
          <w:tcPr>
            <w:tcW w:w="10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211,319</w:t>
            </w:r>
          </w:p>
        </w:tc>
        <w:tc>
          <w:tcPr>
            <w:tcW w:w="10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60" w:type="dxa"/>
            <w:vAlign w:val="bottom"/>
          </w:tcPr>
          <w:p>
            <w:pPr>
              <w:spacing w:after="0"/>
              <w:rPr>
                <w:sz w:val="22"/>
                <w:szCs w:val="22"/>
                <w:color w:val="auto"/>
              </w:rPr>
            </w:pPr>
          </w:p>
        </w:tc>
      </w:tr>
      <w:tr>
        <w:trPr>
          <w:trHeight w:val="237"/>
        </w:trPr>
        <w:tc>
          <w:tcPr>
            <w:tcW w:w="1140" w:type="dxa"/>
            <w:vAlign w:val="bottom"/>
          </w:tcPr>
          <w:p>
            <w:pPr>
              <w:spacing w:after="0"/>
              <w:rPr>
                <w:sz w:val="20"/>
                <w:szCs w:val="20"/>
                <w:color w:val="auto"/>
              </w:rPr>
            </w:pPr>
          </w:p>
        </w:tc>
        <w:tc>
          <w:tcPr>
            <w:tcW w:w="248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80" w:type="dxa"/>
            <w:vAlign w:val="bottom"/>
            <w:tcBorders>
              <w:right w:val="single" w:sz="8" w:color="CCFFCC"/>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80" w:type="dxa"/>
            <w:vAlign w:val="bottom"/>
            <w:tcBorders>
              <w:right w:val="single" w:sz="8" w:color="CCFFCC"/>
            </w:tcBorders>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net</w:t>
            </w:r>
          </w:p>
        </w:tc>
        <w:tc>
          <w:tcPr>
            <w:tcW w:w="1120" w:type="dxa"/>
            <w:vAlign w:val="bottom"/>
          </w:tcPr>
          <w:p>
            <w:pPr>
              <w:jc w:val="right"/>
              <w:spacing w:after="0"/>
              <w:rPr>
                <w:sz w:val="20"/>
                <w:szCs w:val="20"/>
                <w:color w:val="auto"/>
              </w:rPr>
            </w:pPr>
            <w:r>
              <w:rPr>
                <w:rFonts w:ascii="Arial" w:cs="Arial" w:eastAsia="Arial" w:hAnsi="Arial"/>
                <w:sz w:val="18"/>
                <w:szCs w:val="18"/>
                <w:color w:val="auto"/>
              </w:rPr>
              <w:t>6,055,975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1,239,381</w:t>
            </w:r>
          </w:p>
        </w:tc>
        <w:tc>
          <w:tcPr>
            <w:tcW w:w="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844,142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8,139,498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791"/>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ind w:left="620"/>
              <w:spacing w:after="0"/>
              <w:rPr>
                <w:sz w:val="20"/>
                <w:szCs w:val="20"/>
                <w:color w:val="auto"/>
              </w:rPr>
            </w:pPr>
            <w:r>
              <w:rPr>
                <w:rFonts w:ascii="Arial" w:cs="Arial" w:eastAsia="Arial" w:hAnsi="Arial"/>
                <w:sz w:val="18"/>
                <w:szCs w:val="18"/>
                <w:b w:val="1"/>
                <w:bCs w:val="1"/>
                <w:color w:val="auto"/>
              </w:rPr>
              <w:t>As of December 31, 2006</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Commercial</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mortgage</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4"/>
              </w:rPr>
              <w:t>loans</w:t>
            </w: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4"/>
              </w:rPr>
              <w:t>loans</w:t>
            </w: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US$(000)</w:t>
            </w:r>
          </w:p>
        </w:tc>
        <w:tc>
          <w:tcPr>
            <w:tcW w:w="11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US$(000)</w:t>
            </w: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US$(000)</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US$(000)</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w w:val="99"/>
              </w:rPr>
              <w:t>Neither past due nor impaired -</w:t>
            </w:r>
          </w:p>
        </w:tc>
        <w:tc>
          <w:tcPr>
            <w:tcW w:w="1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3,810,556</w:t>
            </w:r>
          </w:p>
        </w:tc>
        <w:tc>
          <w:tcPr>
            <w:tcW w:w="8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914,604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491,125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5,216,285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337,775</w:t>
            </w:r>
          </w:p>
        </w:tc>
        <w:tc>
          <w:tcPr>
            <w:tcW w:w="80" w:type="dxa"/>
            <w:vAlign w:val="bottom"/>
            <w:tcBorders>
              <w:right w:val="single" w:sz="8" w:color="CCFFCC"/>
            </w:tcBorders>
            <w:shd w:val="clear" w:color="auto" w:fill="CCFFCC"/>
          </w:tcPr>
          <w:p>
            <w:pPr>
              <w:spacing w:after="0"/>
              <w:rPr>
                <w:sz w:val="21"/>
                <w:szCs w:val="21"/>
                <w:color w:val="auto"/>
              </w:rPr>
            </w:pPr>
          </w:p>
        </w:tc>
        <w:tc>
          <w:tcPr>
            <w:tcW w:w="11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11,766</w:t>
            </w:r>
          </w:p>
        </w:tc>
        <w:tc>
          <w:tcPr>
            <w:tcW w:w="11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3,386</w:t>
            </w:r>
          </w:p>
        </w:tc>
        <w:tc>
          <w:tcPr>
            <w:tcW w:w="10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352,927</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114,981</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20,480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8,779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144,240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2,005</w:t>
            </w:r>
          </w:p>
        </w:tc>
        <w:tc>
          <w:tcPr>
            <w:tcW w:w="80" w:type="dxa"/>
            <w:vAlign w:val="bottom"/>
            <w:tcBorders>
              <w:right w:val="single" w:sz="8" w:color="CCFFCC"/>
            </w:tcBorders>
            <w:shd w:val="clear" w:color="auto" w:fill="CCFFCC"/>
          </w:tcPr>
          <w:p>
            <w:pPr>
              <w:spacing w:after="0"/>
              <w:rPr>
                <w:sz w:val="21"/>
                <w:szCs w:val="21"/>
                <w:color w:val="auto"/>
              </w:rPr>
            </w:pPr>
          </w:p>
        </w:tc>
        <w:tc>
          <w:tcPr>
            <w:tcW w:w="11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5,414</w:t>
            </w:r>
          </w:p>
        </w:tc>
        <w:tc>
          <w:tcPr>
            <w:tcW w:w="11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819</w:t>
            </w:r>
          </w:p>
        </w:tc>
        <w:tc>
          <w:tcPr>
            <w:tcW w:w="10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8,238</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Substandard</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52,684</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7,622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5,270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65,576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Doubtful</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98,110</w:t>
            </w:r>
          </w:p>
        </w:tc>
        <w:tc>
          <w:tcPr>
            <w:tcW w:w="80" w:type="dxa"/>
            <w:vAlign w:val="bottom"/>
            <w:tcBorders>
              <w:right w:val="single" w:sz="8" w:color="CCFFCC"/>
            </w:tcBorders>
            <w:shd w:val="clear" w:color="auto" w:fill="CCFFCC"/>
          </w:tcPr>
          <w:p>
            <w:pPr>
              <w:spacing w:after="0"/>
              <w:rPr>
                <w:sz w:val="21"/>
                <w:szCs w:val="21"/>
                <w:color w:val="auto"/>
              </w:rPr>
            </w:pPr>
          </w:p>
        </w:tc>
        <w:tc>
          <w:tcPr>
            <w:tcW w:w="11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14,193</w:t>
            </w:r>
          </w:p>
        </w:tc>
        <w:tc>
          <w:tcPr>
            <w:tcW w:w="11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9,814</w:t>
            </w:r>
          </w:p>
        </w:tc>
        <w:tc>
          <w:tcPr>
            <w:tcW w:w="10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122,117</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2060" w:type="dxa"/>
            <w:vAlign w:val="bottom"/>
          </w:tcPr>
          <w:p>
            <w:pPr>
              <w:spacing w:after="0"/>
              <w:rPr>
                <w:sz w:val="21"/>
                <w:szCs w:val="21"/>
                <w:color w:val="auto"/>
              </w:rPr>
            </w:pPr>
          </w:p>
        </w:tc>
      </w:tr>
      <w:tr>
        <w:trPr>
          <w:trHeight w:val="270"/>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49,726</w:t>
            </w:r>
          </w:p>
        </w:tc>
        <w:tc>
          <w:tcPr>
            <w:tcW w:w="8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7,194</w:t>
            </w: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61,894</w:t>
            </w:r>
          </w:p>
        </w:tc>
        <w:tc>
          <w:tcPr>
            <w:tcW w:w="10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23"/>
                <w:szCs w:val="23"/>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69"/>
        </w:trPr>
        <w:tc>
          <w:tcPr>
            <w:tcW w:w="1140" w:type="dxa"/>
            <w:vAlign w:val="bottom"/>
          </w:tcPr>
          <w:p>
            <w:pPr>
              <w:spacing w:after="0"/>
              <w:rPr>
                <w:sz w:val="22"/>
                <w:szCs w:val="22"/>
                <w:color w:val="auto"/>
              </w:rPr>
            </w:pPr>
          </w:p>
        </w:tc>
        <w:tc>
          <w:tcPr>
            <w:tcW w:w="2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w:t>
            </w:r>
          </w:p>
        </w:tc>
        <w:tc>
          <w:tcPr>
            <w:tcW w:w="11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4,465,837</w:t>
            </w:r>
          </w:p>
        </w:tc>
        <w:tc>
          <w:tcPr>
            <w:tcW w:w="80" w:type="dxa"/>
            <w:vAlign w:val="bottom"/>
            <w:tcBorders>
              <w:bottom w:val="single" w:sz="8" w:color="CCFFCC"/>
              <w:right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981,273</w:t>
            </w:r>
          </w:p>
        </w:tc>
        <w:tc>
          <w:tcPr>
            <w:tcW w:w="80" w:type="dxa"/>
            <w:vAlign w:val="bottom"/>
            <w:tcBorders>
              <w:bottom w:val="single" w:sz="8" w:color="CCFFCC"/>
              <w:right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524,167</w:t>
            </w:r>
          </w:p>
        </w:tc>
        <w:tc>
          <w:tcPr>
            <w:tcW w:w="100" w:type="dxa"/>
            <w:vAlign w:val="bottom"/>
            <w:tcBorders>
              <w:bottom w:val="single" w:sz="8" w:color="CCFFCC"/>
              <w:right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5,971,277</w:t>
            </w:r>
          </w:p>
        </w:tc>
        <w:tc>
          <w:tcPr>
            <w:tcW w:w="100" w:type="dxa"/>
            <w:vAlign w:val="bottom"/>
            <w:tcBorders>
              <w:bottom w:val="single" w:sz="8" w:color="CCFFCC"/>
              <w:right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2060" w:type="dxa"/>
            <w:vAlign w:val="bottom"/>
          </w:tcPr>
          <w:p>
            <w:pPr>
              <w:spacing w:after="0"/>
              <w:rPr>
                <w:sz w:val="22"/>
                <w:szCs w:val="22"/>
                <w:color w:val="auto"/>
              </w:rPr>
            </w:pPr>
          </w:p>
        </w:tc>
      </w:tr>
      <w:tr>
        <w:trPr>
          <w:trHeight w:val="191"/>
        </w:trPr>
        <w:tc>
          <w:tcPr>
            <w:tcW w:w="1140" w:type="dxa"/>
            <w:vAlign w:val="bottom"/>
          </w:tcPr>
          <w:p>
            <w:pPr>
              <w:spacing w:after="0"/>
              <w:rPr>
                <w:sz w:val="16"/>
                <w:szCs w:val="16"/>
                <w:color w:val="auto"/>
              </w:rPr>
            </w:pPr>
          </w:p>
        </w:tc>
        <w:tc>
          <w:tcPr>
            <w:tcW w:w="2480" w:type="dxa"/>
            <w:vAlign w:val="bottom"/>
            <w:tcBorders>
              <w:top w:val="single" w:sz="8" w:color="CCFFCC"/>
            </w:tcBorders>
          </w:tcPr>
          <w:p>
            <w:pPr>
              <w:spacing w:after="0" w:line="191" w:lineRule="exact"/>
              <w:rPr>
                <w:sz w:val="20"/>
                <w:szCs w:val="20"/>
                <w:color w:val="auto"/>
              </w:rPr>
            </w:pPr>
            <w:r>
              <w:rPr>
                <w:rFonts w:ascii="Arial" w:cs="Arial" w:eastAsia="Arial" w:hAnsi="Arial"/>
                <w:sz w:val="18"/>
                <w:szCs w:val="18"/>
                <w:b w:val="1"/>
                <w:bCs w:val="1"/>
                <w:color w:val="auto"/>
              </w:rPr>
              <w:t>Less: Allowance for loan</w:t>
            </w:r>
          </w:p>
        </w:tc>
        <w:tc>
          <w:tcPr>
            <w:tcW w:w="1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2060" w:type="dxa"/>
            <w:vAlign w:val="bottom"/>
          </w:tcPr>
          <w:p>
            <w:pPr>
              <w:spacing w:after="0"/>
              <w:rPr>
                <w:sz w:val="16"/>
                <w:szCs w:val="16"/>
                <w:color w:val="auto"/>
              </w:rPr>
            </w:pPr>
          </w:p>
        </w:tc>
      </w:tr>
      <w:tr>
        <w:trPr>
          <w:trHeight w:val="261"/>
        </w:trPr>
        <w:tc>
          <w:tcPr>
            <w:tcW w:w="3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losses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163,066</w:t>
            </w:r>
          </w:p>
        </w:tc>
        <w:tc>
          <w:tcPr>
            <w:tcW w:w="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9,253</w:t>
            </w:r>
          </w:p>
        </w:tc>
        <w:tc>
          <w:tcPr>
            <w:tcW w:w="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17,959</w:t>
            </w: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190,278</w:t>
            </w:r>
          </w:p>
        </w:tc>
        <w:tc>
          <w:tcPr>
            <w:tcW w:w="10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2060" w:type="dxa"/>
            <w:vAlign w:val="bottom"/>
          </w:tcPr>
          <w:p>
            <w:pPr>
              <w:spacing w:after="0"/>
              <w:rPr>
                <w:sz w:val="22"/>
                <w:szCs w:val="22"/>
                <w:color w:val="auto"/>
              </w:rPr>
            </w:pPr>
          </w:p>
        </w:tc>
      </w:tr>
      <w:tr>
        <w:trPr>
          <w:trHeight w:val="237"/>
        </w:trPr>
        <w:tc>
          <w:tcPr>
            <w:tcW w:w="1140" w:type="dxa"/>
            <w:vAlign w:val="bottom"/>
          </w:tcPr>
          <w:p>
            <w:pPr>
              <w:spacing w:after="0"/>
              <w:rPr>
                <w:sz w:val="20"/>
                <w:szCs w:val="20"/>
                <w:color w:val="auto"/>
              </w:rPr>
            </w:pPr>
          </w:p>
        </w:tc>
        <w:tc>
          <w:tcPr>
            <w:tcW w:w="2480" w:type="dxa"/>
            <w:vAlign w:val="bottom"/>
            <w:shd w:val="clear" w:color="auto" w:fill="CCFFCC"/>
          </w:tcPr>
          <w:p>
            <w:pPr>
              <w:spacing w:after="0"/>
              <w:rPr>
                <w:sz w:val="20"/>
                <w:szCs w:val="20"/>
                <w:color w:val="auto"/>
              </w:rPr>
            </w:pPr>
          </w:p>
        </w:tc>
        <w:tc>
          <w:tcPr>
            <w:tcW w:w="1160" w:type="dxa"/>
            <w:vAlign w:val="bottom"/>
            <w:tcBorders>
              <w:top w:val="single" w:sz="8" w:color="auto"/>
            </w:tcBorders>
            <w:gridSpan w:val="2"/>
            <w:shd w:val="clear" w:color="auto" w:fill="CCFFCC"/>
          </w:tcPr>
          <w:p>
            <w:pPr>
              <w:spacing w:after="0"/>
              <w:rPr>
                <w:sz w:val="20"/>
                <w:szCs w:val="20"/>
                <w:color w:val="auto"/>
              </w:rPr>
            </w:pPr>
          </w:p>
        </w:tc>
        <w:tc>
          <w:tcPr>
            <w:tcW w:w="80" w:type="dxa"/>
            <w:vAlign w:val="bottom"/>
            <w:tcBorders>
              <w:right w:val="single" w:sz="8" w:color="CCFFCC"/>
            </w:tcBorders>
            <w:shd w:val="clear" w:color="auto" w:fill="CCFFCC"/>
          </w:tcPr>
          <w:p>
            <w:pPr>
              <w:spacing w:after="0"/>
              <w:rPr>
                <w:sz w:val="20"/>
                <w:szCs w:val="20"/>
                <w:color w:val="auto"/>
              </w:rPr>
            </w:pPr>
          </w:p>
        </w:tc>
        <w:tc>
          <w:tcPr>
            <w:tcW w:w="1100" w:type="dxa"/>
            <w:vAlign w:val="bottom"/>
            <w:tcBorders>
              <w:top w:val="single" w:sz="8" w:color="auto"/>
            </w:tcBorders>
            <w:gridSpan w:val="2"/>
            <w:shd w:val="clear" w:color="auto" w:fill="CCFFCC"/>
          </w:tcPr>
          <w:p>
            <w:pPr>
              <w:spacing w:after="0"/>
              <w:rPr>
                <w:sz w:val="20"/>
                <w:szCs w:val="20"/>
                <w:color w:val="auto"/>
              </w:rPr>
            </w:pPr>
          </w:p>
        </w:tc>
        <w:tc>
          <w:tcPr>
            <w:tcW w:w="80" w:type="dxa"/>
            <w:vAlign w:val="bottom"/>
            <w:tcBorders>
              <w:right w:val="single" w:sz="8" w:color="CCFFCC"/>
            </w:tcBorders>
            <w:shd w:val="clear" w:color="auto" w:fill="CCFFCC"/>
          </w:tcPr>
          <w:p>
            <w:pPr>
              <w:spacing w:after="0"/>
              <w:rPr>
                <w:sz w:val="20"/>
                <w:szCs w:val="20"/>
                <w:color w:val="auto"/>
              </w:rPr>
            </w:pPr>
          </w:p>
        </w:tc>
        <w:tc>
          <w:tcPr>
            <w:tcW w:w="1020" w:type="dxa"/>
            <w:vAlign w:val="bottom"/>
            <w:tcBorders>
              <w:top w:val="single" w:sz="8" w:color="auto"/>
            </w:tcBorders>
            <w:gridSpan w:val="2"/>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980" w:type="dxa"/>
            <w:vAlign w:val="bottom"/>
            <w:tcBorders>
              <w:top w:val="single" w:sz="8" w:color="auto"/>
            </w:tcBorders>
            <w:gridSpan w:val="2"/>
            <w:shd w:val="clear" w:color="auto" w:fill="CCFFCC"/>
          </w:tcPr>
          <w:p>
            <w:pPr>
              <w:spacing w:after="0"/>
              <w:rPr>
                <w:sz w:val="20"/>
                <w:szCs w:val="20"/>
                <w:color w:val="auto"/>
              </w:rPr>
            </w:pPr>
          </w:p>
        </w:tc>
        <w:tc>
          <w:tcPr>
            <w:tcW w:w="100" w:type="dxa"/>
            <w:vAlign w:val="bottom"/>
            <w:tcBorders>
              <w:right w:val="single" w:sz="8" w:color="CCFFCC"/>
            </w:tcBorders>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net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4,302,771</w:t>
            </w:r>
          </w:p>
        </w:tc>
        <w:tc>
          <w:tcPr>
            <w:tcW w:w="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972,020</w:t>
            </w:r>
          </w:p>
        </w:tc>
        <w:tc>
          <w:tcPr>
            <w:tcW w:w="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506,208</w:t>
            </w: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5,780,999</w:t>
            </w: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6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F-102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Loans that are neither past-due nor impaired whose terms have been renegotiated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As of December 31, 2007</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mortgage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Consumer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loans</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loans</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2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24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Loans refinanced or</w:t>
            </w:r>
          </w:p>
        </w:tc>
        <w:tc>
          <w:tcPr>
            <w:tcW w:w="1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restructured:</w:t>
            </w:r>
          </w:p>
        </w:tc>
        <w:tc>
          <w:tcPr>
            <w:tcW w:w="1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6,584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6,990</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140" w:type="dxa"/>
            <w:vAlign w:val="bottom"/>
          </w:tcPr>
          <w:p>
            <w:pPr>
              <w:spacing w:after="0"/>
              <w:rPr>
                <w:sz w:val="23"/>
                <w:szCs w:val="23"/>
                <w:color w:val="auto"/>
              </w:rPr>
            </w:pPr>
          </w:p>
        </w:tc>
        <w:tc>
          <w:tcPr>
            <w:tcW w:w="2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Potential problems</w:t>
            </w:r>
          </w:p>
        </w:tc>
        <w:tc>
          <w:tcPr>
            <w:tcW w:w="12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12,661</w:t>
            </w: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w:t>
            </w:r>
          </w:p>
        </w:tc>
        <w:tc>
          <w:tcPr>
            <w:tcW w:w="10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12,703</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FFCC"/>
            </w:tcBorders>
            <w:shd w:val="clear" w:color="auto" w:fill="CCFFCC"/>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48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19,245</w:t>
            </w:r>
          </w:p>
        </w:tc>
        <w:tc>
          <w:tcPr>
            <w:tcW w:w="80" w:type="dxa"/>
            <w:vAlign w:val="bottom"/>
            <w:shd w:val="clear" w:color="auto" w:fill="CCFFCC"/>
          </w:tcPr>
          <w:p>
            <w:pPr>
              <w:spacing w:after="0"/>
              <w:rPr>
                <w:sz w:val="22"/>
                <w:szCs w:val="22"/>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FFCC"/>
          </w:tcPr>
          <w:p>
            <w:pPr>
              <w:spacing w:after="0"/>
              <w:rPr>
                <w:sz w:val="22"/>
                <w:szCs w:val="2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19,693</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w:t>
            </w: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As of December 31, 2006</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Commercial</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mortgage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Consumer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loans</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loans</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2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24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Loans refinanced or</w:t>
            </w:r>
          </w:p>
        </w:tc>
        <w:tc>
          <w:tcPr>
            <w:tcW w:w="1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restructured</w:t>
            </w:r>
          </w:p>
        </w:tc>
        <w:tc>
          <w:tcPr>
            <w:tcW w:w="1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10,751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11,408</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Potential problems</w:t>
            </w:r>
          </w:p>
        </w:tc>
        <w:tc>
          <w:tcPr>
            <w:tcW w:w="12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9,426</w:t>
            </w: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w:t>
            </w: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c>
          <w:tcPr>
            <w:tcW w:w="10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9,612</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FFCC"/>
            </w:tcBorders>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20,177</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21,020</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F-103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 aging analysis of loans past due but not impaired by class,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As of December 31, 2007</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91"/>
        </w:trPr>
        <w:tc>
          <w:tcPr>
            <w:tcW w:w="1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Commercial</w:t>
            </w:r>
          </w:p>
        </w:tc>
        <w:tc>
          <w:tcPr>
            <w:tcW w:w="2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20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200" w:type="dxa"/>
            <w:vAlign w:val="bottom"/>
          </w:tcPr>
          <w:p>
            <w:pPr>
              <w:spacing w:after="0"/>
              <w:rPr>
                <w:sz w:val="21"/>
                <w:szCs w:val="21"/>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Past due up to 30 days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204,766</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70,738</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52,379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327,883</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700" w:type="dxa"/>
            <w:vAlign w:val="bottom"/>
            <w:gridSpan w:val="2"/>
          </w:tcPr>
          <w:p>
            <w:pPr>
              <w:ind w:left="1140"/>
              <w:spacing w:after="0"/>
              <w:rPr>
                <w:sz w:val="20"/>
                <w:szCs w:val="20"/>
                <w:color w:val="auto"/>
              </w:rPr>
            </w:pPr>
            <w:r>
              <w:rPr>
                <w:rFonts w:ascii="Arial" w:cs="Arial" w:eastAsia="Arial" w:hAnsi="Arial"/>
                <w:sz w:val="18"/>
                <w:szCs w:val="18"/>
                <w:color w:val="auto"/>
              </w:rPr>
              <w:t>Past due 31 - 60 days</w:t>
            </w:r>
          </w:p>
        </w:tc>
        <w:tc>
          <w:tcPr>
            <w:tcW w:w="1240" w:type="dxa"/>
            <w:vAlign w:val="bottom"/>
          </w:tcPr>
          <w:p>
            <w:pPr>
              <w:jc w:val="right"/>
              <w:spacing w:after="0"/>
              <w:rPr>
                <w:sz w:val="20"/>
                <w:szCs w:val="20"/>
                <w:color w:val="auto"/>
              </w:rPr>
            </w:pPr>
            <w:r>
              <w:rPr>
                <w:rFonts w:ascii="Arial" w:cs="Arial" w:eastAsia="Arial" w:hAnsi="Arial"/>
                <w:sz w:val="18"/>
                <w:szCs w:val="18"/>
                <w:color w:val="auto"/>
              </w:rPr>
              <w:t>5,398</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243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260" w:type="dxa"/>
            <w:vAlign w:val="bottom"/>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Past due 61 - 90 days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70"/>
        </w:trPr>
        <w:tc>
          <w:tcPr>
            <w:tcW w:w="3700" w:type="dxa"/>
            <w:vAlign w:val="bottom"/>
            <w:gridSpan w:val="2"/>
          </w:tcPr>
          <w:p>
            <w:pPr>
              <w:ind w:left="1140"/>
              <w:spacing w:after="0"/>
              <w:rPr>
                <w:sz w:val="20"/>
                <w:szCs w:val="20"/>
                <w:color w:val="auto"/>
              </w:rPr>
            </w:pPr>
            <w:r>
              <w:rPr>
                <w:rFonts w:ascii="Arial" w:cs="Arial" w:eastAsia="Arial" w:hAnsi="Arial"/>
                <w:sz w:val="18"/>
                <w:szCs w:val="18"/>
                <w:color w:val="auto"/>
              </w:rPr>
              <w:t>Past due over 91 days</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7"/>
        </w:trPr>
        <w:tc>
          <w:tcPr>
            <w:tcW w:w="1140" w:type="dxa"/>
            <w:vAlign w:val="bottom"/>
          </w:tcPr>
          <w:p>
            <w:pPr>
              <w:spacing w:after="0"/>
              <w:rPr>
                <w:sz w:val="22"/>
                <w:szCs w:val="22"/>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210,176</w:t>
            </w:r>
          </w:p>
        </w:tc>
        <w:tc>
          <w:tcPr>
            <w:tcW w:w="200" w:type="dxa"/>
            <w:vAlign w:val="bottom"/>
            <w:shd w:val="clear" w:color="auto" w:fill="CCFFCC"/>
          </w:tcPr>
          <w:p>
            <w:pPr>
              <w:spacing w:after="0"/>
              <w:rPr>
                <w:sz w:val="22"/>
                <w:szCs w:val="22"/>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71,056</w:t>
            </w:r>
          </w:p>
        </w:tc>
        <w:tc>
          <w:tcPr>
            <w:tcW w:w="20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52,513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333,745</w:t>
            </w:r>
          </w:p>
        </w:tc>
        <w:tc>
          <w:tcPr>
            <w:tcW w:w="120" w:type="dxa"/>
            <w:vAlign w:val="bottom"/>
            <w:shd w:val="clear" w:color="auto" w:fill="CCFFCC"/>
          </w:tcPr>
          <w:p>
            <w:pPr>
              <w:spacing w:after="0"/>
              <w:rPr>
                <w:sz w:val="22"/>
                <w:szCs w:val="22"/>
                <w:color w:val="auto"/>
              </w:rPr>
            </w:pPr>
          </w:p>
        </w:tc>
        <w:tc>
          <w:tcPr>
            <w:tcW w:w="206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25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521"/>
        </w:trPr>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As of December 31, 2006</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Commercial</w:t>
            </w:r>
          </w:p>
        </w:tc>
        <w:tc>
          <w:tcPr>
            <w:tcW w:w="2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20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20"/>
                <w:szCs w:val="20"/>
                <w:color w:val="auto"/>
              </w:rPr>
            </w:pPr>
          </w:p>
        </w:tc>
      </w:tr>
      <w:tr>
        <w:trPr>
          <w:trHeight w:val="243"/>
        </w:trPr>
        <w:tc>
          <w:tcPr>
            <w:tcW w:w="370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gridSpan w:val="3"/>
          </w:tcPr>
          <w:p>
            <w:pPr>
              <w:spacing w:after="0"/>
              <w:rPr>
                <w:sz w:val="21"/>
                <w:szCs w:val="21"/>
                <w:color w:val="auto"/>
              </w:rPr>
            </w:pPr>
          </w:p>
        </w:tc>
        <w:tc>
          <w:tcPr>
            <w:tcW w:w="142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Past due up to 30 days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114,981</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20,480</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8,779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144,240</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700" w:type="dxa"/>
            <w:vAlign w:val="bottom"/>
            <w:gridSpan w:val="2"/>
          </w:tcPr>
          <w:p>
            <w:pPr>
              <w:ind w:left="1140"/>
              <w:spacing w:after="0"/>
              <w:rPr>
                <w:sz w:val="20"/>
                <w:szCs w:val="20"/>
                <w:color w:val="auto"/>
              </w:rPr>
            </w:pPr>
            <w:r>
              <w:rPr>
                <w:rFonts w:ascii="Arial" w:cs="Arial" w:eastAsia="Arial" w:hAnsi="Arial"/>
                <w:sz w:val="18"/>
                <w:szCs w:val="18"/>
                <w:color w:val="auto"/>
              </w:rPr>
              <w:t>Past due 31 - 60 days</w:t>
            </w:r>
          </w:p>
        </w:tc>
        <w:tc>
          <w:tcPr>
            <w:tcW w:w="1240" w:type="dxa"/>
            <w:vAlign w:val="bottom"/>
          </w:tcPr>
          <w:p>
            <w:pPr>
              <w:jc w:val="right"/>
              <w:spacing w:after="0"/>
              <w:rPr>
                <w:sz w:val="20"/>
                <w:szCs w:val="20"/>
                <w:color w:val="auto"/>
              </w:rPr>
            </w:pPr>
            <w:r>
              <w:rPr>
                <w:rFonts w:ascii="Arial" w:cs="Arial" w:eastAsia="Arial" w:hAnsi="Arial"/>
                <w:sz w:val="18"/>
                <w:szCs w:val="18"/>
                <w:color w:val="auto"/>
              </w:rPr>
              <w:t>1,755</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5,306</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260" w:type="dxa"/>
            <w:vAlign w:val="bottom"/>
          </w:tcPr>
          <w:p>
            <w:pPr>
              <w:jc w:val="right"/>
              <w:spacing w:after="0"/>
              <w:rPr>
                <w:sz w:val="20"/>
                <w:szCs w:val="20"/>
                <w:color w:val="auto"/>
              </w:rPr>
            </w:pPr>
            <w:r>
              <w:rPr>
                <w:rFonts w:ascii="Arial" w:cs="Arial" w:eastAsia="Arial" w:hAnsi="Arial"/>
                <w:sz w:val="18"/>
                <w:szCs w:val="18"/>
                <w:color w:val="auto"/>
              </w:rPr>
              <w:t>7,832</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Past due 61 - 90 days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55</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w:t>
            </w:r>
          </w:p>
        </w:tc>
        <w:tc>
          <w:tcPr>
            <w:tcW w:w="2060" w:type="dxa"/>
            <w:vAlign w:val="bottom"/>
          </w:tcPr>
          <w:p>
            <w:pPr>
              <w:spacing w:after="0"/>
              <w:rPr>
                <w:sz w:val="21"/>
                <w:szCs w:val="21"/>
                <w:color w:val="auto"/>
              </w:rPr>
            </w:pPr>
          </w:p>
        </w:tc>
      </w:tr>
      <w:tr>
        <w:trPr>
          <w:trHeight w:val="270"/>
        </w:trPr>
        <w:tc>
          <w:tcPr>
            <w:tcW w:w="3700" w:type="dxa"/>
            <w:vAlign w:val="bottom"/>
            <w:gridSpan w:val="2"/>
          </w:tcPr>
          <w:p>
            <w:pPr>
              <w:ind w:left="1140"/>
              <w:spacing w:after="0"/>
              <w:rPr>
                <w:sz w:val="20"/>
                <w:szCs w:val="20"/>
                <w:color w:val="auto"/>
              </w:rPr>
            </w:pPr>
            <w:r>
              <w:rPr>
                <w:rFonts w:ascii="Arial" w:cs="Arial" w:eastAsia="Arial" w:hAnsi="Arial"/>
                <w:sz w:val="18"/>
                <w:szCs w:val="18"/>
                <w:color w:val="auto"/>
              </w:rPr>
              <w:t>Past due over 91 days</w:t>
            </w: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060" w:type="dxa"/>
            <w:vAlign w:val="bottom"/>
          </w:tcPr>
          <w:p>
            <w:pPr>
              <w:spacing w:after="0"/>
              <w:rPr>
                <w:sz w:val="23"/>
                <w:szCs w:val="23"/>
                <w:color w:val="auto"/>
              </w:rPr>
            </w:pPr>
          </w:p>
        </w:tc>
      </w:tr>
      <w:tr>
        <w:trPr>
          <w:trHeight w:val="20"/>
        </w:trPr>
        <w:tc>
          <w:tcPr>
            <w:tcW w:w="37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7"/>
        </w:trPr>
        <w:tc>
          <w:tcPr>
            <w:tcW w:w="1140" w:type="dxa"/>
            <w:vAlign w:val="bottom"/>
          </w:tcPr>
          <w:p>
            <w:pPr>
              <w:spacing w:after="0"/>
              <w:rPr>
                <w:sz w:val="24"/>
                <w:szCs w:val="24"/>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116,986</w:t>
            </w:r>
          </w:p>
        </w:tc>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25,894</w:t>
            </w:r>
          </w:p>
        </w:tc>
        <w:tc>
          <w:tcPr>
            <w:tcW w:w="200" w:type="dxa"/>
            <w:vAlign w:val="bottom"/>
            <w:shd w:val="clear" w:color="auto" w:fill="CCFFCC"/>
          </w:tcPr>
          <w:p>
            <w:pPr>
              <w:spacing w:after="0"/>
              <w:rPr>
                <w:sz w:val="24"/>
                <w:szCs w:val="24"/>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9,598</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152,478</w:t>
            </w:r>
          </w:p>
        </w:tc>
        <w:tc>
          <w:tcPr>
            <w:tcW w:w="120" w:type="dxa"/>
            <w:vAlign w:val="bottom"/>
            <w:shd w:val="clear" w:color="auto" w:fill="CCFFCC"/>
          </w:tcPr>
          <w:p>
            <w:pPr>
              <w:spacing w:after="0"/>
              <w:rPr>
                <w:sz w:val="24"/>
                <w:szCs w:val="24"/>
                <w:color w:val="auto"/>
              </w:rPr>
            </w:pPr>
          </w:p>
        </w:tc>
        <w:tc>
          <w:tcPr>
            <w:tcW w:w="2060" w:type="dxa"/>
            <w:vAlign w:val="bottom"/>
          </w:tcPr>
          <w:p>
            <w:pPr>
              <w:spacing w:after="0"/>
              <w:rPr>
                <w:sz w:val="24"/>
                <w:szCs w:val="24"/>
                <w:color w:val="auto"/>
              </w:rPr>
            </w:pPr>
          </w:p>
        </w:tc>
      </w:tr>
      <w:tr>
        <w:trPr>
          <w:trHeight w:val="467"/>
        </w:trPr>
        <w:tc>
          <w:tcPr>
            <w:tcW w:w="1140" w:type="dxa"/>
            <w:vAlign w:val="bottom"/>
          </w:tcPr>
          <w:p>
            <w:pPr>
              <w:spacing w:after="0"/>
              <w:rPr>
                <w:sz w:val="24"/>
                <w:szCs w:val="24"/>
                <w:color w:val="auto"/>
              </w:rPr>
            </w:pPr>
          </w:p>
        </w:tc>
        <w:tc>
          <w:tcPr>
            <w:tcW w:w="256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F-104</w:t>
            </w:r>
          </w:p>
        </w:tc>
        <w:tc>
          <w:tcPr>
            <w:tcW w:w="200" w:type="dxa"/>
            <w:vAlign w:val="bottom"/>
            <w:tcBorders>
              <w:top w:val="single" w:sz="8" w:color="CCFFC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06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580"/>
        <w:spacing w:after="0" w:line="277" w:lineRule="auto"/>
        <w:rPr>
          <w:sz w:val="20"/>
          <w:szCs w:val="20"/>
          <w:color w:val="auto"/>
        </w:rPr>
      </w:pPr>
      <w:r>
        <w:rPr>
          <w:rFonts w:ascii="Arial" w:cs="Arial" w:eastAsia="Arial" w:hAnsi="Arial"/>
          <w:sz w:val="18"/>
          <w:szCs w:val="18"/>
          <w:color w:val="auto"/>
        </w:rPr>
        <w:t>The break down of the gross amount of impaired loans by class, along with the fair value of related collateral and the amounts of their allowance for loan losses,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As of December 31, 2007</w:t>
            </w:r>
          </w:p>
        </w:tc>
        <w:tc>
          <w:tcPr>
            <w:tcW w:w="1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Commercial</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256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2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5"/>
        </w:trPr>
        <w:tc>
          <w:tcPr>
            <w:tcW w:w="2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Impaired loans</w:t>
            </w: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147,596</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30,086</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34,962</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212,644</w:t>
            </w:r>
          </w:p>
        </w:tc>
        <w:tc>
          <w:tcPr>
            <w:tcW w:w="120" w:type="dxa"/>
            <w:vAlign w:val="bottom"/>
            <w:tcBorders>
              <w:bottom w:val="single" w:sz="8" w:color="CCFFCC"/>
            </w:tcBorders>
            <w:shd w:val="clear" w:color="auto" w:fill="CCFFCC"/>
          </w:tcPr>
          <w:p>
            <w:pPr>
              <w:spacing w:after="0"/>
              <w:rPr>
                <w:sz w:val="23"/>
                <w:szCs w:val="23"/>
                <w:color w:val="auto"/>
              </w:rPr>
            </w:pPr>
          </w:p>
        </w:tc>
      </w:tr>
      <w:tr>
        <w:trPr>
          <w:trHeight w:val="237"/>
        </w:trPr>
        <w:tc>
          <w:tcPr>
            <w:tcW w:w="256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75"/>
        </w:trPr>
        <w:tc>
          <w:tcPr>
            <w:tcW w:w="2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Fair value of collateral</w:t>
            </w: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59,957</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19,863</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3,914</w:t>
            </w:r>
          </w:p>
        </w:tc>
        <w:tc>
          <w:tcPr>
            <w:tcW w:w="13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83,734</w:t>
            </w:r>
          </w:p>
        </w:tc>
      </w:tr>
      <w:tr>
        <w:trPr>
          <w:trHeight w:val="237"/>
        </w:trPr>
        <w:tc>
          <w:tcPr>
            <w:tcW w:w="256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63"/>
        </w:trPr>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Allowance for loan losses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72,793</w:t>
            </w:r>
          </w:p>
        </w:tc>
        <w:tc>
          <w:tcPr>
            <w:tcW w:w="200" w:type="dxa"/>
            <w:vAlign w:val="bottom"/>
            <w:shd w:val="clear" w:color="auto" w:fill="CCFFCC"/>
          </w:tcPr>
          <w:p>
            <w:pPr>
              <w:spacing w:after="0"/>
              <w:rPr>
                <w:sz w:val="22"/>
                <w:szCs w:val="22"/>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6,238</w:t>
            </w:r>
          </w:p>
        </w:tc>
        <w:tc>
          <w:tcPr>
            <w:tcW w:w="20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20,173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99,204,</w:t>
            </w:r>
          </w:p>
        </w:tc>
        <w:tc>
          <w:tcPr>
            <w:tcW w:w="120" w:type="dxa"/>
            <w:vAlign w:val="bottom"/>
            <w:shd w:val="clear" w:color="auto" w:fill="CCFFCC"/>
          </w:tcPr>
          <w:p>
            <w:pPr>
              <w:spacing w:after="0"/>
              <w:rPr>
                <w:sz w:val="22"/>
                <w:szCs w:val="22"/>
                <w:color w:val="auto"/>
              </w:rPr>
            </w:pPr>
          </w:p>
        </w:tc>
      </w:tr>
      <w:tr>
        <w:trPr>
          <w:trHeight w:val="20"/>
        </w:trPr>
        <w:tc>
          <w:tcPr>
            <w:tcW w:w="25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521"/>
        </w:trPr>
        <w:tc>
          <w:tcPr>
            <w:tcW w:w="2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As of December 31, 2006</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Commercial</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256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2560" w:type="dxa"/>
            <w:vAlign w:val="bottom"/>
          </w:tcPr>
          <w:p>
            <w:pPr>
              <w:spacing w:after="0"/>
              <w:rPr>
                <w:sz w:val="21"/>
                <w:szCs w:val="21"/>
                <w:color w:val="auto"/>
              </w:rPr>
            </w:pPr>
          </w:p>
        </w:tc>
        <w:tc>
          <w:tcPr>
            <w:tcW w:w="1440" w:type="dxa"/>
            <w:vAlign w:val="bottom"/>
            <w:gridSpan w:val="2"/>
          </w:tcPr>
          <w:p>
            <w:pPr>
              <w:spacing w:after="0"/>
              <w:rPr>
                <w:sz w:val="21"/>
                <w:szCs w:val="21"/>
                <w:color w:val="auto"/>
              </w:rPr>
            </w:pPr>
          </w:p>
        </w:tc>
        <w:tc>
          <w:tcPr>
            <w:tcW w:w="1420" w:type="dxa"/>
            <w:vAlign w:val="bottom"/>
            <w:gridSpan w:val="2"/>
          </w:tcPr>
          <w:p>
            <w:pPr>
              <w:spacing w:after="0"/>
              <w:rPr>
                <w:sz w:val="21"/>
                <w:szCs w:val="21"/>
                <w:color w:val="auto"/>
              </w:rPr>
            </w:pPr>
          </w:p>
        </w:tc>
        <w:tc>
          <w:tcPr>
            <w:tcW w:w="142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5"/>
        </w:trPr>
        <w:tc>
          <w:tcPr>
            <w:tcW w:w="2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Impaired loans</w:t>
            </w: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200,520</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29,009</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20,058</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249,587</w:t>
            </w:r>
          </w:p>
        </w:tc>
        <w:tc>
          <w:tcPr>
            <w:tcW w:w="120" w:type="dxa"/>
            <w:vAlign w:val="bottom"/>
            <w:tcBorders>
              <w:bottom w:val="single" w:sz="8" w:color="CCFFCC"/>
            </w:tcBorders>
            <w:shd w:val="clear" w:color="auto" w:fill="CCFFCC"/>
          </w:tcPr>
          <w:p>
            <w:pPr>
              <w:spacing w:after="0"/>
              <w:rPr>
                <w:sz w:val="23"/>
                <w:szCs w:val="23"/>
                <w:color w:val="auto"/>
              </w:rPr>
            </w:pPr>
          </w:p>
        </w:tc>
      </w:tr>
      <w:tr>
        <w:trPr>
          <w:trHeight w:val="237"/>
        </w:trPr>
        <w:tc>
          <w:tcPr>
            <w:tcW w:w="256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75"/>
        </w:trPr>
        <w:tc>
          <w:tcPr>
            <w:tcW w:w="2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Fair value of collateral</w:t>
            </w: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85,550</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21,654</w:t>
            </w:r>
          </w:p>
        </w:tc>
        <w:tc>
          <w:tcPr>
            <w:tcW w:w="14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2,447</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109,651</w:t>
            </w:r>
          </w:p>
        </w:tc>
        <w:tc>
          <w:tcPr>
            <w:tcW w:w="120" w:type="dxa"/>
            <w:vAlign w:val="bottom"/>
            <w:tcBorders>
              <w:bottom w:val="single" w:sz="8" w:color="CCFFCC"/>
            </w:tcBorders>
            <w:shd w:val="clear" w:color="auto" w:fill="CCFFCC"/>
          </w:tcPr>
          <w:p>
            <w:pPr>
              <w:spacing w:after="0"/>
              <w:rPr>
                <w:sz w:val="23"/>
                <w:szCs w:val="23"/>
                <w:color w:val="auto"/>
              </w:rPr>
            </w:pPr>
          </w:p>
        </w:tc>
      </w:tr>
      <w:tr>
        <w:trPr>
          <w:trHeight w:val="237"/>
        </w:trPr>
        <w:tc>
          <w:tcPr>
            <w:tcW w:w="256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63"/>
        </w:trPr>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Allowance for loan losses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104,533</w:t>
            </w:r>
          </w:p>
        </w:tc>
        <w:tc>
          <w:tcPr>
            <w:tcW w:w="200" w:type="dxa"/>
            <w:vAlign w:val="bottom"/>
            <w:shd w:val="clear" w:color="auto" w:fill="CCFFCC"/>
          </w:tcPr>
          <w:p>
            <w:pPr>
              <w:spacing w:after="0"/>
              <w:rPr>
                <w:sz w:val="22"/>
                <w:szCs w:val="22"/>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4,240</w:t>
            </w:r>
          </w:p>
        </w:tc>
        <w:tc>
          <w:tcPr>
            <w:tcW w:w="20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10,825</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119,598</w:t>
            </w:r>
          </w:p>
        </w:tc>
      </w:tr>
      <w:tr>
        <w:trPr>
          <w:trHeight w:val="20"/>
        </w:trPr>
        <w:tc>
          <w:tcPr>
            <w:tcW w:w="25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1140" w:hanging="646"/>
        <w:spacing w:after="0"/>
        <w:tabs>
          <w:tab w:leader="none" w:pos="11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 management on investments in trading securities and available-for-sale -</w:t>
      </w:r>
    </w:p>
    <w:p>
      <w:pPr>
        <w:spacing w:after="0" w:line="27" w:lineRule="exact"/>
        <w:rPr>
          <w:rFonts w:ascii="Arial" w:cs="Arial" w:eastAsia="Arial" w:hAnsi="Arial"/>
          <w:sz w:val="18"/>
          <w:szCs w:val="18"/>
          <w:b w:val="1"/>
          <w:bCs w:val="1"/>
          <w:color w:val="auto"/>
        </w:rPr>
      </w:pPr>
    </w:p>
    <w:p>
      <w:pPr>
        <w:ind w:left="11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The Group evaluates the credit risk identified of each of the financial instruments in these categories, stating the risk rating granted to them by a risk rating agency. For investments traded in Peru, the risk ratings use are those provided by Apoyo &amp; Asociados Internacionales S.A.C. (a Peruvian rating agency authorized by the Peruvian government regulator and associated to Fitch Rating) and for investments traded abroad, the risk-ratings used are those provided by Standard &amp; Poors. In the event any subsidiary use a risk-rating prepared by any other risk rating agency, such risk-ratings are standardized with those provided by the afore-mentioned institutions for consolidation purposes.</w:t>
      </w:r>
    </w:p>
    <w:p>
      <w:pPr>
        <w:spacing w:after="0" w:line="216" w:lineRule="exact"/>
        <w:rPr>
          <w:rFonts w:ascii="Arial" w:cs="Arial" w:eastAsia="Arial" w:hAnsi="Arial"/>
          <w:sz w:val="18"/>
          <w:szCs w:val="18"/>
          <w:b w:val="1"/>
          <w:bCs w:val="1"/>
          <w:color w:val="auto"/>
        </w:rPr>
      </w:pPr>
    </w:p>
    <w:p>
      <w:pPr>
        <w:ind w:left="114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following table shows the analysis of the risk-rating of held-for-trading and available-for-sale investments, provided by the institutions referred to above. These financial instruments are mostly concentrated on the first risk ratings or are debt securities issued by Banco Central de Reserva del Peru - BCRP (not rated), as a way to reduce their impact on the consolidated financial statements of any eventual substantial loss that may arise from the impairment of the credit and general position of issuers. The exposure composition is as follows: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8"/>
              </w:rPr>
              <w:t>As of December 31, 2007</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Held-for-trading</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gridSpan w:val="4"/>
          </w:tcPr>
          <w:p>
            <w:pPr>
              <w:ind w:left="400"/>
              <w:spacing w:after="0"/>
              <w:rPr>
                <w:sz w:val="20"/>
                <w:szCs w:val="20"/>
                <w:color w:val="auto"/>
              </w:rPr>
            </w:pPr>
            <w:r>
              <w:rPr>
                <w:rFonts w:ascii="Arial" w:cs="Arial" w:eastAsia="Arial" w:hAnsi="Arial"/>
                <w:sz w:val="18"/>
                <w:szCs w:val="18"/>
                <w:b w:val="1"/>
                <w:bCs w:val="1"/>
                <w:color w:val="auto"/>
              </w:rPr>
              <w:t>Available-for-sale</w:t>
            </w:r>
          </w:p>
        </w:tc>
        <w:tc>
          <w:tcPr>
            <w:tcW w:w="142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US$(000)</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US$(000)</w:t>
            </w: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US$(000)</w:t>
            </w:r>
          </w:p>
        </w:tc>
        <w:tc>
          <w:tcPr>
            <w:tcW w:w="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1"/>
                <w:szCs w:val="21"/>
                <w:color w:val="auto"/>
              </w:rPr>
            </w:pPr>
          </w:p>
        </w:tc>
        <w:tc>
          <w:tcPr>
            <w:tcW w:w="1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19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Instruments rated in</w:t>
            </w:r>
          </w:p>
        </w:tc>
        <w:tc>
          <w:tcPr>
            <w:tcW w:w="10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Peru</w:t>
            </w:r>
          </w:p>
        </w:tc>
        <w:tc>
          <w:tcPr>
            <w:tcW w:w="10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AAA</w:t>
            </w: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285,661</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285,932</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AA- to AA +</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35,943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37,244</w:t>
            </w: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A- to A+</w:t>
            </w: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13,306</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13,455</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BBB- a BBB+</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2,018</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BB- to BB+</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2,214</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Unrated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25,078</w:t>
            </w: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2,854,295</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2,879,373</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1940" w:type="dxa"/>
            <w:vAlign w:val="bottom"/>
            <w:shd w:val="clear" w:color="auto" w:fill="CCFFCC"/>
          </w:tcPr>
          <w:p>
            <w:pPr>
              <w:spacing w:after="0"/>
              <w:rPr>
                <w:sz w:val="24"/>
                <w:szCs w:val="24"/>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26,799</w:t>
            </w:r>
          </w:p>
        </w:tc>
        <w:tc>
          <w:tcPr>
            <w:tcW w:w="8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52.6</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3,193,437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61.1</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3,220,236</w:t>
            </w:r>
          </w:p>
        </w:tc>
        <w:tc>
          <w:tcPr>
            <w:tcW w:w="8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vMerge w:val="restart"/>
          </w:tcPr>
          <w:p>
            <w:pPr>
              <w:spacing w:after="0"/>
              <w:rPr>
                <w:sz w:val="19"/>
                <w:szCs w:val="19"/>
                <w:color w:val="auto"/>
              </w:rPr>
            </w:pPr>
          </w:p>
        </w:tc>
        <w:tc>
          <w:tcPr>
            <w:tcW w:w="1940" w:type="dxa"/>
            <w:vAlign w:val="bottom"/>
            <w:tcBorders>
              <w:top w:val="single" w:sz="8" w:color="CCFFC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19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Instruments rated</w:t>
            </w:r>
          </w:p>
        </w:tc>
        <w:tc>
          <w:tcPr>
            <w:tcW w:w="10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abroad</w:t>
            </w:r>
          </w:p>
        </w:tc>
        <w:tc>
          <w:tcPr>
            <w:tcW w:w="10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AAA</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242,428</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242,428</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AA- to AA +</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132,907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132,907</w:t>
            </w: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A- to A+</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234,455</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234,455</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BBB- a BBB+</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19,336</w:t>
            </w:r>
          </w:p>
        </w:tc>
        <w:tc>
          <w:tcPr>
            <w:tcW w:w="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37.8</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584,549</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603,885</w:t>
            </w: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BB- to BB+</w:t>
            </w:r>
          </w:p>
        </w:tc>
        <w:tc>
          <w:tcPr>
            <w:tcW w:w="1040" w:type="dxa"/>
            <w:vAlign w:val="bottom"/>
          </w:tcPr>
          <w:p>
            <w:pPr>
              <w:jc w:val="right"/>
              <w:spacing w:after="0"/>
              <w:rPr>
                <w:sz w:val="20"/>
                <w:szCs w:val="20"/>
                <w:color w:val="auto"/>
              </w:rPr>
            </w:pPr>
            <w:r>
              <w:rPr>
                <w:rFonts w:ascii="Arial" w:cs="Arial" w:eastAsia="Arial" w:hAnsi="Arial"/>
                <w:sz w:val="18"/>
                <w:szCs w:val="18"/>
                <w:color w:val="auto"/>
              </w:rPr>
              <w:t>2,119</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539,816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541,935</w:t>
            </w:r>
          </w:p>
        </w:tc>
        <w:tc>
          <w:tcPr>
            <w:tcW w:w="3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22,740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22,740</w:t>
            </w:r>
          </w:p>
        </w:tc>
        <w:tc>
          <w:tcPr>
            <w:tcW w:w="30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FFCC"/>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80" w:type="dxa"/>
            <w:vAlign w:val="bottom"/>
            <w:gridSpan w:val="2"/>
          </w:tcPr>
          <w:p>
            <w:pPr>
              <w:ind w:left="1140"/>
              <w:spacing w:after="0"/>
              <w:rPr>
                <w:sz w:val="20"/>
                <w:szCs w:val="20"/>
                <w:color w:val="auto"/>
              </w:rPr>
            </w:pPr>
            <w:r>
              <w:rPr>
                <w:rFonts w:ascii="Arial" w:cs="Arial" w:eastAsia="Arial" w:hAnsi="Arial"/>
                <w:sz w:val="18"/>
                <w:szCs w:val="18"/>
                <w:color w:val="auto"/>
              </w:rPr>
              <w:t>Unrated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278,309</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281,050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2"/>
                <w:szCs w:val="22"/>
                <w:color w:val="auto"/>
              </w:rPr>
            </w:pPr>
          </w:p>
        </w:tc>
        <w:tc>
          <w:tcPr>
            <w:tcW w:w="194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24,196</w:t>
            </w:r>
          </w:p>
        </w:tc>
        <w:tc>
          <w:tcPr>
            <w:tcW w:w="80" w:type="dxa"/>
            <w:vAlign w:val="bottom"/>
            <w:tcBorders>
              <w:bottom w:val="single" w:sz="8" w:color="CCFFCC"/>
            </w:tcBorders>
            <w:shd w:val="clear" w:color="auto" w:fill="CCFFCC"/>
          </w:tcPr>
          <w:p>
            <w:pPr>
              <w:spacing w:after="0"/>
              <w:rPr>
                <w:sz w:val="22"/>
                <w:szCs w:val="22"/>
                <w:color w:val="auto"/>
              </w:rPr>
            </w:pPr>
          </w:p>
        </w:tc>
        <w:tc>
          <w:tcPr>
            <w:tcW w:w="62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47.4</w:t>
            </w:r>
          </w:p>
        </w:tc>
        <w:tc>
          <w:tcPr>
            <w:tcW w:w="11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2,035,204</w:t>
            </w: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2,059,400</w:t>
            </w: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94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4"/>
                <w:szCs w:val="24"/>
                <w:color w:val="auto"/>
              </w:rPr>
            </w:pPr>
          </w:p>
        </w:tc>
        <w:tc>
          <w:tcPr>
            <w:tcW w:w="1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50,995</w:t>
            </w:r>
          </w:p>
        </w:tc>
        <w:tc>
          <w:tcPr>
            <w:tcW w:w="80" w:type="dxa"/>
            <w:vAlign w:val="bottom"/>
            <w:tcBorders>
              <w:bottom w:val="single" w:sz="8" w:color="CCFFCC"/>
            </w:tcBorders>
            <w:shd w:val="clear" w:color="auto" w:fill="CCFFCC"/>
          </w:tcPr>
          <w:p>
            <w:pPr>
              <w:spacing w:after="0"/>
              <w:rPr>
                <w:sz w:val="24"/>
                <w:szCs w:val="24"/>
                <w:color w:val="auto"/>
              </w:rPr>
            </w:pPr>
          </w:p>
        </w:tc>
        <w:tc>
          <w:tcPr>
            <w:tcW w:w="620" w:type="dxa"/>
            <w:vAlign w:val="bottom"/>
            <w:tcBorders>
              <w:bottom w:val="single" w:sz="8" w:color="auto"/>
            </w:tcBorders>
            <w:shd w:val="clear" w:color="auto" w:fill="CCFFCC"/>
          </w:tcPr>
          <w:p>
            <w:pPr>
              <w:spacing w:after="0"/>
              <w:rPr>
                <w:sz w:val="24"/>
                <w:szCs w:val="24"/>
                <w:color w:val="auto"/>
              </w:rPr>
            </w:pP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100.0</w:t>
            </w:r>
          </w:p>
        </w:tc>
        <w:tc>
          <w:tcPr>
            <w:tcW w:w="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5,228,641</w:t>
            </w:r>
          </w:p>
        </w:tc>
        <w:tc>
          <w:tcPr>
            <w:tcW w:w="100" w:type="dxa"/>
            <w:vAlign w:val="bottom"/>
            <w:tcBorders>
              <w:bottom w:val="single" w:sz="8" w:color="CCFFCC"/>
            </w:tcBorders>
            <w:shd w:val="clear" w:color="auto" w:fill="CCFFCC"/>
          </w:tcPr>
          <w:p>
            <w:pPr>
              <w:spacing w:after="0"/>
              <w:rPr>
                <w:sz w:val="24"/>
                <w:szCs w:val="24"/>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5,279,636</w:t>
            </w: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spacing w:after="0"/>
              <w:rPr>
                <w:sz w:val="24"/>
                <w:szCs w:val="24"/>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FFCC"/>
            </w:tcBorders>
            <w:shd w:val="clear" w:color="auto" w:fill="CCFFCC"/>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F-106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17145</wp:posOffset>
            </wp:positionV>
            <wp:extent cx="42367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57"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21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Held-for-trading</w:t>
            </w:r>
          </w:p>
        </w:tc>
        <w:tc>
          <w:tcPr>
            <w:tcW w:w="80" w:type="dxa"/>
            <w:vAlign w:val="bottom"/>
          </w:tcPr>
          <w:p>
            <w:pPr>
              <w:spacing w:after="0"/>
              <w:rPr>
                <w:sz w:val="20"/>
                <w:szCs w:val="20"/>
                <w:color w:val="auto"/>
              </w:rPr>
            </w:pPr>
          </w:p>
        </w:tc>
        <w:tc>
          <w:tcPr>
            <w:tcW w:w="2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88"/>
              </w:rPr>
              <w:t>Total</w:t>
            </w:r>
          </w:p>
        </w:tc>
      </w:tr>
      <w:tr>
        <w:trPr>
          <w:trHeight w:val="237"/>
        </w:trPr>
        <w:tc>
          <w:tcPr>
            <w:tcW w:w="1220" w:type="dxa"/>
            <w:vAlign w:val="bottom"/>
          </w:tcPr>
          <w:p>
            <w:pPr>
              <w:ind w:left="160"/>
              <w:spacing w:after="0"/>
              <w:rPr>
                <w:sz w:val="20"/>
                <w:szCs w:val="20"/>
                <w:color w:val="auto"/>
              </w:rPr>
            </w:pPr>
            <w:r>
              <w:rPr>
                <w:rFonts w:ascii="Arial" w:cs="Arial" w:eastAsia="Arial" w:hAnsi="Arial"/>
                <w:sz w:val="18"/>
                <w:szCs w:val="18"/>
                <w:color w:val="auto"/>
              </w:rPr>
              <w:t>US$(000)</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US$(000)</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90"/>
              </w:rPr>
              <w:t>US$(000)</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402" w:right="239" w:bottom="1440" w:gutter="0" w:footer="0" w:header="0"/>
        </w:sectPr>
      </w:pPr>
    </w:p>
    <w:p>
      <w:pPr>
        <w:spacing w:after="0" w:line="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Instruments rated in</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Peru</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AAA</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AA -to AA +</w:t>
            </w:r>
          </w:p>
        </w:tc>
        <w:tc>
          <w:tcPr>
            <w:tcW w:w="1040" w:type="dxa"/>
            <w:vAlign w:val="bottom"/>
          </w:tcPr>
          <w:p>
            <w:pPr>
              <w:jc w:val="right"/>
              <w:spacing w:after="0"/>
              <w:rPr>
                <w:sz w:val="20"/>
                <w:szCs w:val="20"/>
                <w:color w:val="auto"/>
              </w:rPr>
            </w:pPr>
            <w:r>
              <w:rPr>
                <w:rFonts w:ascii="Arial" w:cs="Arial" w:eastAsia="Arial" w:hAnsi="Arial"/>
                <w:sz w:val="18"/>
                <w:szCs w:val="18"/>
                <w:color w:val="auto"/>
              </w:rPr>
              <w:t>8,755</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19.4</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A to A+</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BBB- to BBB</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BB- to BB+</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Lower than B-</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Unrated (*)</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35,602</w:t>
            </w:r>
          </w:p>
        </w:tc>
        <w:tc>
          <w:tcPr>
            <w:tcW w:w="6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3"/>
                <w:szCs w:val="23"/>
                <w:color w:val="auto"/>
              </w:rPr>
            </w:pPr>
          </w:p>
        </w:tc>
      </w:tr>
      <w:tr>
        <w:trPr>
          <w:trHeight w:val="277"/>
        </w:trPr>
        <w:tc>
          <w:tcPr>
            <w:tcW w:w="1760" w:type="dxa"/>
            <w:vAlign w:val="bottom"/>
          </w:tcPr>
          <w:p>
            <w:pPr>
              <w:spacing w:after="0"/>
              <w:rPr>
                <w:sz w:val="24"/>
                <w:szCs w:val="24"/>
                <w:color w:val="auto"/>
              </w:rPr>
            </w:pPr>
          </w:p>
        </w:tc>
        <w:tc>
          <w:tcPr>
            <w:tcW w:w="180" w:type="dxa"/>
            <w:vAlign w:val="bottom"/>
            <w:tcBorders>
              <w:bottom w:val="single" w:sz="8" w:color="CCFFC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45,136</w:t>
            </w:r>
          </w:p>
        </w:tc>
        <w:tc>
          <w:tcPr>
            <w:tcW w:w="20" w:type="dxa"/>
            <w:vAlign w:val="bottom"/>
            <w:tcBorders>
              <w:bottom w:val="single" w:sz="8" w:color="CCFFCC"/>
            </w:tcBorders>
          </w:tcPr>
          <w:p>
            <w:pPr>
              <w:spacing w:after="0"/>
              <w:rPr>
                <w:sz w:val="24"/>
                <w:szCs w:val="24"/>
                <w:color w:val="auto"/>
              </w:rPr>
            </w:pPr>
          </w:p>
        </w:tc>
        <w:tc>
          <w:tcPr>
            <w:tcW w:w="60" w:type="dxa"/>
            <w:vAlign w:val="bottom"/>
            <w:tcBorders>
              <w:bottom w:val="single" w:sz="8" w:color="CCFFC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FFCC"/>
            </w:tcBorders>
          </w:tcPr>
          <w:p>
            <w:pPr>
              <w:spacing w:after="0"/>
              <w:rPr>
                <w:sz w:val="24"/>
                <w:szCs w:val="24"/>
                <w:color w:val="auto"/>
              </w:rPr>
            </w:pPr>
          </w:p>
        </w:tc>
      </w:tr>
      <w:tr>
        <w:trPr>
          <w:trHeight w:val="421"/>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Instruments rated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abroad</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AAA</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AA- to AA +</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A to A+</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BBB- to BBB+</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BB- a BB+</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gridSpan w:val="2"/>
          </w:tcPr>
          <w:p>
            <w:pPr>
              <w:spacing w:after="0"/>
              <w:rPr>
                <w:sz w:val="20"/>
                <w:szCs w:val="20"/>
                <w:color w:val="auto"/>
              </w:rPr>
            </w:pPr>
            <w:r>
              <w:rPr>
                <w:rFonts w:ascii="Arial" w:cs="Arial" w:eastAsia="Arial" w:hAnsi="Arial"/>
                <w:sz w:val="18"/>
                <w:szCs w:val="18"/>
                <w:color w:val="auto"/>
              </w:rPr>
              <w:t>Lower than BB-</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1940" w:type="dxa"/>
            <w:vAlign w:val="bottom"/>
            <w:gridSpan w:val="2"/>
          </w:tcPr>
          <w:p>
            <w:pPr>
              <w:spacing w:after="0"/>
              <w:rPr>
                <w:sz w:val="20"/>
                <w:szCs w:val="20"/>
                <w:color w:val="auto"/>
              </w:rPr>
            </w:pPr>
            <w:r>
              <w:rPr>
                <w:rFonts w:ascii="Arial" w:cs="Arial" w:eastAsia="Arial" w:hAnsi="Arial"/>
                <w:sz w:val="18"/>
                <w:szCs w:val="18"/>
                <w:color w:val="auto"/>
              </w:rPr>
              <w:t>Unrated (*)</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213,142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213,144</w:t>
            </w: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48,406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57,161</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9,207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9,984</w:t>
            </w: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1,719</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2,679</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1,521,008</w:t>
            </w:r>
          </w:p>
        </w:tc>
        <w:tc>
          <w:tcPr>
            <w:tcW w:w="8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1,556,610</w:t>
            </w:r>
          </w:p>
        </w:tc>
        <w:tc>
          <w:tcPr>
            <w:tcW w:w="8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3"/>
                <w:szCs w:val="23"/>
                <w:color w:val="auto"/>
              </w:rPr>
            </w:pPr>
          </w:p>
        </w:tc>
      </w:tr>
      <w:tr>
        <w:trPr>
          <w:trHeight w:val="277"/>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1,796,161</w:t>
            </w:r>
          </w:p>
        </w:tc>
        <w:tc>
          <w:tcPr>
            <w:tcW w:w="20" w:type="dxa"/>
            <w:vAlign w:val="bottom"/>
            <w:tcBorders>
              <w:bottom w:val="single" w:sz="8" w:color="CCFFCC"/>
            </w:tcBorders>
          </w:tcPr>
          <w:p>
            <w:pPr>
              <w:spacing w:after="0"/>
              <w:rPr>
                <w:sz w:val="24"/>
                <w:szCs w:val="24"/>
                <w:color w:val="auto"/>
              </w:rPr>
            </w:pPr>
          </w:p>
        </w:tc>
        <w:tc>
          <w:tcPr>
            <w:tcW w:w="80" w:type="dxa"/>
            <w:vAlign w:val="bottom"/>
            <w:tcBorders>
              <w:bottom w:val="single" w:sz="8" w:color="CCFFCC"/>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FFC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1,841,297</w:t>
            </w:r>
          </w:p>
        </w:tc>
        <w:tc>
          <w:tcPr>
            <w:tcW w:w="80" w:type="dxa"/>
            <w:vAlign w:val="bottom"/>
            <w:tcBorders>
              <w:bottom w:val="single" w:sz="8" w:color="CCFFCC"/>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FFCC"/>
            </w:tcBorders>
          </w:tcPr>
          <w:p>
            <w:pPr>
              <w:spacing w:after="0"/>
              <w:rPr>
                <w:sz w:val="24"/>
                <w:szCs w:val="24"/>
                <w:color w:val="auto"/>
              </w:rPr>
            </w:pPr>
          </w:p>
        </w:tc>
      </w:tr>
      <w:tr>
        <w:trPr>
          <w:trHeight w:val="899"/>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243,098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243,098</w:t>
            </w: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90,274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90,274</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268,555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268,555</w:t>
            </w: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412,055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412,055</w:t>
            </w: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420,948</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420,948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43"/>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16,672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16,672</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r>
      <w:tr>
        <w:trPr>
          <w:trHeight w:val="270"/>
        </w:trPr>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202,948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202,948</w:t>
            </w: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-3086735</wp:posOffset>
            </wp:positionV>
            <wp:extent cx="5539740" cy="274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39740" cy="27432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-2658110</wp:posOffset>
            </wp:positionV>
            <wp:extent cx="553974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39740" cy="15430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-2348865</wp:posOffset>
            </wp:positionV>
            <wp:extent cx="553974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39740" cy="15430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-2040255</wp:posOffset>
            </wp:positionV>
            <wp:extent cx="553974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39740" cy="15430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-1371600</wp:posOffset>
            </wp:positionV>
            <wp:extent cx="5539740" cy="274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39740" cy="27432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-942975</wp:posOffset>
            </wp:positionV>
            <wp:extent cx="553974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39740" cy="15430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-633730</wp:posOffset>
            </wp:positionV>
            <wp:extent cx="553974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539740" cy="15430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-325120</wp:posOffset>
            </wp:positionV>
            <wp:extent cx="553974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39740" cy="15430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-1706245</wp:posOffset>
            </wp:positionV>
            <wp:extent cx="5539740" cy="1803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39740" cy="1803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0"/>
            <w:col w:w="6100"/>
          </w:cols>
          <w:pgMar w:left="240" w:top="402" w:right="239" w:bottom="1440" w:gutter="0" w:footer="0" w:header="0"/>
          <w:type w:val="continuous"/>
        </w:sectPr>
      </w:pPr>
    </w:p>
    <w:tbl>
      <w:tblPr>
        <w:tblLayout w:type="fixed"/>
        <w:tblInd w:w="1140" w:type="dxa"/>
        <w:tblCellMar>
          <w:top w:w="0" w:type="dxa"/>
          <w:left w:w="0" w:type="dxa"/>
          <w:bottom w:w="0" w:type="dxa"/>
          <w:right w:w="0" w:type="dxa"/>
        </w:tblCellMar>
      </w:tblPr>
      <w:tr>
        <w:trPr>
          <w:trHeight w:val="296"/>
        </w:trPr>
        <w:tc>
          <w:tcPr>
            <w:tcW w:w="176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1,654,550</w:t>
            </w:r>
          </w:p>
        </w:tc>
        <w:tc>
          <w:tcPr>
            <w:tcW w:w="100" w:type="dxa"/>
            <w:vAlign w:val="bottom"/>
            <w:tcBorders>
              <w:bottom w:val="single" w:sz="8" w:color="CCFFCC"/>
            </w:tcBorders>
            <w:shd w:val="clear" w:color="auto" w:fill="CCFFCC"/>
          </w:tcPr>
          <w:p>
            <w:pPr>
              <w:spacing w:after="0"/>
              <w:rPr>
                <w:sz w:val="24"/>
                <w:szCs w:val="24"/>
                <w:color w:val="auto"/>
              </w:rPr>
            </w:pPr>
          </w:p>
        </w:tc>
        <w:tc>
          <w:tcPr>
            <w:tcW w:w="10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1,654,550</w:t>
            </w:r>
          </w:p>
        </w:tc>
        <w:tc>
          <w:tcPr>
            <w:tcW w:w="80" w:type="dxa"/>
            <w:vAlign w:val="bottom"/>
            <w:tcBorders>
              <w:bottom w:val="single" w:sz="8" w:color="CCFFCC"/>
            </w:tcBorders>
            <w:shd w:val="clear" w:color="auto" w:fill="CCFFCC"/>
          </w:tcPr>
          <w:p>
            <w:pPr>
              <w:spacing w:after="0"/>
              <w:rPr>
                <w:sz w:val="24"/>
                <w:szCs w:val="24"/>
                <w:color w:val="auto"/>
              </w:rPr>
            </w:pPr>
          </w:p>
        </w:tc>
        <w:tc>
          <w:tcPr>
            <w:tcW w:w="10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37"/>
        </w:trPr>
        <w:tc>
          <w:tcPr>
            <w:tcW w:w="176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1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45,136</w:t>
            </w:r>
          </w:p>
        </w:tc>
        <w:tc>
          <w:tcPr>
            <w:tcW w:w="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3,450,711</w:t>
            </w:r>
          </w:p>
        </w:tc>
        <w:tc>
          <w:tcPr>
            <w:tcW w:w="100" w:type="dxa"/>
            <w:vAlign w:val="bottom"/>
            <w:tcBorders>
              <w:bottom w:val="single" w:sz="8" w:color="CCFFCC"/>
            </w:tcBorders>
            <w:shd w:val="clear" w:color="auto" w:fill="CCFFCC"/>
          </w:tcPr>
          <w:p>
            <w:pPr>
              <w:spacing w:after="0"/>
              <w:rPr>
                <w:sz w:val="24"/>
                <w:szCs w:val="24"/>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FFCC"/>
            </w:tcBorders>
            <w:shd w:val="clear" w:color="auto" w:fill="CCFFCC"/>
          </w:tcPr>
          <w:p>
            <w:pPr>
              <w:spacing w:after="0"/>
              <w:rPr>
                <w:sz w:val="24"/>
                <w:szCs w:val="24"/>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3,495,847</w:t>
            </w:r>
          </w:p>
        </w:tc>
        <w:tc>
          <w:tcPr>
            <w:tcW w:w="80" w:type="dxa"/>
            <w:vAlign w:val="bottom"/>
            <w:tcBorders>
              <w:bottom w:val="single" w:sz="8" w:color="CCFFCC"/>
            </w:tcBorders>
            <w:shd w:val="clear" w:color="auto" w:fill="CCFFCC"/>
          </w:tcPr>
          <w:p>
            <w:pPr>
              <w:spacing w:after="0"/>
              <w:rPr>
                <w:sz w:val="24"/>
                <w:szCs w:val="24"/>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620" w:hanging="478"/>
        <w:spacing w:after="0" w:line="312" w:lineRule="auto"/>
        <w:tabs>
          <w:tab w:leader="none" w:pos="16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of December 31, 2007, include principally US$2,407.0 million, US$346.1 million and US$193.4 million of debt securities issued by Banco Central de Reserva del Perú - BCRP (which is a Peruvian Government entity not rated), listed and non-listed equity securities and mutual funds, respectively (US$1,277.6 million, US$250.9 million and US$96.5 million as of December 31, 2006,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720"/>
        <w:spacing w:after="0" w:line="277" w:lineRule="auto"/>
        <w:rPr>
          <w:sz w:val="20"/>
          <w:szCs w:val="20"/>
          <w:color w:val="auto"/>
        </w:rPr>
      </w:pPr>
      <w:r>
        <w:rPr>
          <w:rFonts w:ascii="Arial" w:cs="Arial" w:eastAsia="Arial" w:hAnsi="Arial"/>
          <w:sz w:val="18"/>
          <w:szCs w:val="18"/>
          <w:color w:val="auto"/>
        </w:rPr>
        <w:t>The following table presents the summary of the various techniques used by the Group to measure the Investments available-for-sale recognized at fair value in percentage: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3"/>
        </w:trPr>
        <w:tc>
          <w:tcPr>
            <w:tcW w:w="7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Quoted Market Price</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39.4</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w:t>
            </w:r>
          </w:p>
        </w:tc>
        <w:tc>
          <w:tcPr>
            <w:tcW w:w="1560" w:type="dxa"/>
            <w:vAlign w:val="bottom"/>
          </w:tcPr>
          <w:p>
            <w:pPr>
              <w:spacing w:after="0"/>
              <w:rPr>
                <w:sz w:val="21"/>
                <w:szCs w:val="21"/>
                <w:color w:val="auto"/>
              </w:rPr>
            </w:pPr>
          </w:p>
        </w:tc>
      </w:tr>
      <w:tr>
        <w:trPr>
          <w:trHeight w:val="243"/>
        </w:trPr>
        <w:tc>
          <w:tcPr>
            <w:tcW w:w="7900" w:type="dxa"/>
            <w:vAlign w:val="bottom"/>
            <w:gridSpan w:val="3"/>
          </w:tcPr>
          <w:p>
            <w:pPr>
              <w:ind w:left="1140"/>
              <w:spacing w:after="0"/>
              <w:rPr>
                <w:sz w:val="20"/>
                <w:szCs w:val="20"/>
                <w:color w:val="auto"/>
              </w:rPr>
            </w:pPr>
            <w:r>
              <w:rPr>
                <w:rFonts w:ascii="Arial" w:cs="Arial" w:eastAsia="Arial" w:hAnsi="Arial"/>
                <w:sz w:val="18"/>
                <w:szCs w:val="18"/>
                <w:color w:val="auto"/>
              </w:rPr>
              <w:t>Valuation Techniques - market observable inputs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1560" w:type="dxa"/>
            <w:vAlign w:val="bottom"/>
          </w:tcPr>
          <w:p>
            <w:pPr>
              <w:spacing w:after="0"/>
              <w:rPr>
                <w:sz w:val="21"/>
                <w:szCs w:val="21"/>
                <w:color w:val="auto"/>
              </w:rPr>
            </w:pPr>
          </w:p>
        </w:tc>
      </w:tr>
      <w:tr>
        <w:trPr>
          <w:trHeight w:val="275"/>
        </w:trPr>
        <w:tc>
          <w:tcPr>
            <w:tcW w:w="1140" w:type="dxa"/>
            <w:vAlign w:val="bottom"/>
          </w:tcPr>
          <w:p>
            <w:pPr>
              <w:spacing w:after="0"/>
              <w:rPr>
                <w:sz w:val="23"/>
                <w:szCs w:val="23"/>
                <w:color w:val="auto"/>
              </w:rPr>
            </w:pPr>
          </w:p>
        </w:tc>
        <w:tc>
          <w:tcPr>
            <w:tcW w:w="5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Valuation Techniques - non-market observable inputs</w:t>
            </w:r>
          </w:p>
        </w:tc>
        <w:tc>
          <w:tcPr>
            <w:tcW w:w="80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FFCC"/>
            </w:tcBorders>
            <w:shd w:val="clear" w:color="auto" w:fill="CCFFCC"/>
          </w:tcPr>
          <w:p>
            <w:pPr>
              <w:spacing w:after="0"/>
              <w:rPr>
                <w:sz w:val="23"/>
                <w:szCs w:val="23"/>
                <w:color w:val="auto"/>
              </w:rPr>
            </w:pPr>
          </w:p>
        </w:tc>
        <w:tc>
          <w:tcPr>
            <w:tcW w:w="1560" w:type="dxa"/>
            <w:vAlign w:val="bottom"/>
          </w:tcPr>
          <w:p>
            <w:pPr>
              <w:spacing w:after="0"/>
              <w:rPr>
                <w:sz w:val="23"/>
                <w:szCs w:val="23"/>
                <w:color w:val="auto"/>
              </w:rPr>
            </w:pPr>
          </w:p>
        </w:tc>
      </w:tr>
      <w:tr>
        <w:trPr>
          <w:trHeight w:val="237"/>
        </w:trPr>
        <w:tc>
          <w:tcPr>
            <w:tcW w:w="1140" w:type="dxa"/>
            <w:vAlign w:val="bottom"/>
          </w:tcPr>
          <w:p>
            <w:pPr>
              <w:spacing w:after="0"/>
              <w:rPr>
                <w:sz w:val="20"/>
                <w:szCs w:val="20"/>
                <w:color w:val="auto"/>
              </w:rPr>
            </w:pPr>
          </w:p>
        </w:tc>
        <w:tc>
          <w:tcPr>
            <w:tcW w:w="5960" w:type="dxa"/>
            <w:vAlign w:val="bottom"/>
            <w:tcBorders>
              <w:top w:val="single" w:sz="8" w:color="CCFFC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560" w:type="dxa"/>
            <w:vAlign w:val="bottom"/>
          </w:tcPr>
          <w:p>
            <w:pPr>
              <w:spacing w:after="0"/>
              <w:rPr>
                <w:sz w:val="20"/>
                <w:szCs w:val="20"/>
                <w:color w:val="auto"/>
              </w:rPr>
            </w:pPr>
          </w:p>
        </w:tc>
      </w:tr>
      <w:tr>
        <w:trPr>
          <w:trHeight w:val="283"/>
        </w:trPr>
        <w:tc>
          <w:tcPr>
            <w:tcW w:w="1140" w:type="dxa"/>
            <w:vAlign w:val="bottom"/>
          </w:tcPr>
          <w:p>
            <w:pPr>
              <w:spacing w:after="0"/>
              <w:rPr>
                <w:sz w:val="24"/>
                <w:szCs w:val="24"/>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FFCC"/>
          </w:tcPr>
          <w:p>
            <w:pPr>
              <w:spacing w:after="0"/>
              <w:rPr>
                <w:sz w:val="24"/>
                <w:szCs w:val="24"/>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8"/>
              </w:rPr>
              <w:t>100.0</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24"/>
                <w:szCs w:val="24"/>
                <w:color w:val="auto"/>
              </w:rPr>
            </w:pPr>
          </w:p>
        </w:tc>
        <w:tc>
          <w:tcPr>
            <w:tcW w:w="1560" w:type="dxa"/>
            <w:vAlign w:val="bottom"/>
          </w:tcPr>
          <w:p>
            <w:pPr>
              <w:spacing w:after="0"/>
              <w:rPr>
                <w:sz w:val="24"/>
                <w:szCs w:val="24"/>
                <w:color w:val="auto"/>
              </w:rPr>
            </w:pPr>
          </w:p>
        </w:tc>
      </w:tr>
      <w:tr>
        <w:trPr>
          <w:trHeight w:val="440"/>
        </w:trPr>
        <w:tc>
          <w:tcPr>
            <w:tcW w:w="1140" w:type="dxa"/>
            <w:vAlign w:val="bottom"/>
          </w:tcPr>
          <w:p>
            <w:pPr>
              <w:spacing w:after="0"/>
              <w:rPr>
                <w:sz w:val="24"/>
                <w:szCs w:val="24"/>
                <w:color w:val="auto"/>
              </w:rPr>
            </w:pPr>
          </w:p>
        </w:tc>
        <w:tc>
          <w:tcPr>
            <w:tcW w:w="5960" w:type="dxa"/>
            <w:vAlign w:val="bottom"/>
            <w:tcBorders>
              <w:top w:val="single" w:sz="8" w:color="CCFFCC"/>
            </w:tcBorders>
          </w:tcPr>
          <w:p>
            <w:pPr>
              <w:ind w:left="4360"/>
              <w:spacing w:after="0"/>
              <w:rPr>
                <w:sz w:val="20"/>
                <w:szCs w:val="20"/>
                <w:color w:val="auto"/>
              </w:rPr>
            </w:pPr>
            <w:r>
              <w:rPr>
                <w:rFonts w:ascii="Arial" w:cs="Arial" w:eastAsia="Arial" w:hAnsi="Arial"/>
                <w:sz w:val="18"/>
                <w:szCs w:val="18"/>
                <w:color w:val="auto"/>
              </w:rPr>
              <w:t>F-108</w:t>
            </w:r>
          </w:p>
        </w:tc>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56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646"/>
        <w:spacing w:after="0"/>
        <w:tabs>
          <w:tab w:leader="none" w:pos="1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63" w:lineRule="exact"/>
        <w:rPr>
          <w:rFonts w:ascii="Arial" w:cs="Arial" w:eastAsia="Arial" w:hAnsi="Arial"/>
          <w:sz w:val="18"/>
          <w:szCs w:val="18"/>
          <w:color w:val="auto"/>
        </w:rPr>
      </w:pPr>
    </w:p>
    <w:p>
      <w:pPr>
        <w:ind w:left="1140" w:right="38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2007 and 2006, the financial instruments with exposure to the credit risk were distributed by the following economic sectors:</w:t>
      </w:r>
    </w:p>
    <w:p>
      <w:pPr>
        <w:spacing w:after="0" w:line="234" w:lineRule="exact"/>
        <w:rPr>
          <w:sz w:val="20"/>
          <w:szCs w:val="20"/>
          <w:color w:val="auto"/>
        </w:rPr>
      </w:pPr>
    </w:p>
    <w:p>
      <w:pPr>
        <w:ind w:left="4120"/>
        <w:spacing w:after="0"/>
        <w:tabs>
          <w:tab w:leader="none" w:pos="8860" w:val="left"/>
        </w:tabs>
        <w:rPr>
          <w:sz w:val="20"/>
          <w:szCs w:val="20"/>
          <w:color w:val="auto"/>
        </w:rPr>
      </w:pPr>
      <w:r>
        <w:rPr>
          <w:rFonts w:ascii="Arial" w:cs="Arial" w:eastAsia="Arial" w:hAnsi="Arial"/>
          <w:sz w:val="13"/>
          <w:szCs w:val="13"/>
          <w:b w:val="1"/>
          <w:bCs w:val="1"/>
          <w:color w:val="auto"/>
        </w:rPr>
        <w:t>2007</w:t>
      </w:r>
      <w:r>
        <w:rPr>
          <w:sz w:val="20"/>
          <w:szCs w:val="20"/>
          <w:color w:val="auto"/>
        </w:rPr>
        <w:tab/>
      </w:r>
      <w:r>
        <w:rPr>
          <w:rFonts w:ascii="Arial" w:cs="Arial" w:eastAsia="Arial" w:hAnsi="Arial"/>
          <w:sz w:val="13"/>
          <w:szCs w:val="13"/>
          <w:b w:val="1"/>
          <w:bCs w:val="1"/>
          <w:color w:val="auto"/>
        </w:rPr>
        <w:t>2006</w:t>
      </w:r>
    </w:p>
    <w:p>
      <w:pPr>
        <w:sectPr>
          <w:pgSz w:w="11900" w:h="16838" w:orient="portrait"/>
          <w:cols w:equalWidth="0" w:num="1">
            <w:col w:w="11420"/>
          </w:cols>
          <w:pgMar w:left="240" w:top="402" w:right="239" w:bottom="1440" w:gutter="0" w:footer="0" w:header="0"/>
        </w:sectPr>
      </w:pP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1"/>
          <w:szCs w:val="11"/>
          <w:b w:val="1"/>
          <w:bCs w:val="1"/>
          <w:color w:val="auto"/>
        </w:rPr>
        <w:t>Designated at fair value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-78105</wp:posOffset>
            </wp:positionV>
            <wp:extent cx="2984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profit and loss</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Arial" w:cs="Arial" w:eastAsia="Arial" w:hAnsi="Arial"/>
          <w:sz w:val="11"/>
          <w:szCs w:val="11"/>
          <w:b w:val="1"/>
          <w:bCs w:val="1"/>
          <w:color w:val="auto"/>
        </w:rPr>
        <w:t>Designated at fair value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-78105</wp:posOffset>
            </wp:positionV>
            <wp:extent cx="29159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4" w:lineRule="exact"/>
        <w:rPr>
          <w:sz w:val="20"/>
          <w:szCs w:val="20"/>
          <w:color w:val="auto"/>
        </w:rPr>
      </w:pPr>
    </w:p>
    <w:p>
      <w:pPr>
        <w:jc w:val="center"/>
        <w:ind w:right="2860"/>
        <w:spacing w:after="0"/>
        <w:rPr>
          <w:sz w:val="20"/>
          <w:szCs w:val="20"/>
          <w:color w:val="auto"/>
        </w:rPr>
      </w:pPr>
      <w:r>
        <w:rPr>
          <w:rFonts w:ascii="Arial" w:cs="Arial" w:eastAsia="Arial" w:hAnsi="Arial"/>
          <w:sz w:val="13"/>
          <w:szCs w:val="13"/>
          <w:b w:val="1"/>
          <w:bCs w:val="1"/>
          <w:color w:val="auto"/>
        </w:rPr>
        <w:t>profit and loss</w:t>
      </w:r>
    </w:p>
    <w:p>
      <w:pPr>
        <w:spacing w:after="0" w:line="1" w:lineRule="exact"/>
        <w:rPr>
          <w:sz w:val="20"/>
          <w:szCs w:val="20"/>
          <w:color w:val="auto"/>
        </w:rPr>
      </w:pPr>
    </w:p>
    <w:p>
      <w:pPr>
        <w:sectPr>
          <w:pgSz w:w="11900" w:h="16838" w:orient="portrait"/>
          <w:cols w:equalWidth="0" w:num="2">
            <w:col w:w="6120" w:space="720"/>
            <w:col w:w="4580"/>
          </w:cols>
          <w:pgMar w:left="240" w:top="402" w:right="2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93"/>
              </w:rPr>
              <w:t>Held for</w:t>
            </w: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6"/>
              </w:rPr>
              <w:t>Loans and</w:t>
            </w:r>
          </w:p>
        </w:tc>
        <w:tc>
          <w:tcPr>
            <w:tcW w:w="860" w:type="dxa"/>
            <w:vAlign w:val="bottom"/>
            <w:gridSpan w:val="2"/>
          </w:tcPr>
          <w:p>
            <w:pPr>
              <w:jc w:val="right"/>
              <w:ind w:right="140"/>
              <w:spacing w:after="0" w:line="126" w:lineRule="exact"/>
              <w:rPr>
                <w:sz w:val="20"/>
                <w:szCs w:val="20"/>
                <w:color w:val="auto"/>
              </w:rPr>
            </w:pPr>
            <w:r>
              <w:rPr>
                <w:rFonts w:ascii="Arial" w:cs="Arial" w:eastAsia="Arial" w:hAnsi="Arial"/>
                <w:sz w:val="13"/>
                <w:szCs w:val="13"/>
                <w:b w:val="1"/>
                <w:bCs w:val="1"/>
                <w:color w:val="auto"/>
                <w:w w:val="89"/>
              </w:rPr>
              <w:t>Available for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Held for</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6"/>
              </w:rPr>
              <w:t>Loans and</w:t>
            </w:r>
          </w:p>
        </w:tc>
        <w:tc>
          <w:tcPr>
            <w:tcW w:w="8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Available for</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trading</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At inception</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1"/>
              </w:rPr>
              <w:t>receivables</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0"/>
              </w:rPr>
              <w:t>sale securities</w:t>
            </w: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trading</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At inception</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receivables</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sale securities</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US$(000)</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US$(000)</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US$(000)</w:t>
            </w: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color w:val="auto"/>
              </w:rPr>
              <w:t>Financial services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49,901</w:t>
            </w:r>
          </w:p>
        </w:tc>
        <w:tc>
          <w:tcPr>
            <w:tcW w:w="10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213,153</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3,303,821</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3,569,312</w:t>
            </w: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7,136,187</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1,742</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53,116</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2,909,132</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1,166,944</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4,130,934</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Manufacturing</w:t>
            </w:r>
          </w:p>
        </w:tc>
        <w:tc>
          <w:tcPr>
            <w:tcW w:w="1060" w:type="dxa"/>
            <w:vAlign w:val="bottom"/>
          </w:tcPr>
          <w:p>
            <w:pPr>
              <w:jc w:val="right"/>
              <w:spacing w:after="0"/>
              <w:rPr>
                <w:sz w:val="20"/>
                <w:szCs w:val="20"/>
                <w:color w:val="auto"/>
              </w:rPr>
            </w:pPr>
            <w:r>
              <w:rPr>
                <w:rFonts w:ascii="Arial" w:cs="Arial" w:eastAsia="Arial" w:hAnsi="Arial"/>
                <w:sz w:val="13"/>
                <w:szCs w:val="13"/>
                <w:color w:val="auto"/>
              </w:rPr>
              <w:t>2,710</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2,134,497</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199,874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2,337,081</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1,585,646</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1,585,646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color w:val="auto"/>
              </w:rPr>
              <w:t>Mortgage loans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1,079,955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1,079,955</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849,037</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849,037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Commerce</w:t>
            </w:r>
          </w:p>
        </w:tc>
        <w:tc>
          <w:tcPr>
            <w:tcW w:w="1060" w:type="dxa"/>
            <w:vAlign w:val="bottom"/>
          </w:tcPr>
          <w:p>
            <w:pPr>
              <w:jc w:val="right"/>
              <w:spacing w:after="0"/>
              <w:rPr>
                <w:sz w:val="20"/>
                <w:szCs w:val="20"/>
                <w:color w:val="auto"/>
              </w:rPr>
            </w:pPr>
            <w:r>
              <w:rPr>
                <w:rFonts w:ascii="Arial" w:cs="Arial" w:eastAsia="Arial" w:hAnsi="Arial"/>
                <w:sz w:val="13"/>
                <w:szCs w:val="13"/>
                <w:color w:val="auto"/>
              </w:rPr>
              <w:t>520</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861,701</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62,011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924,232</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227</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667,895</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33,973</w:t>
            </w:r>
          </w:p>
        </w:tc>
        <w:tc>
          <w:tcPr>
            <w:tcW w:w="760" w:type="dxa"/>
            <w:vAlign w:val="bottom"/>
          </w:tcPr>
          <w:p>
            <w:pPr>
              <w:jc w:val="right"/>
              <w:spacing w:after="0"/>
              <w:rPr>
                <w:sz w:val="20"/>
                <w:szCs w:val="20"/>
                <w:color w:val="auto"/>
              </w:rPr>
            </w:pPr>
            <w:r>
              <w:rPr>
                <w:rFonts w:ascii="Arial" w:cs="Arial" w:eastAsia="Arial" w:hAnsi="Arial"/>
                <w:sz w:val="13"/>
                <w:szCs w:val="13"/>
                <w:color w:val="auto"/>
              </w:rPr>
              <w:t>702,095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color w:val="auto"/>
                <w:w w:val="94"/>
              </w:rPr>
              <w:t>Public Administration and defense</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22,161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73,533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746,634</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842,328</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19,134</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1,454,193</w:t>
            </w:r>
          </w:p>
        </w:tc>
        <w:tc>
          <w:tcPr>
            <w:tcW w:w="1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1,473,327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Consumer loans</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833,505</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833,505</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517,911</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517,911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color w:val="auto"/>
              </w:rPr>
              <w:t>Mining</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11,737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448,570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138,578</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598,885</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12,189</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293,416</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28,470</w:t>
            </w:r>
          </w:p>
        </w:tc>
        <w:tc>
          <w:tcPr>
            <w:tcW w:w="7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334,075</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Electricity, gas and water</w:t>
            </w:r>
          </w:p>
        </w:tc>
        <w:tc>
          <w:tcPr>
            <w:tcW w:w="1060" w:type="dxa"/>
            <w:vAlign w:val="bottom"/>
          </w:tcPr>
          <w:p>
            <w:pPr>
              <w:jc w:val="right"/>
              <w:spacing w:after="0"/>
              <w:rPr>
                <w:sz w:val="20"/>
                <w:szCs w:val="20"/>
                <w:color w:val="auto"/>
              </w:rPr>
            </w:pPr>
            <w:r>
              <w:rPr>
                <w:rFonts w:ascii="Arial" w:cs="Arial" w:eastAsia="Arial" w:hAnsi="Arial"/>
                <w:sz w:val="13"/>
                <w:szCs w:val="13"/>
                <w:color w:val="auto"/>
              </w:rPr>
              <w:t>9,802</w:t>
            </w:r>
          </w:p>
        </w:tc>
        <w:tc>
          <w:tcPr>
            <w:tcW w:w="10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330,480</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207,014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547,296</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6,801</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250,819</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116,965</w:t>
            </w:r>
          </w:p>
        </w:tc>
        <w:tc>
          <w:tcPr>
            <w:tcW w:w="760" w:type="dxa"/>
            <w:vAlign w:val="bottom"/>
          </w:tcPr>
          <w:p>
            <w:pPr>
              <w:jc w:val="right"/>
              <w:spacing w:after="0"/>
              <w:rPr>
                <w:sz w:val="20"/>
                <w:szCs w:val="20"/>
                <w:color w:val="auto"/>
              </w:rPr>
            </w:pPr>
            <w:r>
              <w:rPr>
                <w:rFonts w:ascii="Arial" w:cs="Arial" w:eastAsia="Arial" w:hAnsi="Arial"/>
                <w:sz w:val="13"/>
                <w:szCs w:val="13"/>
                <w:color w:val="auto"/>
              </w:rPr>
              <w:t>374,585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shd w:val="clear" w:color="auto" w:fill="CCFFCC"/>
          </w:tcPr>
          <w:p>
            <w:pPr>
              <w:spacing w:after="0" w:line="134" w:lineRule="exact"/>
              <w:rPr>
                <w:sz w:val="20"/>
                <w:szCs w:val="20"/>
                <w:color w:val="auto"/>
              </w:rPr>
            </w:pPr>
            <w:r>
              <w:rPr>
                <w:rFonts w:ascii="Arial" w:cs="Arial" w:eastAsia="Arial" w:hAnsi="Arial"/>
                <w:sz w:val="13"/>
                <w:szCs w:val="13"/>
                <w:color w:val="auto"/>
              </w:rPr>
              <w:t>Leaseholds and real estate</w:t>
            </w: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80" w:type="dxa"/>
            <w:vAlign w:val="bottom"/>
            <w:shd w:val="clear" w:color="auto" w:fill="CCFFCC"/>
          </w:tcPr>
          <w:p>
            <w:pPr>
              <w:ind w:left="160"/>
              <w:spacing w:after="0"/>
              <w:rPr>
                <w:sz w:val="20"/>
                <w:szCs w:val="20"/>
                <w:color w:val="auto"/>
              </w:rPr>
            </w:pPr>
            <w:r>
              <w:rPr>
                <w:rFonts w:ascii="Arial" w:cs="Arial" w:eastAsia="Arial" w:hAnsi="Arial"/>
                <w:sz w:val="13"/>
                <w:szCs w:val="13"/>
                <w:color w:val="auto"/>
              </w:rPr>
              <w:t>activities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373,659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159,063</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532,722</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227,347</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22,213</w:t>
            </w:r>
          </w:p>
        </w:tc>
        <w:tc>
          <w:tcPr>
            <w:tcW w:w="7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249,560</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tcPr>
          <w:p>
            <w:pPr>
              <w:spacing w:after="0" w:line="134" w:lineRule="exact"/>
              <w:rPr>
                <w:sz w:val="20"/>
                <w:szCs w:val="20"/>
                <w:color w:val="auto"/>
              </w:rPr>
            </w:pPr>
            <w:r>
              <w:rPr>
                <w:rFonts w:ascii="Arial" w:cs="Arial" w:eastAsia="Arial" w:hAnsi="Arial"/>
                <w:sz w:val="13"/>
                <w:szCs w:val="13"/>
                <w:color w:val="auto"/>
              </w:rPr>
              <w:t>Communications, storage</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80" w:type="dxa"/>
            <w:vAlign w:val="bottom"/>
          </w:tcPr>
          <w:p>
            <w:pPr>
              <w:ind w:left="160"/>
              <w:spacing w:after="0"/>
              <w:rPr>
                <w:sz w:val="20"/>
                <w:szCs w:val="20"/>
                <w:color w:val="auto"/>
              </w:rPr>
            </w:pPr>
            <w:r>
              <w:rPr>
                <w:rFonts w:ascii="Arial" w:cs="Arial" w:eastAsia="Arial" w:hAnsi="Arial"/>
                <w:sz w:val="13"/>
                <w:szCs w:val="13"/>
                <w:color w:val="auto"/>
              </w:rPr>
              <w:t>and transportation</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387,911</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97,945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485,856</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247</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249,597</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98,685</w:t>
            </w:r>
          </w:p>
        </w:tc>
        <w:tc>
          <w:tcPr>
            <w:tcW w:w="760" w:type="dxa"/>
            <w:vAlign w:val="bottom"/>
          </w:tcPr>
          <w:p>
            <w:pPr>
              <w:jc w:val="right"/>
              <w:spacing w:after="0"/>
              <w:rPr>
                <w:sz w:val="20"/>
                <w:szCs w:val="20"/>
                <w:color w:val="auto"/>
              </w:rPr>
            </w:pPr>
            <w:r>
              <w:rPr>
                <w:rFonts w:ascii="Arial" w:cs="Arial" w:eastAsia="Arial" w:hAnsi="Arial"/>
                <w:sz w:val="13"/>
                <w:szCs w:val="13"/>
                <w:color w:val="auto"/>
              </w:rPr>
              <w:t>348,529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color w:val="auto"/>
              </w:rPr>
              <w:t>Micro-business loans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474,968</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474,968</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15,099</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Community Services</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239,947</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239,947</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167,711</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167,711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color w:val="auto"/>
              </w:rPr>
              <w:t>Construction</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197,257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3,914</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201,171</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76,352</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17,038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93,390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Agriculture</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172,817</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5,550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178,367</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144,130</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144,130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color w:val="auto"/>
              </w:rPr>
              <w:t>Fishing</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131,483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131,483</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148,919</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148,919</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Insurance activities</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122,667</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122,667</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53,647</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42,853</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96,500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80" w:type="dxa"/>
            <w:vAlign w:val="bottom"/>
            <w:shd w:val="clear" w:color="auto" w:fill="CCFFCC"/>
          </w:tcPr>
          <w:p>
            <w:pPr>
              <w:spacing w:after="0" w:line="134" w:lineRule="exact"/>
              <w:rPr>
                <w:sz w:val="20"/>
                <w:szCs w:val="20"/>
                <w:color w:val="auto"/>
              </w:rPr>
            </w:pPr>
            <w:r>
              <w:rPr>
                <w:rFonts w:ascii="Arial" w:cs="Arial" w:eastAsia="Arial" w:hAnsi="Arial"/>
                <w:sz w:val="13"/>
                <w:szCs w:val="13"/>
                <w:color w:val="auto"/>
              </w:rPr>
              <w:t>Education, health and other</w:t>
            </w: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80" w:type="dxa"/>
            <w:vAlign w:val="bottom"/>
            <w:shd w:val="clear" w:color="auto" w:fill="CCFFCC"/>
          </w:tcPr>
          <w:p>
            <w:pPr>
              <w:ind w:left="160"/>
              <w:spacing w:after="0"/>
              <w:rPr>
                <w:sz w:val="20"/>
                <w:szCs w:val="20"/>
                <w:color w:val="auto"/>
              </w:rPr>
            </w:pPr>
            <w:r>
              <w:rPr>
                <w:rFonts w:ascii="Arial" w:cs="Arial" w:eastAsia="Arial" w:hAnsi="Arial"/>
                <w:sz w:val="13"/>
                <w:szCs w:val="13"/>
                <w:color w:val="auto"/>
              </w:rPr>
              <w:t>services</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102,456</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4,514</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106,970</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2,517</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1,510</w:t>
            </w:r>
          </w:p>
        </w:tc>
        <w:tc>
          <w:tcPr>
            <w:tcW w:w="7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4,027</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20"/>
                <w:szCs w:val="20"/>
                <w:color w:val="auto"/>
              </w:rPr>
            </w:pPr>
            <w:r>
              <w:rPr>
                <w:rFonts w:ascii="Arial" w:cs="Arial" w:eastAsia="Arial" w:hAnsi="Arial"/>
                <w:sz w:val="13"/>
                <w:szCs w:val="13"/>
                <w:color w:val="auto"/>
              </w:rPr>
              <w:t>Other</w:t>
            </w: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233,500</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34,232</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267,739</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21,413</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553,914</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467,867</w:t>
            </w:r>
          </w:p>
        </w:tc>
        <w:tc>
          <w:tcPr>
            <w:tcW w:w="760" w:type="dxa"/>
            <w:vAlign w:val="bottom"/>
          </w:tcPr>
          <w:p>
            <w:pPr>
              <w:jc w:val="right"/>
              <w:spacing w:after="0"/>
              <w:rPr>
                <w:sz w:val="20"/>
                <w:szCs w:val="20"/>
                <w:color w:val="auto"/>
              </w:rPr>
            </w:pPr>
            <w:r>
              <w:rPr>
                <w:rFonts w:ascii="Arial" w:cs="Arial" w:eastAsia="Arial" w:hAnsi="Arial"/>
                <w:sz w:val="13"/>
                <w:szCs w:val="13"/>
                <w:color w:val="auto"/>
              </w:rPr>
              <w:t>1,043,194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88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96,838</w:t>
            </w:r>
          </w:p>
        </w:tc>
        <w:tc>
          <w:tcPr>
            <w:tcW w:w="100" w:type="dxa"/>
            <w:vAlign w:val="bottom"/>
            <w:shd w:val="clear" w:color="auto" w:fill="CCFFCC"/>
          </w:tcPr>
          <w:p>
            <w:pPr>
              <w:spacing w:after="0"/>
              <w:rPr>
                <w:sz w:val="22"/>
                <w:szCs w:val="22"/>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213,153</w:t>
            </w:r>
          </w:p>
        </w:tc>
        <w:tc>
          <w:tcPr>
            <w:tcW w:w="10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11,502,727</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5,228,641</w:t>
            </w: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17,041,359</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64,270</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53,116</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8,710,572</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3,450,711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12,278,669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64" w:name="page265"/>
    <w:bookmarkEnd w:id="2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420"/>
        <w:spacing w:after="0" w:line="277" w:lineRule="auto"/>
        <w:rPr>
          <w:sz w:val="20"/>
          <w:szCs w:val="20"/>
          <w:color w:val="auto"/>
        </w:rPr>
      </w:pPr>
      <w:r>
        <w:rPr>
          <w:rFonts w:ascii="Arial" w:cs="Arial" w:eastAsia="Arial" w:hAnsi="Arial"/>
          <w:sz w:val="18"/>
          <w:szCs w:val="18"/>
          <w:color w:val="auto"/>
        </w:rPr>
        <w:t>As of December 31, 2007 and 2006, the financial instruments with exposure to credit risk were distributed by the following geographical areas: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40" w:type="dxa"/>
            <w:vAlign w:val="bottom"/>
            <w:gridSpan w:val="4"/>
          </w:tcPr>
          <w:p>
            <w:pPr>
              <w:jc w:val="right"/>
              <w:ind w:right="120"/>
              <w:spacing w:after="0" w:line="191" w:lineRule="exact"/>
              <w:rPr>
                <w:sz w:val="20"/>
                <w:szCs w:val="20"/>
                <w:color w:val="auto"/>
              </w:rPr>
            </w:pPr>
            <w:r>
              <w:rPr>
                <w:rFonts w:ascii="Arial" w:cs="Arial" w:eastAsia="Arial" w:hAnsi="Arial"/>
                <w:sz w:val="18"/>
                <w:szCs w:val="18"/>
                <w:b w:val="1"/>
                <w:bCs w:val="1"/>
                <w:color w:val="auto"/>
                <w:w w:val="90"/>
              </w:rPr>
              <w:t>Designated at fair value through</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profit and loss</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8"/>
              </w:rPr>
              <w:t>Loans and</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Available for</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6"/>
              </w:rPr>
              <w:t>Held for</w:t>
            </w: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trading</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At inception</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receivables</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sale securities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70,189</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10,048,500</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3,693,246</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13,811,935</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United States of America</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213,153</w:t>
            </w:r>
          </w:p>
        </w:tc>
        <w:tc>
          <w:tcPr>
            <w:tcW w:w="960" w:type="dxa"/>
            <w:vAlign w:val="bottom"/>
          </w:tcPr>
          <w:p>
            <w:pPr>
              <w:jc w:val="right"/>
              <w:spacing w:after="0"/>
              <w:rPr>
                <w:sz w:val="20"/>
                <w:szCs w:val="20"/>
                <w:color w:val="auto"/>
              </w:rPr>
            </w:pPr>
            <w:r>
              <w:rPr>
                <w:rFonts w:ascii="Arial" w:cs="Arial" w:eastAsia="Arial" w:hAnsi="Arial"/>
                <w:sz w:val="18"/>
                <w:szCs w:val="18"/>
                <w:color w:val="auto"/>
              </w:rPr>
              <w:t>591,202</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889,421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1,693,825</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Panama</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10,831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4,661</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15,492</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Germany</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6,868</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3,756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10,624</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Canada</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151</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24,358</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8,788</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33,297</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Bolivia</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3,683</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578,436</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192,896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775,015</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Spain</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13,456</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1,541</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15,033</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Venezuela</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34,273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35,462</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Gran Cayman</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21,017</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21,017</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Chile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5,178</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124,557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129,735</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Netherlands</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34,246</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18,726</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52,972</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United Kingdom</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13,654</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38,571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31,041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83,266</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59,471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89,363</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148,834</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Brasil</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2,204</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36,130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38,334</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Mexico</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4,930</w:t>
            </w:r>
          </w:p>
        </w:tc>
        <w:tc>
          <w:tcPr>
            <w:tcW w:w="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34,976</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39,906</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Ecuador</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19,518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19,518</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Republic of Salvador</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11,168</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11,770</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60" w:type="dxa"/>
            <w:vAlign w:val="bottom"/>
            <w:gridSpan w:val="2"/>
          </w:tcPr>
          <w:p>
            <w:pPr>
              <w:ind w:left="114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9,076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63,167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33,081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105,324</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22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96,838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213,153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11,502,727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5,228,641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17,041,359</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F-110</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56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0"/>
              </w:rPr>
              <w:t>Designated at fair value through</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profit and loss</w:t>
            </w:r>
          </w:p>
        </w:tc>
        <w:tc>
          <w:tcPr>
            <w:tcW w:w="80" w:type="dxa"/>
            <w:vAlign w:val="bottom"/>
          </w:tcPr>
          <w:p>
            <w:pPr>
              <w:spacing w:after="0"/>
              <w:rPr>
                <w:sz w:val="20"/>
                <w:szCs w:val="20"/>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8"/>
              </w:rPr>
              <w:t>Loans and</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0"/>
              </w:rPr>
              <w:t>Available for</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3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4"/>
              </w:rPr>
              <w:t>Held for</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trading</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At inception</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receivables</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sale securities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1"/>
                <w:szCs w:val="21"/>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31,714</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7,331,086</w:t>
            </w:r>
          </w:p>
        </w:tc>
        <w:tc>
          <w:tcPr>
            <w:tcW w:w="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1,993,424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9,356,224</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21,447</w:t>
            </w:r>
          </w:p>
        </w:tc>
        <w:tc>
          <w:tcPr>
            <w:tcW w:w="1240" w:type="dxa"/>
            <w:vAlign w:val="bottom"/>
          </w:tcPr>
          <w:p>
            <w:pPr>
              <w:jc w:val="right"/>
              <w:spacing w:after="0"/>
              <w:rPr>
                <w:sz w:val="20"/>
                <w:szCs w:val="20"/>
                <w:color w:val="auto"/>
              </w:rPr>
            </w:pPr>
            <w:r>
              <w:rPr>
                <w:rFonts w:ascii="Arial" w:cs="Arial" w:eastAsia="Arial" w:hAnsi="Arial"/>
                <w:sz w:val="18"/>
                <w:szCs w:val="18"/>
                <w:color w:val="auto"/>
              </w:rPr>
              <w:t>53,116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617,338</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823,900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1,515,801</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Panama</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32,961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7,291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40,252</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Germany</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2,466</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Canada</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5,764</w:t>
            </w:r>
          </w:p>
        </w:tc>
        <w:tc>
          <w:tcPr>
            <w:tcW w:w="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Bolivia</w:t>
            </w:r>
          </w:p>
        </w:tc>
        <w:tc>
          <w:tcPr>
            <w:tcW w:w="122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491,735</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152,083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647,250</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Spain</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13,269</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13,296</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Venezuela</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45,161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56,983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102,144</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Gran Cayman</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14,602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Chile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8,515</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109,136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117,651</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Honduras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Netherlands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8,283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United Kingdom</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6,188</w:t>
            </w:r>
          </w:p>
        </w:tc>
        <w:tc>
          <w:tcPr>
            <w:tcW w:w="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34,195</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40,384</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Colombia</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35,495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73,662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109,157</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Brasil</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3,411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Mexico</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616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45,613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46,229</w:t>
            </w:r>
          </w:p>
        </w:tc>
        <w:tc>
          <w:tcPr>
            <w:tcW w:w="0" w:type="dxa"/>
            <w:vAlign w:val="bottom"/>
          </w:tcPr>
          <w:p>
            <w:pPr>
              <w:spacing w:after="0"/>
              <w:rPr>
                <w:sz w:val="1"/>
                <w:szCs w:val="1"/>
                <w:color w:val="auto"/>
              </w:rPr>
            </w:pPr>
          </w:p>
        </w:tc>
      </w:tr>
      <w:tr>
        <w:trPr>
          <w:trHeight w:val="243"/>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Ecuador</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14,960</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8"/>
                <w:szCs w:val="18"/>
                <w:color w:val="auto"/>
              </w:rPr>
              <w:t>Republic of Salvador</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13,690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14,134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27,824</w:t>
            </w:r>
          </w:p>
        </w:tc>
        <w:tc>
          <w:tcPr>
            <w:tcW w:w="0" w:type="dxa"/>
            <w:vAlign w:val="bottom"/>
          </w:tcPr>
          <w:p>
            <w:pPr>
              <w:spacing w:after="0"/>
              <w:rPr>
                <w:sz w:val="1"/>
                <w:szCs w:val="1"/>
                <w:color w:val="auto"/>
              </w:rPr>
            </w:pPr>
          </w:p>
        </w:tc>
      </w:tr>
      <w:tr>
        <w:trPr>
          <w:trHeight w:val="275"/>
        </w:trPr>
        <w:tc>
          <w:tcPr>
            <w:tcW w:w="2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66,031</w:t>
            </w:r>
          </w:p>
        </w:tc>
        <w:tc>
          <w:tcPr>
            <w:tcW w:w="12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131,980</w:t>
            </w: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205,687</w:t>
            </w:r>
          </w:p>
        </w:tc>
        <w:tc>
          <w:tcPr>
            <w:tcW w:w="0" w:type="dxa"/>
            <w:vAlign w:val="bottom"/>
          </w:tcPr>
          <w:p>
            <w:pPr>
              <w:spacing w:after="0"/>
              <w:rPr>
                <w:sz w:val="1"/>
                <w:szCs w:val="1"/>
                <w:color w:val="auto"/>
              </w:rPr>
            </w:pPr>
          </w:p>
        </w:tc>
      </w:tr>
      <w:tr>
        <w:trPr>
          <w:trHeight w:val="237"/>
        </w:trPr>
        <w:tc>
          <w:tcPr>
            <w:tcW w:w="224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64,270</w:t>
            </w:r>
          </w:p>
        </w:tc>
        <w:tc>
          <w:tcPr>
            <w:tcW w:w="100" w:type="dxa"/>
            <w:vAlign w:val="bottom"/>
            <w:shd w:val="clear" w:color="auto" w:fill="CCFFCC"/>
          </w:tcPr>
          <w:p>
            <w:pPr>
              <w:spacing w:after="0"/>
              <w:rPr>
                <w:sz w:val="22"/>
                <w:szCs w:val="22"/>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53,116</w:t>
            </w:r>
          </w:p>
        </w:tc>
        <w:tc>
          <w:tcPr>
            <w:tcW w:w="8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8,710,572</w:t>
            </w:r>
          </w:p>
        </w:tc>
        <w:tc>
          <w:tcPr>
            <w:tcW w:w="8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3,450,711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12,278,669</w:t>
            </w:r>
          </w:p>
        </w:tc>
        <w:tc>
          <w:tcPr>
            <w:tcW w:w="0" w:type="dxa"/>
            <w:vAlign w:val="bottom"/>
          </w:tcPr>
          <w:p>
            <w:pPr>
              <w:spacing w:after="0"/>
              <w:rPr>
                <w:sz w:val="1"/>
                <w:szCs w:val="1"/>
                <w:color w:val="auto"/>
              </w:rPr>
            </w:pPr>
          </w:p>
        </w:tc>
      </w:tr>
      <w:tr>
        <w:trPr>
          <w:trHeight w:val="20"/>
        </w:trPr>
        <w:tc>
          <w:tcPr>
            <w:tcW w:w="224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b w:val="1"/>
          <w:bCs w:val="1"/>
          <w:color w:val="auto"/>
        </w:rPr>
        <w:t>Market risk -</w:t>
      </w:r>
    </w:p>
    <w:p>
      <w:pPr>
        <w:spacing w:after="0" w:line="27"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35"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Trading portfolios include those liquid positions arising from market-making transactions where the Group acts as principal with clients or with the market. Non-trading portfolios consist of relatively illiquid positions, mainly banking assets and liabilities (deposits and loans) and non-trading investments (available-for-sale). Trading activities are primarily conducted by BCP, the Group’s major subsidiary.</w:t>
      </w:r>
    </w:p>
    <w:p>
      <w:pPr>
        <w:spacing w:after="0" w:line="220"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81" w:lineRule="exact"/>
        <w:rPr>
          <w:sz w:val="20"/>
          <w:szCs w:val="20"/>
          <w:color w:val="auto"/>
        </w:rPr>
      </w:pPr>
    </w:p>
    <w:p>
      <w:pPr>
        <w:ind w:left="1140" w:hanging="484"/>
        <w:spacing w:after="0"/>
        <w:tabs>
          <w:tab w:leader="none" w:pos="1140" w:val="left"/>
        </w:tabs>
        <w:numPr>
          <w:ilvl w:val="0"/>
          <w:numId w:val="234"/>
        </w:numPr>
        <w:rPr>
          <w:rFonts w:ascii="Arial" w:cs="Arial" w:eastAsia="Arial" w:hAnsi="Arial"/>
          <w:sz w:val="36"/>
          <w:szCs w:val="36"/>
          <w:color w:val="auto"/>
          <w:vertAlign w:val="superscript"/>
        </w:rPr>
      </w:pPr>
      <w:r>
        <w:rPr>
          <w:rFonts w:ascii="Arial" w:cs="Arial" w:eastAsia="Arial" w:hAnsi="Arial"/>
          <w:sz w:val="18"/>
          <w:szCs w:val="18"/>
          <w:color w:val="auto"/>
        </w:rPr>
        <w:t>Trading Book -</w:t>
      </w:r>
    </w:p>
    <w:p>
      <w:pPr>
        <w:spacing w:after="0" w:line="15" w:lineRule="exact"/>
        <w:rPr>
          <w:rFonts w:ascii="Arial" w:cs="Arial" w:eastAsia="Arial" w:hAnsi="Arial"/>
          <w:sz w:val="36"/>
          <w:szCs w:val="36"/>
          <w:color w:val="auto"/>
          <w:vertAlign w:val="superscript"/>
        </w:rPr>
      </w:pPr>
    </w:p>
    <w:p>
      <w:pPr>
        <w:ind w:left="1140"/>
        <w:spacing w:after="0" w:line="252" w:lineRule="auto"/>
        <w:rPr>
          <w:rFonts w:ascii="Arial" w:cs="Arial" w:eastAsia="Arial" w:hAnsi="Arial"/>
          <w:sz w:val="36"/>
          <w:szCs w:val="36"/>
          <w:color w:val="auto"/>
          <w:vertAlign w:val="superscript"/>
        </w:rPr>
      </w:pPr>
      <w:r>
        <w:rPr>
          <w:rFonts w:ascii="Arial" w:cs="Arial" w:eastAsia="Arial" w:hAnsi="Arial"/>
          <w:sz w:val="18"/>
          <w:szCs w:val="18"/>
          <w:color w:val="auto"/>
        </w:rPr>
        <w:t>The trading book is made up of liquid investment instruments. 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247" w:lineRule="exact"/>
        <w:rPr>
          <w:rFonts w:ascii="Arial" w:cs="Arial" w:eastAsia="Arial" w:hAnsi="Arial"/>
          <w:sz w:val="36"/>
          <w:szCs w:val="36"/>
          <w:color w:val="auto"/>
          <w:vertAlign w:val="superscript"/>
        </w:rPr>
      </w:pPr>
    </w:p>
    <w:p>
      <w:pPr>
        <w:jc w:val="both"/>
        <w:ind w:left="1140" w:right="80"/>
        <w:spacing w:after="0" w:line="264" w:lineRule="auto"/>
        <w:rPr>
          <w:rFonts w:ascii="Arial" w:cs="Arial" w:eastAsia="Arial" w:hAnsi="Arial"/>
          <w:sz w:val="36"/>
          <w:szCs w:val="36"/>
          <w:color w:val="auto"/>
          <w:vertAlign w:val="superscript"/>
        </w:rPr>
      </w:pPr>
      <w:r>
        <w:rPr>
          <w:rFonts w:ascii="Arial" w:cs="Arial" w:eastAsia="Arial" w:hAnsi="Arial"/>
          <w:sz w:val="18"/>
          <w:szCs w:val="18"/>
          <w:color w:val="auto"/>
        </w:rPr>
        <w:t>The Group applies VaR to its trading portfolios to estimate the market risk of positions held and the maximum losses that are expected, based upon a number of assumptions for various changes in market conditions. The Risk Management Committee set limits on the level of risk that may be accepted and review of daily.</w:t>
      </w:r>
    </w:p>
    <w:p>
      <w:pPr>
        <w:spacing w:after="0" w:line="235" w:lineRule="exact"/>
        <w:rPr>
          <w:rFonts w:ascii="Arial" w:cs="Arial" w:eastAsia="Arial" w:hAnsi="Arial"/>
          <w:sz w:val="36"/>
          <w:szCs w:val="36"/>
          <w:color w:val="auto"/>
          <w:vertAlign w:val="superscript"/>
        </w:rPr>
      </w:pPr>
    </w:p>
    <w:p>
      <w:pPr>
        <w:ind w:left="1140" w:right="80"/>
        <w:spacing w:after="0" w:line="272" w:lineRule="auto"/>
        <w:rPr>
          <w:rFonts w:ascii="Arial" w:cs="Arial" w:eastAsia="Arial" w:hAnsi="Arial"/>
          <w:sz w:val="36"/>
          <w:szCs w:val="36"/>
          <w:color w:val="auto"/>
          <w:vertAlign w:val="superscript"/>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day - 10 days). The time horizon used to calculate VaR is one day; however, the one-day VAR is amplified to a 10-day time frame and calculated multiplying the one-day VaR times the square root of 10 - results are presented in the tables below. The assessment of past movements has been based on historical one-year data. The Group applies these historical changes in rates directly to its current positions (a method known as historical simulation).</w:t>
      </w:r>
    </w:p>
    <w:p>
      <w:pPr>
        <w:spacing w:after="0" w:line="23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 2007 and 2006, the Group’s VaR by type of asset is as follows</w:t>
      </w:r>
      <w:r>
        <w:rPr>
          <w:rFonts w:ascii="Arial" w:cs="Arial" w:eastAsia="Arial" w:hAnsi="Arial"/>
          <w:sz w:val="18"/>
          <w:szCs w:val="18"/>
          <w:b w:val="1"/>
          <w:bCs w:val="1"/>
          <w:color w:val="auto"/>
        </w:rPr>
        <w:t>:</w:t>
      </w:r>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800" w:type="dxa"/>
            <w:vAlign w:val="bottom"/>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r>
      <w:tr>
        <w:trPr>
          <w:trHeight w:val="243"/>
        </w:trPr>
        <w:tc>
          <w:tcPr>
            <w:tcW w:w="4100" w:type="dxa"/>
            <w:vAlign w:val="bottom"/>
          </w:tcPr>
          <w:p>
            <w:pPr>
              <w:spacing w:after="0"/>
              <w:rPr>
                <w:sz w:val="21"/>
                <w:szCs w:val="21"/>
                <w:color w:val="auto"/>
              </w:rPr>
            </w:pPr>
          </w:p>
        </w:tc>
        <w:tc>
          <w:tcPr>
            <w:tcW w:w="2800" w:type="dxa"/>
            <w:vAlign w:val="bottom"/>
          </w:tcPr>
          <w:p>
            <w:pPr>
              <w:jc w:val="right"/>
              <w:ind w:right="390"/>
              <w:spacing w:after="0"/>
              <w:rPr>
                <w:sz w:val="20"/>
                <w:szCs w:val="20"/>
                <w:color w:val="auto"/>
              </w:rPr>
            </w:pPr>
            <w:r>
              <w:rPr>
                <w:rFonts w:ascii="Arial" w:cs="Arial" w:eastAsia="Arial" w:hAnsi="Arial"/>
                <w:sz w:val="18"/>
                <w:szCs w:val="18"/>
                <w:color w:val="auto"/>
              </w:rPr>
              <w:t>US$(000)</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US$(000)</w:t>
            </w:r>
          </w:p>
        </w:tc>
      </w:tr>
      <w:tr>
        <w:trPr>
          <w:trHeight w:val="243"/>
        </w:trPr>
        <w:tc>
          <w:tcPr>
            <w:tcW w:w="41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8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5,211</w:t>
            </w:r>
          </w:p>
        </w:tc>
        <w:tc>
          <w:tcPr>
            <w:tcW w:w="1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5,196</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Fixed Income</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567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Derivatives</w:t>
            </w:r>
          </w:p>
        </w:tc>
        <w:tc>
          <w:tcPr>
            <w:tcW w:w="28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626</w:t>
            </w:r>
          </w:p>
        </w:tc>
        <w:tc>
          <w:tcPr>
            <w:tcW w:w="1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1,012</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Consolidated VaR by type of asset</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5,261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5,659</w:t>
            </w:r>
          </w:p>
        </w:tc>
      </w:tr>
    </w:tbl>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 2007 and 2006, the Group’s VaR by risk type is as follows</w:t>
      </w:r>
      <w:r>
        <w:rPr>
          <w:rFonts w:ascii="Arial" w:cs="Arial" w:eastAsia="Arial" w:hAnsi="Arial"/>
          <w:sz w:val="18"/>
          <w:szCs w:val="18"/>
          <w:b w:val="1"/>
          <w:bCs w:val="1"/>
          <w:color w:val="auto"/>
        </w:rPr>
        <w:t>:</w:t>
      </w:r>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940" w:type="dxa"/>
            <w:vAlign w:val="bottom"/>
          </w:tcPr>
          <w:p>
            <w:pPr>
              <w:jc w:val="right"/>
              <w:ind w:right="570"/>
              <w:spacing w:after="0"/>
              <w:rPr>
                <w:sz w:val="20"/>
                <w:szCs w:val="20"/>
                <w:color w:val="auto"/>
              </w:rPr>
            </w:pPr>
            <w:r>
              <w:rPr>
                <w:rFonts w:ascii="Arial" w:cs="Arial" w:eastAsia="Arial" w:hAnsi="Arial"/>
                <w:sz w:val="18"/>
                <w:szCs w:val="18"/>
                <w:b w:val="1"/>
                <w:bCs w:val="1"/>
                <w:color w:val="auto"/>
              </w:rPr>
              <w:t>2007</w:t>
            </w: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r>
      <w:tr>
        <w:trPr>
          <w:trHeight w:val="243"/>
        </w:trPr>
        <w:tc>
          <w:tcPr>
            <w:tcW w:w="3960" w:type="dxa"/>
            <w:vAlign w:val="bottom"/>
          </w:tcPr>
          <w:p>
            <w:pPr>
              <w:spacing w:after="0"/>
              <w:rPr>
                <w:sz w:val="21"/>
                <w:szCs w:val="21"/>
                <w:color w:val="auto"/>
              </w:rPr>
            </w:pPr>
          </w:p>
        </w:tc>
        <w:tc>
          <w:tcPr>
            <w:tcW w:w="2940" w:type="dxa"/>
            <w:vAlign w:val="bottom"/>
          </w:tcPr>
          <w:p>
            <w:pPr>
              <w:jc w:val="right"/>
              <w:ind w:right="390"/>
              <w:spacing w:after="0"/>
              <w:rPr>
                <w:sz w:val="20"/>
                <w:szCs w:val="20"/>
                <w:color w:val="auto"/>
              </w:rPr>
            </w:pPr>
            <w:r>
              <w:rPr>
                <w:rFonts w:ascii="Arial" w:cs="Arial" w:eastAsia="Arial" w:hAnsi="Arial"/>
                <w:sz w:val="18"/>
                <w:szCs w:val="18"/>
                <w:color w:val="auto"/>
              </w:rPr>
              <w:t>US$(000)</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US$(000)</w:t>
            </w:r>
          </w:p>
        </w:tc>
      </w:tr>
      <w:tr>
        <w:trPr>
          <w:trHeight w:val="243"/>
        </w:trPr>
        <w:tc>
          <w:tcPr>
            <w:tcW w:w="39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2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133</w:t>
            </w:r>
          </w:p>
        </w:tc>
        <w:tc>
          <w:tcPr>
            <w:tcW w:w="1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1,928</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Interest rate risk</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514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43"/>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2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4,879</w:t>
            </w:r>
          </w:p>
        </w:tc>
        <w:tc>
          <w:tcPr>
            <w:tcW w:w="1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4,765</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5,261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5,659</w:t>
            </w:r>
          </w:p>
        </w:tc>
      </w:tr>
    </w:tbl>
    <w:p>
      <w:pPr>
        <w:spacing w:after="0" w:line="256" w:lineRule="exact"/>
        <w:rPr>
          <w:sz w:val="20"/>
          <w:szCs w:val="20"/>
          <w:color w:val="auto"/>
        </w:rPr>
      </w:pPr>
    </w:p>
    <w:p>
      <w:pPr>
        <w:ind w:left="1140" w:hanging="484"/>
        <w:spacing w:after="0"/>
        <w:tabs>
          <w:tab w:leader="none" w:pos="1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ALM Book -</w:t>
      </w:r>
    </w:p>
    <w:p>
      <w:pPr>
        <w:spacing w:after="0" w:line="23" w:lineRule="exact"/>
        <w:rPr>
          <w:rFonts w:ascii="Arial" w:cs="Arial" w:eastAsia="Arial" w:hAnsi="Arial"/>
          <w:sz w:val="18"/>
          <w:szCs w:val="18"/>
          <w:color w:val="auto"/>
        </w:rPr>
      </w:pPr>
    </w:p>
    <w:p>
      <w:pPr>
        <w:ind w:left="1140" w:right="80"/>
        <w:spacing w:after="0" w:line="255" w:lineRule="auto"/>
        <w:rPr>
          <w:rFonts w:ascii="Arial" w:cs="Arial" w:eastAsia="Arial" w:hAnsi="Arial"/>
          <w:sz w:val="18"/>
          <w:szCs w:val="18"/>
          <w:color w:val="auto"/>
        </w:rPr>
      </w:pPr>
      <w:r>
        <w:rPr>
          <w:rFonts w:ascii="Arial" w:cs="Arial" w:eastAsia="Arial" w:hAnsi="Arial"/>
          <w:sz w:val="18"/>
          <w:szCs w:val="18"/>
          <w:color w:val="auto"/>
        </w:rPr>
        <w:t>The management of the risks associated with long-term and structural positions is called Asset and Liability Management (ALM). Non-trading portfolios which comprise the ALM Book are exposed to different sensitivities that can bring about a deterioration in the value of the assets compared to its liabilities and hence to a reduction of its net worth.</w:t>
      </w:r>
    </w:p>
    <w:p>
      <w:pPr>
        <w:spacing w:after="0" w:line="244" w:lineRule="exact"/>
        <w:rPr>
          <w:rFonts w:ascii="Arial" w:cs="Arial" w:eastAsia="Arial" w:hAnsi="Arial"/>
          <w:sz w:val="18"/>
          <w:szCs w:val="18"/>
          <w:color w:val="auto"/>
        </w:rPr>
      </w:pPr>
    </w:p>
    <w:p>
      <w:pPr>
        <w:ind w:left="1620" w:hanging="478"/>
        <w:spacing w:after="0"/>
        <w:tabs>
          <w:tab w:leader="none" w:pos="16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Interest risk -</w:t>
      </w:r>
    </w:p>
    <w:p>
      <w:pPr>
        <w:spacing w:after="0" w:line="23" w:lineRule="exact"/>
        <w:rPr>
          <w:rFonts w:ascii="Arial" w:cs="Arial" w:eastAsia="Arial" w:hAnsi="Arial"/>
          <w:sz w:val="18"/>
          <w:szCs w:val="18"/>
          <w:color w:val="auto"/>
        </w:rPr>
      </w:pPr>
    </w:p>
    <w:p>
      <w:pPr>
        <w:ind w:left="1620"/>
        <w:spacing w:after="0" w:line="252"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Treasury Department.</w:t>
      </w:r>
    </w:p>
    <w:p>
      <w:pPr>
        <w:spacing w:after="0" w:line="24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color w:val="auto"/>
        </w:rPr>
        <w:t>Re-pricing gap -</w:t>
      </w:r>
    </w:p>
    <w:p>
      <w:pPr>
        <w:spacing w:after="0" w:line="27" w:lineRule="exact"/>
        <w:rPr>
          <w:rFonts w:ascii="Arial" w:cs="Arial" w:eastAsia="Arial" w:hAnsi="Arial"/>
          <w:sz w:val="18"/>
          <w:szCs w:val="18"/>
          <w:color w:val="auto"/>
        </w:rPr>
      </w:pPr>
    </w:p>
    <w:p>
      <w:pPr>
        <w:ind w:left="1620" w:right="180"/>
        <w:spacing w:after="0" w:line="323" w:lineRule="auto"/>
        <w:rPr>
          <w:rFonts w:ascii="Arial" w:cs="Arial" w:eastAsia="Arial" w:hAnsi="Arial"/>
          <w:sz w:val="18"/>
          <w:szCs w:val="18"/>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5" w:right="29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620" w:right="560"/>
        <w:spacing w:after="0" w:line="324"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As of December 31, 2007</w:t>
            </w: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58"/>
              <w:spacing w:after="0" w:line="125" w:lineRule="exact"/>
              <w:rPr>
                <w:sz w:val="20"/>
                <w:szCs w:val="20"/>
                <w:color w:val="auto"/>
              </w:rPr>
            </w:pPr>
            <w:r>
              <w:rPr>
                <w:rFonts w:ascii="Arial" w:cs="Arial" w:eastAsia="Arial" w:hAnsi="Arial"/>
                <w:sz w:val="13"/>
                <w:szCs w:val="13"/>
                <w:b w:val="1"/>
                <w:bCs w:val="1"/>
                <w:color w:val="auto"/>
                <w:w w:val="90"/>
              </w:rPr>
              <w:t>More than 5</w:t>
            </w:r>
          </w:p>
        </w:tc>
        <w:tc>
          <w:tcPr>
            <w:tcW w:w="1120" w:type="dxa"/>
            <w:vAlign w:val="bottom"/>
            <w:gridSpan w:val="2"/>
          </w:tcPr>
          <w:p>
            <w:pPr>
              <w:jc w:val="center"/>
              <w:ind w:right="78"/>
              <w:spacing w:after="0" w:line="125" w:lineRule="exact"/>
              <w:rPr>
                <w:sz w:val="20"/>
                <w:szCs w:val="20"/>
                <w:color w:val="auto"/>
              </w:rPr>
            </w:pPr>
            <w:r>
              <w:rPr>
                <w:rFonts w:ascii="Arial" w:cs="Arial" w:eastAsia="Arial" w:hAnsi="Arial"/>
                <w:sz w:val="13"/>
                <w:szCs w:val="13"/>
                <w:b w:val="1"/>
                <w:bCs w:val="1"/>
                <w:color w:val="auto"/>
                <w:w w:val="88"/>
              </w:rPr>
              <w:t>Non-interest</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Up to 1 month</w:t>
            </w:r>
          </w:p>
        </w:tc>
        <w:tc>
          <w:tcPr>
            <w:tcW w:w="116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85"/>
              </w:rPr>
              <w:t>1 to 3 months</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3 to 12 months</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1 to 5 years</w:t>
            </w:r>
          </w:p>
        </w:tc>
        <w:tc>
          <w:tcPr>
            <w:tcW w:w="112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82"/>
              </w:rPr>
              <w:t>years</w:t>
            </w:r>
          </w:p>
        </w:tc>
        <w:tc>
          <w:tcPr>
            <w:tcW w:w="112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9"/>
              </w:rPr>
              <w:t>bearing</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US$(000)</w:t>
            </w:r>
          </w:p>
        </w:tc>
        <w:tc>
          <w:tcPr>
            <w:tcW w:w="1160" w:type="dxa"/>
            <w:vAlign w:val="bottom"/>
            <w:gridSpan w:val="2"/>
          </w:tcPr>
          <w:p>
            <w:pPr>
              <w:jc w:val="center"/>
              <w:ind w:right="98"/>
              <w:spacing w:after="0"/>
              <w:rPr>
                <w:sz w:val="20"/>
                <w:szCs w:val="20"/>
                <w:color w:val="auto"/>
              </w:rPr>
            </w:pPr>
            <w:r>
              <w:rPr>
                <w:rFonts w:ascii="Arial" w:cs="Arial" w:eastAsia="Arial" w:hAnsi="Arial"/>
                <w:sz w:val="13"/>
                <w:szCs w:val="13"/>
                <w:color w:val="auto"/>
                <w:w w:val="89"/>
              </w:rPr>
              <w:t>US$(000)</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US$(000)</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US$(000)</w:t>
            </w:r>
          </w:p>
        </w:tc>
        <w:tc>
          <w:tcPr>
            <w:tcW w:w="1120" w:type="dxa"/>
            <w:vAlign w:val="bottom"/>
            <w:gridSpan w:val="2"/>
          </w:tcPr>
          <w:p>
            <w:pPr>
              <w:jc w:val="center"/>
              <w:ind w:right="58"/>
              <w:spacing w:after="0"/>
              <w:rPr>
                <w:sz w:val="20"/>
                <w:szCs w:val="20"/>
                <w:color w:val="auto"/>
              </w:rPr>
            </w:pPr>
            <w:r>
              <w:rPr>
                <w:rFonts w:ascii="Arial" w:cs="Arial" w:eastAsia="Arial" w:hAnsi="Arial"/>
                <w:sz w:val="13"/>
                <w:szCs w:val="13"/>
                <w:color w:val="auto"/>
                <w:w w:val="89"/>
              </w:rPr>
              <w:t>US$(000)</w:t>
            </w:r>
          </w:p>
        </w:tc>
        <w:tc>
          <w:tcPr>
            <w:tcW w:w="1120" w:type="dxa"/>
            <w:vAlign w:val="bottom"/>
            <w:gridSpan w:val="2"/>
          </w:tcPr>
          <w:p>
            <w:pPr>
              <w:jc w:val="center"/>
              <w:ind w:right="58"/>
              <w:spacing w:after="0"/>
              <w:rPr>
                <w:sz w:val="20"/>
                <w:szCs w:val="20"/>
                <w:color w:val="auto"/>
              </w:rPr>
            </w:pPr>
            <w:r>
              <w:rPr>
                <w:rFonts w:ascii="Arial" w:cs="Arial" w:eastAsia="Arial" w:hAnsi="Arial"/>
                <w:sz w:val="13"/>
                <w:szCs w:val="13"/>
                <w:color w:val="auto"/>
                <w:w w:val="89"/>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Assets</w:t>
            </w:r>
          </w:p>
        </w:tc>
        <w:tc>
          <w:tcPr>
            <w:tcW w:w="10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Cash and due from banks</w:t>
            </w:r>
          </w:p>
        </w:tc>
        <w:tc>
          <w:tcPr>
            <w:tcW w:w="1040" w:type="dxa"/>
            <w:vAlign w:val="bottom"/>
          </w:tcPr>
          <w:p>
            <w:pPr>
              <w:jc w:val="right"/>
              <w:spacing w:after="0"/>
              <w:rPr>
                <w:sz w:val="20"/>
                <w:szCs w:val="20"/>
                <w:color w:val="auto"/>
              </w:rPr>
            </w:pPr>
            <w:r>
              <w:rPr>
                <w:rFonts w:ascii="Arial" w:cs="Arial" w:eastAsia="Arial" w:hAnsi="Arial"/>
                <w:sz w:val="13"/>
                <w:szCs w:val="13"/>
                <w:color w:val="auto"/>
              </w:rPr>
              <w:t>2,331,637</w:t>
            </w:r>
          </w:p>
        </w:tc>
        <w:tc>
          <w:tcPr>
            <w:tcW w:w="120" w:type="dxa"/>
            <w:vAlign w:val="bottom"/>
          </w:tcPr>
          <w:p>
            <w:pPr>
              <w:spacing w:after="0"/>
              <w:rPr>
                <w:sz w:val="12"/>
                <w:szCs w:val="12"/>
                <w:color w:val="auto"/>
              </w:rPr>
            </w:pPr>
          </w:p>
        </w:tc>
        <w:tc>
          <w:tcPr>
            <w:tcW w:w="1160" w:type="dxa"/>
            <w:vAlign w:val="bottom"/>
            <w:gridSpan w:val="2"/>
          </w:tcPr>
          <w:p>
            <w:pPr>
              <w:jc w:val="right"/>
              <w:ind w:right="78"/>
              <w:spacing w:after="0"/>
              <w:rPr>
                <w:sz w:val="20"/>
                <w:szCs w:val="20"/>
                <w:color w:val="auto"/>
              </w:rPr>
            </w:pPr>
            <w:r>
              <w:rPr>
                <w:rFonts w:ascii="Arial" w:cs="Arial" w:eastAsia="Arial" w:hAnsi="Arial"/>
                <w:sz w:val="13"/>
                <w:szCs w:val="13"/>
                <w:color w:val="auto"/>
              </w:rPr>
              <w:t>31,074</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48,172</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42,045</w:t>
            </w:r>
          </w:p>
        </w:tc>
        <w:tc>
          <w:tcPr>
            <w:tcW w:w="102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620,918</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3,073,865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Investments</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567,613</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680,272</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1,974,368</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837,269</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842,317</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377,797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5,279,636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Loans</w:t>
            </w:r>
          </w:p>
        </w:tc>
        <w:tc>
          <w:tcPr>
            <w:tcW w:w="1040" w:type="dxa"/>
            <w:vAlign w:val="bottom"/>
          </w:tcPr>
          <w:p>
            <w:pPr>
              <w:jc w:val="right"/>
              <w:spacing w:after="0"/>
              <w:rPr>
                <w:sz w:val="20"/>
                <w:szCs w:val="20"/>
                <w:color w:val="auto"/>
              </w:rPr>
            </w:pPr>
            <w:r>
              <w:rPr>
                <w:rFonts w:ascii="Arial" w:cs="Arial" w:eastAsia="Arial" w:hAnsi="Arial"/>
                <w:sz w:val="13"/>
                <w:szCs w:val="13"/>
                <w:color w:val="auto"/>
              </w:rPr>
              <w:t>2,078,657</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2,294,056</w:t>
            </w:r>
          </w:p>
        </w:tc>
        <w:tc>
          <w:tcPr>
            <w:tcW w:w="1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1,499,311</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2,051,629</w:t>
            </w:r>
          </w:p>
        </w:tc>
        <w:tc>
          <w:tcPr>
            <w:tcW w:w="1020" w:type="dxa"/>
            <w:vAlign w:val="bottom"/>
          </w:tcPr>
          <w:p>
            <w:pPr>
              <w:jc w:val="right"/>
              <w:spacing w:after="0"/>
              <w:rPr>
                <w:sz w:val="20"/>
                <w:szCs w:val="20"/>
                <w:color w:val="auto"/>
              </w:rPr>
            </w:pPr>
            <w:r>
              <w:rPr>
                <w:rFonts w:ascii="Arial" w:cs="Arial" w:eastAsia="Arial" w:hAnsi="Arial"/>
                <w:sz w:val="13"/>
                <w:szCs w:val="13"/>
                <w:color w:val="auto"/>
              </w:rPr>
              <w:t>115,847</w:t>
            </w:r>
          </w:p>
        </w:tc>
        <w:tc>
          <w:tcPr>
            <w:tcW w:w="100" w:type="dxa"/>
            <w:vAlign w:val="bottom"/>
          </w:tcPr>
          <w:p>
            <w:pPr>
              <w:spacing w:after="0"/>
              <w:rPr>
                <w:sz w:val="12"/>
                <w:szCs w:val="12"/>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8,039,500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Assets designated at fair value through profit and loss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50,561</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162,592</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213,153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Premiums and other policies receivables</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85,495</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85,495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Accounts receivable from re-insurers and co-insurers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116,141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116,141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Other assets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898,108</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898,108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line="144" w:lineRule="exact"/>
              <w:rPr>
                <w:sz w:val="20"/>
                <w:szCs w:val="20"/>
                <w:color w:val="auto"/>
              </w:rPr>
            </w:pPr>
            <w:r>
              <w:rPr>
                <w:rFonts w:ascii="Arial" w:cs="Arial" w:eastAsia="Arial" w:hAnsi="Arial"/>
                <w:sz w:val="13"/>
                <w:szCs w:val="13"/>
                <w:b w:val="1"/>
                <w:bCs w:val="1"/>
                <w:color w:val="auto"/>
              </w:rPr>
              <w:t>Total assets</w:t>
            </w:r>
          </w:p>
        </w:tc>
        <w:tc>
          <w:tcPr>
            <w:tcW w:w="1040" w:type="dxa"/>
            <w:vAlign w:val="bottom"/>
            <w:shd w:val="clear" w:color="auto" w:fill="CCFFCC"/>
          </w:tcPr>
          <w:p>
            <w:pPr>
              <w:jc w:val="right"/>
              <w:spacing w:after="0" w:line="144" w:lineRule="exact"/>
              <w:rPr>
                <w:sz w:val="20"/>
                <w:szCs w:val="20"/>
                <w:color w:val="auto"/>
              </w:rPr>
            </w:pPr>
            <w:r>
              <w:rPr>
                <w:rFonts w:ascii="Arial" w:cs="Arial" w:eastAsia="Arial" w:hAnsi="Arial"/>
                <w:sz w:val="13"/>
                <w:szCs w:val="13"/>
                <w:color w:val="auto"/>
              </w:rPr>
              <w:t>4,977,907</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4" w:lineRule="exact"/>
              <w:rPr>
                <w:sz w:val="20"/>
                <w:szCs w:val="20"/>
                <w:color w:val="auto"/>
              </w:rPr>
            </w:pPr>
            <w:r>
              <w:rPr>
                <w:rFonts w:ascii="Arial" w:cs="Arial" w:eastAsia="Arial" w:hAnsi="Arial"/>
                <w:sz w:val="13"/>
                <w:szCs w:val="13"/>
                <w:color w:val="auto"/>
              </w:rPr>
              <w:t>3,005,402</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4" w:lineRule="exact"/>
              <w:rPr>
                <w:sz w:val="20"/>
                <w:szCs w:val="20"/>
                <w:color w:val="auto"/>
              </w:rPr>
            </w:pPr>
            <w:r>
              <w:rPr>
                <w:rFonts w:ascii="Arial" w:cs="Arial" w:eastAsia="Arial" w:hAnsi="Arial"/>
                <w:sz w:val="13"/>
                <w:szCs w:val="13"/>
                <w:color w:val="auto"/>
              </w:rPr>
              <w:t>3,572,412</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4" w:lineRule="exact"/>
              <w:rPr>
                <w:sz w:val="20"/>
                <w:szCs w:val="20"/>
                <w:color w:val="auto"/>
              </w:rPr>
            </w:pPr>
            <w:r>
              <w:rPr>
                <w:rFonts w:ascii="Arial" w:cs="Arial" w:eastAsia="Arial" w:hAnsi="Arial"/>
                <w:sz w:val="13"/>
                <w:szCs w:val="13"/>
                <w:color w:val="auto"/>
              </w:rPr>
              <w:t>2,930,943</w:t>
            </w:r>
          </w:p>
        </w:tc>
        <w:tc>
          <w:tcPr>
            <w:tcW w:w="1120" w:type="dxa"/>
            <w:vAlign w:val="bottom"/>
            <w:gridSpan w:val="2"/>
            <w:shd w:val="clear" w:color="auto" w:fill="CCFFCC"/>
          </w:tcPr>
          <w:p>
            <w:pPr>
              <w:jc w:val="right"/>
              <w:ind w:right="58"/>
              <w:spacing w:after="0" w:line="144" w:lineRule="exact"/>
              <w:rPr>
                <w:sz w:val="20"/>
                <w:szCs w:val="20"/>
                <w:color w:val="auto"/>
              </w:rPr>
            </w:pPr>
            <w:r>
              <w:rPr>
                <w:rFonts w:ascii="Arial" w:cs="Arial" w:eastAsia="Arial" w:hAnsi="Arial"/>
                <w:sz w:val="13"/>
                <w:szCs w:val="13"/>
                <w:color w:val="auto"/>
              </w:rPr>
              <w:t>958,183</w:t>
            </w:r>
          </w:p>
        </w:tc>
        <w:tc>
          <w:tcPr>
            <w:tcW w:w="1120" w:type="dxa"/>
            <w:vAlign w:val="bottom"/>
            <w:gridSpan w:val="2"/>
            <w:shd w:val="clear" w:color="auto" w:fill="CCFFCC"/>
          </w:tcPr>
          <w:p>
            <w:pPr>
              <w:jc w:val="right"/>
              <w:ind w:right="58"/>
              <w:spacing w:after="0" w:line="144" w:lineRule="exact"/>
              <w:rPr>
                <w:sz w:val="20"/>
                <w:szCs w:val="20"/>
                <w:color w:val="auto"/>
              </w:rPr>
            </w:pPr>
            <w:r>
              <w:rPr>
                <w:rFonts w:ascii="Arial" w:cs="Arial" w:eastAsia="Arial" w:hAnsi="Arial"/>
                <w:sz w:val="13"/>
                <w:szCs w:val="13"/>
                <w:color w:val="auto"/>
              </w:rPr>
              <w:t>2,261,051</w:t>
            </w:r>
          </w:p>
        </w:tc>
        <w:tc>
          <w:tcPr>
            <w:tcW w:w="1120" w:type="dxa"/>
            <w:vAlign w:val="bottom"/>
            <w:gridSpan w:val="2"/>
            <w:shd w:val="clear" w:color="auto" w:fill="CCFFCC"/>
          </w:tcPr>
          <w:p>
            <w:pPr>
              <w:jc w:val="right"/>
              <w:ind w:right="100"/>
              <w:spacing w:after="0" w:line="144" w:lineRule="exact"/>
              <w:rPr>
                <w:sz w:val="20"/>
                <w:szCs w:val="20"/>
                <w:color w:val="auto"/>
              </w:rPr>
            </w:pPr>
            <w:r>
              <w:rPr>
                <w:rFonts w:ascii="Arial" w:cs="Arial" w:eastAsia="Arial" w:hAnsi="Arial"/>
                <w:sz w:val="13"/>
                <w:szCs w:val="13"/>
                <w:color w:val="auto"/>
              </w:rPr>
              <w:t>17,705,898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Liabilities</w:t>
            </w: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Deposits and obligations</w:t>
            </w:r>
          </w:p>
        </w:tc>
        <w:tc>
          <w:tcPr>
            <w:tcW w:w="1040" w:type="dxa"/>
            <w:vAlign w:val="bottom"/>
          </w:tcPr>
          <w:p>
            <w:pPr>
              <w:jc w:val="right"/>
              <w:spacing w:after="0"/>
              <w:rPr>
                <w:sz w:val="20"/>
                <w:szCs w:val="20"/>
                <w:color w:val="auto"/>
              </w:rPr>
            </w:pPr>
            <w:r>
              <w:rPr>
                <w:rFonts w:ascii="Arial" w:cs="Arial" w:eastAsia="Arial" w:hAnsi="Arial"/>
                <w:sz w:val="13"/>
                <w:szCs w:val="13"/>
                <w:color w:val="auto"/>
              </w:rPr>
              <w:t>3,358,599</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3,089,841</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1,709,965</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263,913</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2,088</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2,926,308</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11,350,714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shd w:val="clear" w:color="auto" w:fill="CCFFCC"/>
          </w:tcPr>
          <w:p>
            <w:pPr>
              <w:spacing w:after="0" w:line="134" w:lineRule="exact"/>
              <w:rPr>
                <w:sz w:val="20"/>
                <w:szCs w:val="20"/>
                <w:color w:val="auto"/>
              </w:rPr>
            </w:pPr>
            <w:r>
              <w:rPr>
                <w:rFonts w:ascii="Arial" w:cs="Arial" w:eastAsia="Arial" w:hAnsi="Arial"/>
                <w:sz w:val="13"/>
                <w:szCs w:val="13"/>
                <w:color w:val="auto"/>
                <w:w w:val="98"/>
              </w:rPr>
              <w:t>Financial liabilities designated at fair value through profit and</w:t>
            </w: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40" w:type="dxa"/>
            <w:vAlign w:val="bottom"/>
            <w:shd w:val="clear" w:color="auto" w:fill="CCFFCC"/>
          </w:tcPr>
          <w:p>
            <w:pPr>
              <w:ind w:left="160"/>
              <w:spacing w:after="0"/>
              <w:rPr>
                <w:sz w:val="20"/>
                <w:szCs w:val="20"/>
                <w:color w:val="auto"/>
              </w:rPr>
            </w:pPr>
            <w:r>
              <w:rPr>
                <w:rFonts w:ascii="Arial" w:cs="Arial" w:eastAsia="Arial" w:hAnsi="Arial"/>
                <w:sz w:val="13"/>
                <w:szCs w:val="13"/>
                <w:color w:val="auto"/>
              </w:rPr>
              <w:t>loss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50,561</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50,561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Due to banks and correspondents</w:t>
            </w:r>
          </w:p>
        </w:tc>
        <w:tc>
          <w:tcPr>
            <w:tcW w:w="1040" w:type="dxa"/>
            <w:vAlign w:val="bottom"/>
          </w:tcPr>
          <w:p>
            <w:pPr>
              <w:jc w:val="right"/>
              <w:spacing w:after="0"/>
              <w:rPr>
                <w:sz w:val="20"/>
                <w:szCs w:val="20"/>
                <w:color w:val="auto"/>
              </w:rPr>
            </w:pPr>
            <w:r>
              <w:rPr>
                <w:rFonts w:ascii="Arial" w:cs="Arial" w:eastAsia="Arial" w:hAnsi="Arial"/>
                <w:sz w:val="13"/>
                <w:szCs w:val="13"/>
                <w:color w:val="auto"/>
              </w:rPr>
              <w:t>484,560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437,345</w:t>
            </w:r>
          </w:p>
        </w:tc>
        <w:tc>
          <w:tcPr>
            <w:tcW w:w="1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303,506</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198,357</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21,296</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8,197</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1,453,261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Accounts payable to re-insurers and co-insurers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21,914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21,914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tcPr>
          <w:p>
            <w:pPr>
              <w:spacing w:after="0" w:line="134" w:lineRule="exact"/>
              <w:rPr>
                <w:sz w:val="20"/>
                <w:szCs w:val="20"/>
                <w:color w:val="auto"/>
              </w:rPr>
            </w:pPr>
            <w:r>
              <w:rPr>
                <w:rFonts w:ascii="Arial" w:cs="Arial" w:eastAsia="Arial" w:hAnsi="Arial"/>
                <w:sz w:val="13"/>
                <w:szCs w:val="13"/>
                <w:color w:val="auto"/>
                <w:w w:val="92"/>
              </w:rPr>
              <w:t>Technical, insurance claims reserves and reserves for unearned</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ind w:left="160"/>
              <w:spacing w:after="0"/>
              <w:rPr>
                <w:sz w:val="20"/>
                <w:szCs w:val="20"/>
                <w:color w:val="auto"/>
              </w:rPr>
            </w:pPr>
            <w:r>
              <w:rPr>
                <w:rFonts w:ascii="Arial" w:cs="Arial" w:eastAsia="Arial" w:hAnsi="Arial"/>
                <w:sz w:val="13"/>
                <w:szCs w:val="13"/>
                <w:color w:val="auto"/>
              </w:rPr>
              <w:t>premiums</w:t>
            </w:r>
          </w:p>
        </w:tc>
        <w:tc>
          <w:tcPr>
            <w:tcW w:w="1040" w:type="dxa"/>
            <w:vAlign w:val="bottom"/>
          </w:tcPr>
          <w:p>
            <w:pPr>
              <w:jc w:val="right"/>
              <w:spacing w:after="0"/>
              <w:rPr>
                <w:sz w:val="20"/>
                <w:szCs w:val="20"/>
                <w:color w:val="auto"/>
              </w:rPr>
            </w:pPr>
            <w:r>
              <w:rPr>
                <w:rFonts w:ascii="Arial" w:cs="Arial" w:eastAsia="Arial" w:hAnsi="Arial"/>
                <w:sz w:val="13"/>
                <w:szCs w:val="13"/>
                <w:color w:val="auto"/>
              </w:rPr>
              <w:t>1,626</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4,878</w:t>
            </w:r>
          </w:p>
        </w:tc>
        <w:tc>
          <w:tcPr>
            <w:tcW w:w="12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14,634</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95,017</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305,039</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394,333</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815,527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Borrowed funds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870,404</w:t>
            </w:r>
          </w:p>
        </w:tc>
        <w:tc>
          <w:tcPr>
            <w:tcW w:w="120" w:type="dxa"/>
            <w:vAlign w:val="bottom"/>
            <w:shd w:val="clear" w:color="auto" w:fill="CCFFCC"/>
          </w:tcPr>
          <w:p>
            <w:pPr>
              <w:spacing w:after="0"/>
              <w:rPr>
                <w:sz w:val="13"/>
                <w:szCs w:val="13"/>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870,404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Bonds and subordinated notes issued</w:t>
            </w:r>
          </w:p>
        </w:tc>
        <w:tc>
          <w:tcPr>
            <w:tcW w:w="1040" w:type="dxa"/>
            <w:vAlign w:val="bottom"/>
          </w:tcPr>
          <w:p>
            <w:pPr>
              <w:jc w:val="right"/>
              <w:spacing w:after="0"/>
              <w:rPr>
                <w:sz w:val="20"/>
                <w:szCs w:val="20"/>
                <w:color w:val="auto"/>
              </w:rPr>
            </w:pPr>
            <w:r>
              <w:rPr>
                <w:rFonts w:ascii="Arial" w:cs="Arial" w:eastAsia="Arial" w:hAnsi="Arial"/>
                <w:sz w:val="13"/>
                <w:szCs w:val="13"/>
                <w:color w:val="auto"/>
              </w:rPr>
              <w:t>101,521</w:t>
            </w:r>
          </w:p>
        </w:tc>
        <w:tc>
          <w:tcPr>
            <w:tcW w:w="120" w:type="dxa"/>
            <w:vAlign w:val="bottom"/>
          </w:tcPr>
          <w:p>
            <w:pPr>
              <w:spacing w:after="0"/>
              <w:rPr>
                <w:sz w:val="12"/>
                <w:szCs w:val="12"/>
                <w:color w:val="auto"/>
              </w:rPr>
            </w:pPr>
          </w:p>
        </w:tc>
        <w:tc>
          <w:tcPr>
            <w:tcW w:w="1160" w:type="dxa"/>
            <w:vAlign w:val="bottom"/>
            <w:gridSpan w:val="2"/>
          </w:tcPr>
          <w:p>
            <w:pPr>
              <w:jc w:val="right"/>
              <w:ind w:right="78"/>
              <w:spacing w:after="0"/>
              <w:rPr>
                <w:sz w:val="20"/>
                <w:szCs w:val="20"/>
                <w:color w:val="auto"/>
              </w:rPr>
            </w:pPr>
            <w:r>
              <w:rPr>
                <w:rFonts w:ascii="Arial" w:cs="Arial" w:eastAsia="Arial" w:hAnsi="Arial"/>
                <w:sz w:val="13"/>
                <w:szCs w:val="13"/>
                <w:color w:val="auto"/>
              </w:rPr>
              <w:t>34,520</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54,546</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176,924</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328,147</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6,640</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702,298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Other liabilities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8,275</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617,671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625,946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Equity</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1,815,273</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1,815,273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4"/>
                <w:szCs w:val="14"/>
                <w:color w:val="auto"/>
              </w:rPr>
            </w:pPr>
          </w:p>
        </w:tc>
        <w:tc>
          <w:tcPr>
            <w:tcW w:w="3440" w:type="dxa"/>
            <w:vAlign w:val="bottom"/>
            <w:tcBorders>
              <w:bottom w:val="single" w:sz="8" w:color="CCFFCC"/>
            </w:tcBorders>
            <w:shd w:val="clear" w:color="auto" w:fill="CCFFCC"/>
          </w:tcPr>
          <w:p>
            <w:pPr>
              <w:spacing w:after="0" w:line="145" w:lineRule="exact"/>
              <w:rPr>
                <w:sz w:val="20"/>
                <w:szCs w:val="20"/>
                <w:color w:val="auto"/>
              </w:rPr>
            </w:pPr>
            <w:r>
              <w:rPr>
                <w:rFonts w:ascii="Arial" w:cs="Arial" w:eastAsia="Arial" w:hAnsi="Arial"/>
                <w:sz w:val="13"/>
                <w:szCs w:val="13"/>
                <w:b w:val="1"/>
                <w:bCs w:val="1"/>
                <w:color w:val="auto"/>
              </w:rPr>
              <w:t>Total liabilities and equity</w:t>
            </w: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3,946,306</w:t>
            </w:r>
          </w:p>
        </w:tc>
        <w:tc>
          <w:tcPr>
            <w:tcW w:w="120" w:type="dxa"/>
            <w:vAlign w:val="bottom"/>
            <w:tcBorders>
              <w:bottom w:val="single" w:sz="8" w:color="CCFFCC"/>
            </w:tcBorders>
            <w:shd w:val="clear" w:color="auto" w:fill="CCFFCC"/>
          </w:tcPr>
          <w:p>
            <w:pPr>
              <w:spacing w:after="0"/>
              <w:rPr>
                <w:sz w:val="14"/>
                <w:szCs w:val="14"/>
                <w:color w:val="auto"/>
              </w:rPr>
            </w:pP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4,436,988</w:t>
            </w:r>
          </w:p>
        </w:tc>
        <w:tc>
          <w:tcPr>
            <w:tcW w:w="120" w:type="dxa"/>
            <w:vAlign w:val="bottom"/>
            <w:tcBorders>
              <w:bottom w:val="single" w:sz="8" w:color="CCFFCC"/>
            </w:tcBorders>
            <w:shd w:val="clear" w:color="auto" w:fill="CCFFCC"/>
          </w:tcPr>
          <w:p>
            <w:pPr>
              <w:spacing w:after="0"/>
              <w:rPr>
                <w:sz w:val="14"/>
                <w:szCs w:val="14"/>
                <w:color w:val="auto"/>
              </w:rPr>
            </w:pP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2,141,487</w:t>
            </w:r>
          </w:p>
        </w:tc>
        <w:tc>
          <w:tcPr>
            <w:tcW w:w="120" w:type="dxa"/>
            <w:vAlign w:val="bottom"/>
            <w:tcBorders>
              <w:bottom w:val="single" w:sz="8" w:color="CCFFCC"/>
            </w:tcBorders>
            <w:shd w:val="clear" w:color="auto" w:fill="CCFFCC"/>
          </w:tcPr>
          <w:p>
            <w:pPr>
              <w:spacing w:after="0"/>
              <w:rPr>
                <w:sz w:val="14"/>
                <w:szCs w:val="14"/>
                <w:color w:val="auto"/>
              </w:rPr>
            </w:pPr>
          </w:p>
        </w:tc>
        <w:tc>
          <w:tcPr>
            <w:tcW w:w="1120" w:type="dxa"/>
            <w:vAlign w:val="bottom"/>
            <w:tcBorders>
              <w:bottom w:val="single" w:sz="8" w:color="CCFFCC"/>
            </w:tcBorders>
            <w:gridSpan w:val="2"/>
            <w:shd w:val="clear" w:color="auto" w:fill="CCFFCC"/>
          </w:tcPr>
          <w:p>
            <w:pPr>
              <w:jc w:val="right"/>
              <w:ind w:right="120"/>
              <w:spacing w:after="0" w:line="145" w:lineRule="exact"/>
              <w:rPr>
                <w:sz w:val="20"/>
                <w:szCs w:val="20"/>
                <w:color w:val="auto"/>
              </w:rPr>
            </w:pPr>
            <w:r>
              <w:rPr>
                <w:rFonts w:ascii="Arial" w:cs="Arial" w:eastAsia="Arial" w:hAnsi="Arial"/>
                <w:sz w:val="13"/>
                <w:szCs w:val="13"/>
                <w:color w:val="auto"/>
              </w:rPr>
              <w:t>734,211</w:t>
            </w:r>
          </w:p>
        </w:tc>
        <w:tc>
          <w:tcPr>
            <w:tcW w:w="1120" w:type="dxa"/>
            <w:vAlign w:val="bottom"/>
            <w:tcBorders>
              <w:bottom w:val="single" w:sz="8" w:color="CCFFCC"/>
            </w:tcBorders>
            <w:gridSpan w:val="2"/>
            <w:shd w:val="clear" w:color="auto" w:fill="CCFFCC"/>
          </w:tcPr>
          <w:p>
            <w:pPr>
              <w:jc w:val="right"/>
              <w:ind w:right="58"/>
              <w:spacing w:after="0" w:line="145" w:lineRule="exact"/>
              <w:rPr>
                <w:sz w:val="20"/>
                <w:szCs w:val="20"/>
                <w:color w:val="auto"/>
              </w:rPr>
            </w:pPr>
            <w:r>
              <w:rPr>
                <w:rFonts w:ascii="Arial" w:cs="Arial" w:eastAsia="Arial" w:hAnsi="Arial"/>
                <w:sz w:val="13"/>
                <w:szCs w:val="13"/>
                <w:color w:val="auto"/>
              </w:rPr>
              <w:t>656,570</w:t>
            </w:r>
          </w:p>
        </w:tc>
        <w:tc>
          <w:tcPr>
            <w:tcW w:w="1120" w:type="dxa"/>
            <w:vAlign w:val="bottom"/>
            <w:tcBorders>
              <w:bottom w:val="single" w:sz="8" w:color="CCFFCC"/>
            </w:tcBorders>
            <w:gridSpan w:val="2"/>
            <w:shd w:val="clear" w:color="auto" w:fill="CCFFCC"/>
          </w:tcPr>
          <w:p>
            <w:pPr>
              <w:jc w:val="right"/>
              <w:ind w:right="58"/>
              <w:spacing w:after="0" w:line="145" w:lineRule="exact"/>
              <w:rPr>
                <w:sz w:val="20"/>
                <w:szCs w:val="20"/>
                <w:color w:val="auto"/>
              </w:rPr>
            </w:pPr>
            <w:r>
              <w:rPr>
                <w:rFonts w:ascii="Arial" w:cs="Arial" w:eastAsia="Arial" w:hAnsi="Arial"/>
                <w:sz w:val="13"/>
                <w:szCs w:val="13"/>
                <w:color w:val="auto"/>
              </w:rPr>
              <w:t>5,790,336</w:t>
            </w:r>
          </w:p>
        </w:tc>
        <w:tc>
          <w:tcPr>
            <w:tcW w:w="1120" w:type="dxa"/>
            <w:vAlign w:val="bottom"/>
            <w:tcBorders>
              <w:bottom w:val="single" w:sz="8" w:color="CCFFCC"/>
            </w:tcBorders>
            <w:gridSpan w:val="2"/>
            <w:shd w:val="clear" w:color="auto" w:fill="CCFFCC"/>
          </w:tcPr>
          <w:p>
            <w:pPr>
              <w:jc w:val="right"/>
              <w:ind w:right="100"/>
              <w:spacing w:after="0" w:line="145" w:lineRule="exact"/>
              <w:rPr>
                <w:sz w:val="20"/>
                <w:szCs w:val="20"/>
                <w:color w:val="auto"/>
              </w:rPr>
            </w:pPr>
            <w:r>
              <w:rPr>
                <w:rFonts w:ascii="Arial" w:cs="Arial" w:eastAsia="Arial" w:hAnsi="Arial"/>
                <w:sz w:val="13"/>
                <w:szCs w:val="13"/>
                <w:color w:val="auto"/>
              </w:rPr>
              <w:t>17,705,898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Off-Balance sheet items</w:t>
            </w: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Derivatives assets</w:t>
            </w:r>
          </w:p>
        </w:tc>
        <w:tc>
          <w:tcPr>
            <w:tcW w:w="1040" w:type="dxa"/>
            <w:vAlign w:val="bottom"/>
          </w:tcPr>
          <w:p>
            <w:pPr>
              <w:jc w:val="right"/>
              <w:spacing w:after="0"/>
              <w:rPr>
                <w:sz w:val="20"/>
                <w:szCs w:val="20"/>
                <w:color w:val="auto"/>
              </w:rPr>
            </w:pPr>
            <w:r>
              <w:rPr>
                <w:rFonts w:ascii="Arial" w:cs="Arial" w:eastAsia="Arial" w:hAnsi="Arial"/>
                <w:sz w:val="13"/>
                <w:szCs w:val="13"/>
                <w:color w:val="auto"/>
              </w:rPr>
              <w:t>1,746,686</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724,850</w:t>
            </w:r>
          </w:p>
        </w:tc>
        <w:tc>
          <w:tcPr>
            <w:tcW w:w="1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719,635</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349,552</w:t>
            </w:r>
          </w:p>
        </w:tc>
        <w:tc>
          <w:tcPr>
            <w:tcW w:w="1020" w:type="dxa"/>
            <w:vAlign w:val="bottom"/>
          </w:tcPr>
          <w:p>
            <w:pPr>
              <w:jc w:val="right"/>
              <w:spacing w:after="0"/>
              <w:rPr>
                <w:sz w:val="20"/>
                <w:szCs w:val="20"/>
                <w:color w:val="auto"/>
              </w:rPr>
            </w:pPr>
            <w:r>
              <w:rPr>
                <w:rFonts w:ascii="Arial" w:cs="Arial" w:eastAsia="Arial" w:hAnsi="Arial"/>
                <w:sz w:val="13"/>
                <w:szCs w:val="13"/>
                <w:color w:val="auto"/>
              </w:rPr>
              <w:t>116,269</w:t>
            </w:r>
          </w:p>
        </w:tc>
        <w:tc>
          <w:tcPr>
            <w:tcW w:w="100" w:type="dxa"/>
            <w:vAlign w:val="bottom"/>
          </w:tcPr>
          <w:p>
            <w:pPr>
              <w:spacing w:after="0"/>
              <w:rPr>
                <w:sz w:val="12"/>
                <w:szCs w:val="12"/>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3,656,992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3"/>
                <w:szCs w:val="13"/>
                <w:color w:val="auto"/>
              </w:rPr>
              <w:t>Derivatives liabilities</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967,415</w:t>
            </w:r>
          </w:p>
        </w:tc>
        <w:tc>
          <w:tcPr>
            <w:tcW w:w="120" w:type="dxa"/>
            <w:vAlign w:val="bottom"/>
            <w:tcBorders>
              <w:bottom w:val="single" w:sz="8" w:color="CCFFCC"/>
            </w:tcBorders>
            <w:shd w:val="clear" w:color="auto" w:fill="CCFFCC"/>
          </w:tcPr>
          <w:p>
            <w:pPr>
              <w:spacing w:after="0"/>
              <w:rPr>
                <w:sz w:val="13"/>
                <w:szCs w:val="13"/>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617,771</w:t>
            </w:r>
          </w:p>
        </w:tc>
        <w:tc>
          <w:tcPr>
            <w:tcW w:w="120" w:type="dxa"/>
            <w:vAlign w:val="bottom"/>
            <w:tcBorders>
              <w:bottom w:val="single" w:sz="8" w:color="CCFFCC"/>
            </w:tcBorders>
            <w:shd w:val="clear" w:color="auto" w:fill="CCFFCC"/>
          </w:tcPr>
          <w:p>
            <w:pPr>
              <w:spacing w:after="0"/>
              <w:rPr>
                <w:sz w:val="13"/>
                <w:szCs w:val="13"/>
                <w:color w:val="auto"/>
              </w:rPr>
            </w:pP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801,599</w:t>
            </w: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806,626</w:t>
            </w:r>
          </w:p>
        </w:tc>
        <w:tc>
          <w:tcPr>
            <w:tcW w:w="1120" w:type="dxa"/>
            <w:vAlign w:val="bottom"/>
            <w:tcBorders>
              <w:bottom w:val="single" w:sz="8" w:color="CCFFCC"/>
            </w:tcBorders>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463,581</w:t>
            </w:r>
          </w:p>
        </w:tc>
        <w:tc>
          <w:tcPr>
            <w:tcW w:w="1120" w:type="dxa"/>
            <w:vAlign w:val="bottom"/>
            <w:tcBorders>
              <w:bottom w:val="single" w:sz="8" w:color="CCFFCC"/>
            </w:tcBorders>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3,656,992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779,271</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107,079</w:t>
            </w:r>
          </w:p>
        </w:tc>
        <w:tc>
          <w:tcPr>
            <w:tcW w:w="12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1"/>
                <w:szCs w:val="11"/>
                <w:color w:val="auto"/>
              </w:rPr>
              <w:t>(81,964</w:t>
            </w:r>
            <w:r>
              <w:rPr>
                <w:rFonts w:ascii="Arial" w:cs="Arial" w:eastAsia="Arial" w:hAnsi="Arial"/>
                <w:sz w:val="19"/>
                <w:szCs w:val="19"/>
                <w:color w:val="auto"/>
                <w:vertAlign w:val="superscript"/>
              </w:rPr>
              <w:t>)</w:t>
            </w:r>
          </w:p>
        </w:tc>
        <w:tc>
          <w:tcPr>
            <w:tcW w:w="1120" w:type="dxa"/>
            <w:vAlign w:val="bottom"/>
            <w:gridSpan w:val="2"/>
          </w:tcPr>
          <w:p>
            <w:pPr>
              <w:jc w:val="right"/>
              <w:ind w:right="60"/>
              <w:spacing w:after="0" w:line="169" w:lineRule="exact"/>
              <w:rPr>
                <w:sz w:val="20"/>
                <w:szCs w:val="20"/>
                <w:color w:val="auto"/>
              </w:rPr>
            </w:pPr>
            <w:r>
              <w:rPr>
                <w:rFonts w:ascii="Arial" w:cs="Arial" w:eastAsia="Arial" w:hAnsi="Arial"/>
                <w:sz w:val="11"/>
                <w:szCs w:val="11"/>
                <w:color w:val="auto"/>
              </w:rPr>
              <w:t>(457,074</w:t>
            </w:r>
            <w:r>
              <w:rPr>
                <w:rFonts w:ascii="Arial" w:cs="Arial" w:eastAsia="Arial" w:hAnsi="Arial"/>
                <w:sz w:val="19"/>
                <w:szCs w:val="19"/>
                <w:color w:val="auto"/>
                <w:vertAlign w:val="superscript"/>
              </w:rPr>
              <w:t>)</w:t>
            </w:r>
          </w:p>
        </w:tc>
        <w:tc>
          <w:tcPr>
            <w:tcW w:w="1120" w:type="dxa"/>
            <w:vAlign w:val="bottom"/>
            <w:gridSpan w:val="2"/>
          </w:tcPr>
          <w:p>
            <w:pPr>
              <w:jc w:val="right"/>
              <w:ind w:right="18"/>
              <w:spacing w:after="0" w:line="169" w:lineRule="exact"/>
              <w:rPr>
                <w:sz w:val="20"/>
                <w:szCs w:val="20"/>
                <w:color w:val="auto"/>
              </w:rPr>
            </w:pPr>
            <w:r>
              <w:rPr>
                <w:rFonts w:ascii="Arial" w:cs="Arial" w:eastAsia="Arial" w:hAnsi="Arial"/>
                <w:sz w:val="11"/>
                <w:szCs w:val="11"/>
                <w:color w:val="auto"/>
              </w:rPr>
              <w:t>(347,312</w:t>
            </w:r>
            <w:r>
              <w:rPr>
                <w:rFonts w:ascii="Arial" w:cs="Arial" w:eastAsia="Arial" w:hAnsi="Arial"/>
                <w:sz w:val="19"/>
                <w:szCs w:val="19"/>
                <w:color w:val="auto"/>
                <w:vertAlign w:val="superscript"/>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tcBorders>
              <w:bottom w:val="single" w:sz="8" w:color="CCFFCC"/>
            </w:tcBorders>
            <w:shd w:val="clear" w:color="auto" w:fill="CCFFCC"/>
          </w:tcPr>
          <w:p>
            <w:pPr>
              <w:spacing w:after="0" w:line="143" w:lineRule="exact"/>
              <w:rPr>
                <w:sz w:val="20"/>
                <w:szCs w:val="20"/>
                <w:color w:val="auto"/>
              </w:rPr>
            </w:pPr>
            <w:r>
              <w:rPr>
                <w:rFonts w:ascii="Arial" w:cs="Arial" w:eastAsia="Arial" w:hAnsi="Arial"/>
                <w:sz w:val="13"/>
                <w:szCs w:val="13"/>
                <w:b w:val="1"/>
                <w:bCs w:val="1"/>
                <w:color w:val="auto"/>
              </w:rPr>
              <w:t>Marginal gap</w:t>
            </w:r>
          </w:p>
        </w:tc>
        <w:tc>
          <w:tcPr>
            <w:tcW w:w="104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1,810,872</w:t>
            </w:r>
          </w:p>
        </w:tc>
        <w:tc>
          <w:tcPr>
            <w:tcW w:w="120" w:type="dxa"/>
            <w:vAlign w:val="bottom"/>
            <w:tcBorders>
              <w:bottom w:val="single" w:sz="8" w:color="CCFFCC"/>
            </w:tcBorders>
            <w:shd w:val="clear" w:color="auto" w:fill="CCFFCC"/>
          </w:tcPr>
          <w:p>
            <w:pPr>
              <w:spacing w:after="0"/>
              <w:rPr>
                <w:sz w:val="12"/>
                <w:szCs w:val="12"/>
                <w:color w:val="auto"/>
              </w:rPr>
            </w:pPr>
          </w:p>
        </w:tc>
        <w:tc>
          <w:tcPr>
            <w:tcW w:w="104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(1,324,507</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104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1,348,961</w:t>
            </w:r>
          </w:p>
        </w:tc>
        <w:tc>
          <w:tcPr>
            <w:tcW w:w="120" w:type="dxa"/>
            <w:vAlign w:val="bottom"/>
            <w:tcBorders>
              <w:bottom w:val="single" w:sz="8" w:color="CCFFCC"/>
            </w:tcBorders>
            <w:shd w:val="clear" w:color="auto" w:fill="CCFFCC"/>
          </w:tcPr>
          <w:p>
            <w:pPr>
              <w:spacing w:after="0"/>
              <w:rPr>
                <w:sz w:val="12"/>
                <w:szCs w:val="12"/>
                <w:color w:val="auto"/>
              </w:rPr>
            </w:pPr>
          </w:p>
        </w:tc>
        <w:tc>
          <w:tcPr>
            <w:tcW w:w="1120" w:type="dxa"/>
            <w:vAlign w:val="bottom"/>
            <w:tcBorders>
              <w:bottom w:val="single" w:sz="8" w:color="CCFFCC"/>
            </w:tcBorders>
            <w:gridSpan w:val="2"/>
            <w:shd w:val="clear" w:color="auto" w:fill="CCFFCC"/>
          </w:tcPr>
          <w:p>
            <w:pPr>
              <w:jc w:val="right"/>
              <w:ind w:right="120"/>
              <w:spacing w:after="0" w:line="143" w:lineRule="exact"/>
              <w:rPr>
                <w:sz w:val="20"/>
                <w:szCs w:val="20"/>
                <w:color w:val="auto"/>
              </w:rPr>
            </w:pPr>
            <w:r>
              <w:rPr>
                <w:rFonts w:ascii="Arial" w:cs="Arial" w:eastAsia="Arial" w:hAnsi="Arial"/>
                <w:sz w:val="13"/>
                <w:szCs w:val="13"/>
                <w:color w:val="auto"/>
              </w:rPr>
              <w:t>1,739,658</w:t>
            </w:r>
          </w:p>
        </w:tc>
        <w:tc>
          <w:tcPr>
            <w:tcW w:w="102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(45,699</w:t>
            </w:r>
          </w:p>
        </w:tc>
        <w:tc>
          <w:tcPr>
            <w:tcW w:w="100" w:type="dxa"/>
            <w:vAlign w:val="bottom"/>
            <w:tcBorders>
              <w:bottom w:val="single" w:sz="8" w:color="CCFFCC"/>
            </w:tcBorders>
            <w:shd w:val="clear" w:color="auto" w:fill="CCFFCC"/>
          </w:tcPr>
          <w:p>
            <w:pPr>
              <w:jc w:val="right"/>
              <w:ind w:right="18"/>
              <w:spacing w:after="0"/>
              <w:rPr>
                <w:sz w:val="20"/>
                <w:szCs w:val="20"/>
                <w:color w:val="auto"/>
              </w:rPr>
            </w:pPr>
            <w:r>
              <w:rPr>
                <w:rFonts w:ascii="Arial" w:cs="Arial" w:eastAsia="Arial" w:hAnsi="Arial"/>
                <w:sz w:val="8"/>
                <w:szCs w:val="8"/>
                <w:color w:val="auto"/>
                <w:w w:val="73"/>
              </w:rPr>
              <w:t>)</w:t>
            </w:r>
          </w:p>
        </w:tc>
        <w:tc>
          <w:tcPr>
            <w:tcW w:w="102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(3,529,285</w:t>
            </w:r>
          </w:p>
        </w:tc>
        <w:tc>
          <w:tcPr>
            <w:tcW w:w="100" w:type="dxa"/>
            <w:vAlign w:val="bottom"/>
            <w:tcBorders>
              <w:bottom w:val="single" w:sz="8" w:color="CCFFCC"/>
            </w:tcBorders>
            <w:shd w:val="clear" w:color="auto" w:fill="CCFFCC"/>
          </w:tcPr>
          <w:p>
            <w:pPr>
              <w:jc w:val="right"/>
              <w:ind w:right="18"/>
              <w:spacing w:after="0"/>
              <w:rPr>
                <w:sz w:val="20"/>
                <w:szCs w:val="20"/>
                <w:color w:val="auto"/>
              </w:rPr>
            </w:pPr>
            <w:r>
              <w:rPr>
                <w:rFonts w:ascii="Arial" w:cs="Arial" w:eastAsia="Arial" w:hAnsi="Arial"/>
                <w:sz w:val="8"/>
                <w:szCs w:val="8"/>
                <w:color w:val="auto"/>
                <w:w w:val="73"/>
              </w:rPr>
              <w:t>)</w:t>
            </w:r>
          </w:p>
        </w:tc>
        <w:tc>
          <w:tcPr>
            <w:tcW w:w="1120" w:type="dxa"/>
            <w:vAlign w:val="bottom"/>
            <w:tcBorders>
              <w:bottom w:val="single" w:sz="8" w:color="CCFFCC"/>
            </w:tcBorders>
            <w:gridSpan w:val="2"/>
            <w:shd w:val="clear" w:color="auto" w:fill="CCFFCC"/>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40" w:type="dxa"/>
            <w:vAlign w:val="bottom"/>
          </w:tcPr>
          <w:p>
            <w:pPr>
              <w:spacing w:after="0" w:line="143" w:lineRule="exact"/>
              <w:rPr>
                <w:sz w:val="20"/>
                <w:szCs w:val="20"/>
                <w:color w:val="auto"/>
              </w:rPr>
            </w:pPr>
            <w:r>
              <w:rPr>
                <w:rFonts w:ascii="Arial" w:cs="Arial" w:eastAsia="Arial" w:hAnsi="Arial"/>
                <w:sz w:val="13"/>
                <w:szCs w:val="13"/>
                <w:b w:val="1"/>
                <w:bCs w:val="1"/>
                <w:color w:val="auto"/>
              </w:rPr>
              <w:t>Accumulated gap</w:t>
            </w: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1,810,872</w:t>
            </w:r>
          </w:p>
        </w:tc>
        <w:tc>
          <w:tcPr>
            <w:tcW w:w="12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486,365</w:t>
            </w:r>
          </w:p>
        </w:tc>
        <w:tc>
          <w:tcPr>
            <w:tcW w:w="12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1,835,326</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3,574,984</w:t>
            </w:r>
          </w:p>
        </w:tc>
        <w:tc>
          <w:tcPr>
            <w:tcW w:w="1020" w:type="dxa"/>
            <w:vAlign w:val="bottom"/>
          </w:tcPr>
          <w:p>
            <w:pPr>
              <w:jc w:val="right"/>
              <w:spacing w:after="0" w:line="143" w:lineRule="exact"/>
              <w:rPr>
                <w:sz w:val="20"/>
                <w:szCs w:val="20"/>
                <w:color w:val="auto"/>
              </w:rPr>
            </w:pPr>
            <w:r>
              <w:rPr>
                <w:rFonts w:ascii="Arial" w:cs="Arial" w:eastAsia="Arial" w:hAnsi="Arial"/>
                <w:sz w:val="13"/>
                <w:szCs w:val="13"/>
                <w:color w:val="auto"/>
              </w:rPr>
              <w:t>3,529,285</w:t>
            </w:r>
          </w:p>
        </w:tc>
        <w:tc>
          <w:tcPr>
            <w:tcW w:w="100" w:type="dxa"/>
            <w:vAlign w:val="bottom"/>
          </w:tcPr>
          <w:p>
            <w:pPr>
              <w:spacing w:after="0"/>
              <w:rPr>
                <w:sz w:val="12"/>
                <w:szCs w:val="12"/>
                <w:color w:val="auto"/>
              </w:rPr>
            </w:pPr>
          </w:p>
        </w:tc>
        <w:tc>
          <w:tcPr>
            <w:tcW w:w="1120" w:type="dxa"/>
            <w:vAlign w:val="bottom"/>
            <w:gridSpan w:val="2"/>
          </w:tcPr>
          <w:p>
            <w:pPr>
              <w:jc w:val="right"/>
              <w:ind w:right="58"/>
              <w:spacing w:after="0" w:line="143"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As of December 31, 2006</w:t>
            </w: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0"/>
              </w:rPr>
              <w:t>More than 5</w:t>
            </w:r>
          </w:p>
        </w:tc>
        <w:tc>
          <w:tcPr>
            <w:tcW w:w="1120" w:type="dxa"/>
            <w:vAlign w:val="bottom"/>
            <w:gridSpan w:val="2"/>
          </w:tcPr>
          <w:p>
            <w:pPr>
              <w:jc w:val="center"/>
              <w:ind w:right="78"/>
              <w:spacing w:after="0" w:line="125" w:lineRule="exact"/>
              <w:rPr>
                <w:sz w:val="20"/>
                <w:szCs w:val="20"/>
                <w:color w:val="auto"/>
              </w:rPr>
            </w:pPr>
            <w:r>
              <w:rPr>
                <w:rFonts w:ascii="Arial" w:cs="Arial" w:eastAsia="Arial" w:hAnsi="Arial"/>
                <w:sz w:val="13"/>
                <w:szCs w:val="13"/>
                <w:b w:val="1"/>
                <w:bCs w:val="1"/>
                <w:color w:val="auto"/>
                <w:w w:val="88"/>
              </w:rPr>
              <w:t>Non-interest</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Up to 1 month</w:t>
            </w:r>
          </w:p>
        </w:tc>
        <w:tc>
          <w:tcPr>
            <w:tcW w:w="1160" w:type="dxa"/>
            <w:vAlign w:val="bottom"/>
            <w:gridSpan w:val="2"/>
          </w:tcPr>
          <w:p>
            <w:pPr>
              <w:jc w:val="right"/>
              <w:ind w:right="238"/>
              <w:spacing w:after="0"/>
              <w:rPr>
                <w:sz w:val="20"/>
                <w:szCs w:val="20"/>
                <w:color w:val="auto"/>
              </w:rPr>
            </w:pPr>
            <w:r>
              <w:rPr>
                <w:rFonts w:ascii="Arial" w:cs="Arial" w:eastAsia="Arial" w:hAnsi="Arial"/>
                <w:sz w:val="13"/>
                <w:szCs w:val="13"/>
                <w:b w:val="1"/>
                <w:bCs w:val="1"/>
                <w:color w:val="auto"/>
              </w:rPr>
              <w:t>1 to 3 months</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5"/>
              </w:rPr>
              <w:t>3 to 12 months</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1 to 5 years</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years</w:t>
            </w:r>
          </w:p>
        </w:tc>
        <w:tc>
          <w:tcPr>
            <w:tcW w:w="1120" w:type="dxa"/>
            <w:vAlign w:val="bottom"/>
            <w:gridSpan w:val="2"/>
          </w:tcPr>
          <w:p>
            <w:pPr>
              <w:jc w:val="center"/>
              <w:ind w:right="58"/>
              <w:spacing w:after="0"/>
              <w:rPr>
                <w:sz w:val="20"/>
                <w:szCs w:val="20"/>
                <w:color w:val="auto"/>
              </w:rPr>
            </w:pPr>
            <w:r>
              <w:rPr>
                <w:rFonts w:ascii="Arial" w:cs="Arial" w:eastAsia="Arial" w:hAnsi="Arial"/>
                <w:sz w:val="13"/>
                <w:szCs w:val="13"/>
                <w:b w:val="1"/>
                <w:bCs w:val="1"/>
                <w:color w:val="auto"/>
                <w:w w:val="89"/>
              </w:rPr>
              <w:t>bearing</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US$(000)</w:t>
            </w:r>
          </w:p>
        </w:tc>
        <w:tc>
          <w:tcPr>
            <w:tcW w:w="1160" w:type="dxa"/>
            <w:vAlign w:val="bottom"/>
            <w:gridSpan w:val="2"/>
          </w:tcPr>
          <w:p>
            <w:pPr>
              <w:jc w:val="right"/>
              <w:ind w:right="358"/>
              <w:spacing w:after="0"/>
              <w:rPr>
                <w:sz w:val="20"/>
                <w:szCs w:val="20"/>
                <w:color w:val="auto"/>
              </w:rPr>
            </w:pPr>
            <w:r>
              <w:rPr>
                <w:rFonts w:ascii="Arial" w:cs="Arial" w:eastAsia="Arial" w:hAnsi="Arial"/>
                <w:sz w:val="13"/>
                <w:szCs w:val="13"/>
                <w:color w:val="auto"/>
              </w:rPr>
              <w:t>US$(000)</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US$(000)</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1120" w:type="dxa"/>
            <w:vAlign w:val="bottom"/>
            <w:gridSpan w:val="2"/>
          </w:tcPr>
          <w:p>
            <w:pPr>
              <w:jc w:val="center"/>
              <w:ind w:right="58"/>
              <w:spacing w:after="0"/>
              <w:rPr>
                <w:sz w:val="20"/>
                <w:szCs w:val="20"/>
                <w:color w:val="auto"/>
              </w:rPr>
            </w:pPr>
            <w:r>
              <w:rPr>
                <w:rFonts w:ascii="Arial" w:cs="Arial" w:eastAsia="Arial" w:hAnsi="Arial"/>
                <w:sz w:val="13"/>
                <w:szCs w:val="13"/>
                <w:color w:val="auto"/>
                <w:w w:val="89"/>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Assets</w:t>
            </w:r>
          </w:p>
        </w:tc>
        <w:tc>
          <w:tcPr>
            <w:tcW w:w="10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Cash and due from banks</w:t>
            </w:r>
          </w:p>
        </w:tc>
        <w:tc>
          <w:tcPr>
            <w:tcW w:w="1040" w:type="dxa"/>
            <w:vAlign w:val="bottom"/>
          </w:tcPr>
          <w:p>
            <w:pPr>
              <w:jc w:val="right"/>
              <w:spacing w:after="0"/>
              <w:rPr>
                <w:sz w:val="20"/>
                <w:szCs w:val="20"/>
                <w:color w:val="auto"/>
              </w:rPr>
            </w:pPr>
            <w:r>
              <w:rPr>
                <w:rFonts w:ascii="Arial" w:cs="Arial" w:eastAsia="Arial" w:hAnsi="Arial"/>
                <w:sz w:val="13"/>
                <w:szCs w:val="13"/>
                <w:color w:val="auto"/>
              </w:rPr>
              <w:t>1,068,748</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8,775</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1,181,148</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474,859</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2,733,530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Investments</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402,925</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532,586</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1,055,645</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626,422</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749,667</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128,602</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3,495,847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Loans</w:t>
            </w:r>
          </w:p>
        </w:tc>
        <w:tc>
          <w:tcPr>
            <w:tcW w:w="1040" w:type="dxa"/>
            <w:vAlign w:val="bottom"/>
          </w:tcPr>
          <w:p>
            <w:pPr>
              <w:jc w:val="right"/>
              <w:spacing w:after="0"/>
              <w:rPr>
                <w:sz w:val="20"/>
                <w:szCs w:val="20"/>
                <w:color w:val="auto"/>
              </w:rPr>
            </w:pPr>
            <w:r>
              <w:rPr>
                <w:rFonts w:ascii="Arial" w:cs="Arial" w:eastAsia="Arial" w:hAnsi="Arial"/>
                <w:sz w:val="13"/>
                <w:szCs w:val="13"/>
                <w:color w:val="auto"/>
              </w:rPr>
              <w:t>1,624,343</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1,325,556</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1,431,177</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1,023,526</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296,140</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36,081</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5,736,823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Assets designated at fair value through profit and loss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53,116</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53,116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Premiums and other policies receivables</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61,279</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61,279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Accounts receivable from re-insurers and co-insurers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35,181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35,181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Other assets</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765,753</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765,753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4"/>
                <w:szCs w:val="14"/>
                <w:color w:val="auto"/>
              </w:rPr>
            </w:pPr>
          </w:p>
        </w:tc>
        <w:tc>
          <w:tcPr>
            <w:tcW w:w="3440" w:type="dxa"/>
            <w:vAlign w:val="bottom"/>
            <w:tcBorders>
              <w:bottom w:val="single" w:sz="8" w:color="CCFFCC"/>
            </w:tcBorders>
            <w:shd w:val="clear" w:color="auto" w:fill="CCFFCC"/>
          </w:tcPr>
          <w:p>
            <w:pPr>
              <w:spacing w:after="0" w:line="145" w:lineRule="exact"/>
              <w:rPr>
                <w:sz w:val="20"/>
                <w:szCs w:val="20"/>
                <w:color w:val="auto"/>
              </w:rPr>
            </w:pPr>
            <w:r>
              <w:rPr>
                <w:rFonts w:ascii="Arial" w:cs="Arial" w:eastAsia="Arial" w:hAnsi="Arial"/>
                <w:sz w:val="13"/>
                <w:szCs w:val="13"/>
                <w:b w:val="1"/>
                <w:bCs w:val="1"/>
                <w:color w:val="auto"/>
              </w:rPr>
              <w:t>Total assets</w:t>
            </w: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3,096,016</w:t>
            </w:r>
          </w:p>
        </w:tc>
        <w:tc>
          <w:tcPr>
            <w:tcW w:w="120" w:type="dxa"/>
            <w:vAlign w:val="bottom"/>
            <w:tcBorders>
              <w:bottom w:val="single" w:sz="8" w:color="CCFFCC"/>
            </w:tcBorders>
            <w:shd w:val="clear" w:color="auto" w:fill="CCFFCC"/>
          </w:tcPr>
          <w:p>
            <w:pPr>
              <w:spacing w:after="0"/>
              <w:rPr>
                <w:sz w:val="14"/>
                <w:szCs w:val="14"/>
                <w:color w:val="auto"/>
              </w:rPr>
            </w:pP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1,866,917</w:t>
            </w:r>
          </w:p>
        </w:tc>
        <w:tc>
          <w:tcPr>
            <w:tcW w:w="120" w:type="dxa"/>
            <w:vAlign w:val="bottom"/>
            <w:tcBorders>
              <w:bottom w:val="single" w:sz="8" w:color="CCFFCC"/>
            </w:tcBorders>
            <w:shd w:val="clear" w:color="auto" w:fill="CCFFCC"/>
          </w:tcPr>
          <w:p>
            <w:pPr>
              <w:spacing w:after="0"/>
              <w:rPr>
                <w:sz w:val="14"/>
                <w:szCs w:val="14"/>
                <w:color w:val="auto"/>
              </w:rPr>
            </w:pP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3,667,970</w:t>
            </w:r>
          </w:p>
        </w:tc>
        <w:tc>
          <w:tcPr>
            <w:tcW w:w="120" w:type="dxa"/>
            <w:vAlign w:val="bottom"/>
            <w:tcBorders>
              <w:bottom w:val="single" w:sz="8" w:color="CCFFCC"/>
            </w:tcBorders>
            <w:shd w:val="clear" w:color="auto" w:fill="CCFFCC"/>
          </w:tcPr>
          <w:p>
            <w:pPr>
              <w:spacing w:after="0"/>
              <w:rPr>
                <w:sz w:val="14"/>
                <w:szCs w:val="14"/>
                <w:color w:val="auto"/>
              </w:rPr>
            </w:pPr>
          </w:p>
        </w:tc>
        <w:tc>
          <w:tcPr>
            <w:tcW w:w="1120" w:type="dxa"/>
            <w:vAlign w:val="bottom"/>
            <w:tcBorders>
              <w:bottom w:val="single" w:sz="8" w:color="CCFFCC"/>
            </w:tcBorders>
            <w:gridSpan w:val="2"/>
            <w:shd w:val="clear" w:color="auto" w:fill="CCFFCC"/>
          </w:tcPr>
          <w:p>
            <w:pPr>
              <w:jc w:val="right"/>
              <w:ind w:right="120"/>
              <w:spacing w:after="0" w:line="145" w:lineRule="exact"/>
              <w:rPr>
                <w:sz w:val="20"/>
                <w:szCs w:val="20"/>
                <w:color w:val="auto"/>
              </w:rPr>
            </w:pPr>
            <w:r>
              <w:rPr>
                <w:rFonts w:ascii="Arial" w:cs="Arial" w:eastAsia="Arial" w:hAnsi="Arial"/>
                <w:sz w:val="13"/>
                <w:szCs w:val="13"/>
                <w:color w:val="auto"/>
              </w:rPr>
              <w:t>1,649,948</w:t>
            </w:r>
          </w:p>
        </w:tc>
        <w:tc>
          <w:tcPr>
            <w:tcW w:w="102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1,045,807</w:t>
            </w:r>
          </w:p>
        </w:tc>
        <w:tc>
          <w:tcPr>
            <w:tcW w:w="100" w:type="dxa"/>
            <w:vAlign w:val="bottom"/>
            <w:tcBorders>
              <w:bottom w:val="single" w:sz="8" w:color="CCFFCC"/>
            </w:tcBorders>
            <w:shd w:val="clear" w:color="auto" w:fill="CCFFCC"/>
          </w:tcPr>
          <w:p>
            <w:pPr>
              <w:spacing w:after="0"/>
              <w:rPr>
                <w:sz w:val="14"/>
                <w:szCs w:val="14"/>
                <w:color w:val="auto"/>
              </w:rPr>
            </w:pPr>
          </w:p>
        </w:tc>
        <w:tc>
          <w:tcPr>
            <w:tcW w:w="1120" w:type="dxa"/>
            <w:vAlign w:val="bottom"/>
            <w:tcBorders>
              <w:bottom w:val="single" w:sz="8" w:color="CCFFCC"/>
            </w:tcBorders>
            <w:gridSpan w:val="2"/>
            <w:shd w:val="clear" w:color="auto" w:fill="CCFFCC"/>
          </w:tcPr>
          <w:p>
            <w:pPr>
              <w:jc w:val="right"/>
              <w:ind w:right="58"/>
              <w:spacing w:after="0" w:line="145" w:lineRule="exact"/>
              <w:rPr>
                <w:sz w:val="20"/>
                <w:szCs w:val="20"/>
                <w:color w:val="auto"/>
              </w:rPr>
            </w:pPr>
            <w:r>
              <w:rPr>
                <w:rFonts w:ascii="Arial" w:cs="Arial" w:eastAsia="Arial" w:hAnsi="Arial"/>
                <w:sz w:val="13"/>
                <w:szCs w:val="13"/>
                <w:color w:val="auto"/>
              </w:rPr>
              <w:t>1,554,871</w:t>
            </w:r>
          </w:p>
        </w:tc>
        <w:tc>
          <w:tcPr>
            <w:tcW w:w="1120" w:type="dxa"/>
            <w:vAlign w:val="bottom"/>
            <w:tcBorders>
              <w:bottom w:val="single" w:sz="8" w:color="CCFFCC"/>
            </w:tcBorders>
            <w:gridSpan w:val="2"/>
            <w:shd w:val="clear" w:color="auto" w:fill="CCFFCC"/>
          </w:tcPr>
          <w:p>
            <w:pPr>
              <w:jc w:val="right"/>
              <w:ind w:right="100"/>
              <w:spacing w:after="0" w:line="145" w:lineRule="exact"/>
              <w:rPr>
                <w:sz w:val="20"/>
                <w:szCs w:val="20"/>
                <w:color w:val="auto"/>
              </w:rPr>
            </w:pPr>
            <w:r>
              <w:rPr>
                <w:rFonts w:ascii="Arial" w:cs="Arial" w:eastAsia="Arial" w:hAnsi="Arial"/>
                <w:sz w:val="13"/>
                <w:szCs w:val="13"/>
                <w:color w:val="auto"/>
              </w:rPr>
              <w:t>12,881,529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Deposits and obligations</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2,429,405</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2,204,614</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1,763,756</w:t>
            </w:r>
          </w:p>
        </w:tc>
        <w:tc>
          <w:tcPr>
            <w:tcW w:w="1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275,260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176,392</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1,989,564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8,838,991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Due to banks and correspondents</w:t>
            </w:r>
          </w:p>
        </w:tc>
        <w:tc>
          <w:tcPr>
            <w:tcW w:w="1040" w:type="dxa"/>
            <w:vAlign w:val="bottom"/>
          </w:tcPr>
          <w:p>
            <w:pPr>
              <w:jc w:val="right"/>
              <w:spacing w:after="0"/>
              <w:rPr>
                <w:sz w:val="20"/>
                <w:szCs w:val="20"/>
                <w:color w:val="auto"/>
              </w:rPr>
            </w:pPr>
            <w:r>
              <w:rPr>
                <w:rFonts w:ascii="Arial" w:cs="Arial" w:eastAsia="Arial" w:hAnsi="Arial"/>
                <w:sz w:val="13"/>
                <w:szCs w:val="13"/>
                <w:color w:val="auto"/>
              </w:rPr>
              <w:t>292,805</w:t>
            </w:r>
          </w:p>
        </w:tc>
        <w:tc>
          <w:tcPr>
            <w:tcW w:w="120" w:type="dxa"/>
            <w:vAlign w:val="bottom"/>
          </w:tcPr>
          <w:p>
            <w:pPr>
              <w:spacing w:after="0"/>
              <w:rPr>
                <w:sz w:val="12"/>
                <w:szCs w:val="12"/>
                <w:color w:val="auto"/>
              </w:rPr>
            </w:pPr>
          </w:p>
        </w:tc>
        <w:tc>
          <w:tcPr>
            <w:tcW w:w="1160" w:type="dxa"/>
            <w:vAlign w:val="bottom"/>
            <w:gridSpan w:val="2"/>
          </w:tcPr>
          <w:p>
            <w:pPr>
              <w:jc w:val="right"/>
              <w:ind w:right="78"/>
              <w:spacing w:after="0"/>
              <w:rPr>
                <w:sz w:val="20"/>
                <w:szCs w:val="20"/>
                <w:color w:val="auto"/>
              </w:rPr>
            </w:pPr>
            <w:r>
              <w:rPr>
                <w:rFonts w:ascii="Arial" w:cs="Arial" w:eastAsia="Arial" w:hAnsi="Arial"/>
                <w:sz w:val="13"/>
                <w:szCs w:val="13"/>
                <w:color w:val="auto"/>
              </w:rPr>
              <w:t>45,799</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47,275</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84,922</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98,335</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1,853</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570,989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Accounts payable to re-insurers and co-insurers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25,134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25,134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tcPr>
          <w:p>
            <w:pPr>
              <w:spacing w:after="0" w:line="134" w:lineRule="exact"/>
              <w:rPr>
                <w:sz w:val="20"/>
                <w:szCs w:val="20"/>
                <w:color w:val="auto"/>
              </w:rPr>
            </w:pPr>
            <w:r>
              <w:rPr>
                <w:rFonts w:ascii="Arial" w:cs="Arial" w:eastAsia="Arial" w:hAnsi="Arial"/>
                <w:sz w:val="13"/>
                <w:szCs w:val="13"/>
                <w:color w:val="auto"/>
                <w:w w:val="92"/>
              </w:rPr>
              <w:t>Technical, insurance claims reserves and reserves for unearned</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60" w:type="dxa"/>
            <w:vAlign w:val="bottom"/>
            <w:gridSpan w:val="2"/>
          </w:tcPr>
          <w:p>
            <w:pPr>
              <w:spacing w:after="0"/>
              <w:rPr>
                <w:sz w:val="20"/>
                <w:szCs w:val="20"/>
                <w:color w:val="auto"/>
              </w:rPr>
            </w:pPr>
            <w:r>
              <w:rPr>
                <w:rFonts w:ascii="Arial" w:cs="Arial" w:eastAsia="Arial" w:hAnsi="Arial"/>
                <w:sz w:val="13"/>
                <w:szCs w:val="13"/>
                <w:color w:val="auto"/>
              </w:rPr>
              <w:t>premiums</w:t>
            </w:r>
          </w:p>
        </w:tc>
        <w:tc>
          <w:tcPr>
            <w:tcW w:w="1040" w:type="dxa"/>
            <w:vAlign w:val="bottom"/>
          </w:tcPr>
          <w:p>
            <w:pPr>
              <w:jc w:val="right"/>
              <w:spacing w:after="0"/>
              <w:rPr>
                <w:sz w:val="20"/>
                <w:szCs w:val="20"/>
                <w:color w:val="auto"/>
              </w:rPr>
            </w:pPr>
            <w:r>
              <w:rPr>
                <w:rFonts w:ascii="Arial" w:cs="Arial" w:eastAsia="Arial" w:hAnsi="Arial"/>
                <w:sz w:val="13"/>
                <w:szCs w:val="13"/>
                <w:color w:val="auto"/>
              </w:rPr>
              <w:t>2,149</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4,298</w:t>
            </w:r>
          </w:p>
        </w:tc>
        <w:tc>
          <w:tcPr>
            <w:tcW w:w="12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19,341</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78,611</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274,741</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249,081</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628,221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Borrowed funds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370,612</w:t>
            </w:r>
          </w:p>
        </w:tc>
        <w:tc>
          <w:tcPr>
            <w:tcW w:w="120" w:type="dxa"/>
            <w:vAlign w:val="bottom"/>
            <w:shd w:val="clear" w:color="auto" w:fill="CCFFCC"/>
          </w:tcPr>
          <w:p>
            <w:pPr>
              <w:spacing w:after="0"/>
              <w:rPr>
                <w:sz w:val="13"/>
                <w:szCs w:val="13"/>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370,612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Bonds and subordinated notes issued</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43,044</w:t>
            </w:r>
          </w:p>
        </w:tc>
        <w:tc>
          <w:tcPr>
            <w:tcW w:w="11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83,957</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363,201</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22,370</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512,572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Other liabilities</w:t>
            </w: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401,242</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401,242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Equity</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1,533,768</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1,533,768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4"/>
                <w:szCs w:val="14"/>
                <w:color w:val="auto"/>
              </w:rPr>
            </w:pPr>
          </w:p>
        </w:tc>
        <w:tc>
          <w:tcPr>
            <w:tcW w:w="3440" w:type="dxa"/>
            <w:vAlign w:val="bottom"/>
            <w:tcBorders>
              <w:bottom w:val="single" w:sz="8" w:color="CCFFCC"/>
            </w:tcBorders>
            <w:shd w:val="clear" w:color="auto" w:fill="CCFFCC"/>
          </w:tcPr>
          <w:p>
            <w:pPr>
              <w:spacing w:after="0" w:line="145" w:lineRule="exact"/>
              <w:rPr>
                <w:sz w:val="20"/>
                <w:szCs w:val="20"/>
                <w:color w:val="auto"/>
              </w:rPr>
            </w:pPr>
            <w:r>
              <w:rPr>
                <w:rFonts w:ascii="Arial" w:cs="Arial" w:eastAsia="Arial" w:hAnsi="Arial"/>
                <w:sz w:val="13"/>
                <w:szCs w:val="13"/>
                <w:b w:val="1"/>
                <w:bCs w:val="1"/>
                <w:color w:val="auto"/>
              </w:rPr>
              <w:t>Total liabilities and equity</w:t>
            </w: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2,767,403</w:t>
            </w:r>
          </w:p>
        </w:tc>
        <w:tc>
          <w:tcPr>
            <w:tcW w:w="120" w:type="dxa"/>
            <w:vAlign w:val="bottom"/>
            <w:tcBorders>
              <w:bottom w:val="single" w:sz="8" w:color="CCFFCC"/>
            </w:tcBorders>
            <w:shd w:val="clear" w:color="auto" w:fill="CCFFCC"/>
          </w:tcPr>
          <w:p>
            <w:pPr>
              <w:spacing w:after="0"/>
              <w:rPr>
                <w:sz w:val="14"/>
                <w:szCs w:val="14"/>
                <w:color w:val="auto"/>
              </w:rPr>
            </w:pP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2,625,323</w:t>
            </w:r>
          </w:p>
        </w:tc>
        <w:tc>
          <w:tcPr>
            <w:tcW w:w="120" w:type="dxa"/>
            <w:vAlign w:val="bottom"/>
            <w:tcBorders>
              <w:bottom w:val="single" w:sz="8" w:color="CCFFCC"/>
            </w:tcBorders>
            <w:shd w:val="clear" w:color="auto" w:fill="CCFFCC"/>
          </w:tcPr>
          <w:p>
            <w:pPr>
              <w:spacing w:after="0"/>
              <w:rPr>
                <w:sz w:val="14"/>
                <w:szCs w:val="14"/>
                <w:color w:val="auto"/>
              </w:rPr>
            </w:pPr>
          </w:p>
        </w:tc>
        <w:tc>
          <w:tcPr>
            <w:tcW w:w="1040" w:type="dxa"/>
            <w:vAlign w:val="bottom"/>
            <w:tcBorders>
              <w:bottom w:val="single" w:sz="8" w:color="CCFFCC"/>
            </w:tcBorders>
            <w:shd w:val="clear" w:color="auto" w:fill="CCFFCC"/>
          </w:tcPr>
          <w:p>
            <w:pPr>
              <w:jc w:val="right"/>
              <w:spacing w:after="0" w:line="145" w:lineRule="exact"/>
              <w:rPr>
                <w:sz w:val="20"/>
                <w:szCs w:val="20"/>
                <w:color w:val="auto"/>
              </w:rPr>
            </w:pPr>
            <w:r>
              <w:rPr>
                <w:rFonts w:ascii="Arial" w:cs="Arial" w:eastAsia="Arial" w:hAnsi="Arial"/>
                <w:sz w:val="13"/>
                <w:szCs w:val="13"/>
                <w:color w:val="auto"/>
              </w:rPr>
              <w:t>1,914,329</w:t>
            </w:r>
          </w:p>
        </w:tc>
        <w:tc>
          <w:tcPr>
            <w:tcW w:w="120" w:type="dxa"/>
            <w:vAlign w:val="bottom"/>
            <w:tcBorders>
              <w:bottom w:val="single" w:sz="8" w:color="CCFFCC"/>
            </w:tcBorders>
            <w:shd w:val="clear" w:color="auto" w:fill="CCFFCC"/>
          </w:tcPr>
          <w:p>
            <w:pPr>
              <w:spacing w:after="0"/>
              <w:rPr>
                <w:sz w:val="14"/>
                <w:szCs w:val="14"/>
                <w:color w:val="auto"/>
              </w:rPr>
            </w:pPr>
          </w:p>
        </w:tc>
        <w:tc>
          <w:tcPr>
            <w:tcW w:w="1120" w:type="dxa"/>
            <w:vAlign w:val="bottom"/>
            <w:tcBorders>
              <w:bottom w:val="single" w:sz="8" w:color="CCFFCC"/>
            </w:tcBorders>
            <w:gridSpan w:val="2"/>
            <w:shd w:val="clear" w:color="auto" w:fill="CCFFCC"/>
          </w:tcPr>
          <w:p>
            <w:pPr>
              <w:jc w:val="right"/>
              <w:ind w:right="120"/>
              <w:spacing w:after="0" w:line="145" w:lineRule="exact"/>
              <w:rPr>
                <w:sz w:val="20"/>
                <w:szCs w:val="20"/>
                <w:color w:val="auto"/>
              </w:rPr>
            </w:pPr>
            <w:r>
              <w:rPr>
                <w:rFonts w:ascii="Arial" w:cs="Arial" w:eastAsia="Arial" w:hAnsi="Arial"/>
                <w:sz w:val="13"/>
                <w:szCs w:val="13"/>
                <w:color w:val="auto"/>
              </w:rPr>
              <w:t>801,994</w:t>
            </w:r>
          </w:p>
        </w:tc>
        <w:tc>
          <w:tcPr>
            <w:tcW w:w="1120" w:type="dxa"/>
            <w:vAlign w:val="bottom"/>
            <w:tcBorders>
              <w:bottom w:val="single" w:sz="8" w:color="CCFFCC"/>
            </w:tcBorders>
            <w:gridSpan w:val="2"/>
            <w:shd w:val="clear" w:color="auto" w:fill="CCFFCC"/>
          </w:tcPr>
          <w:p>
            <w:pPr>
              <w:jc w:val="right"/>
              <w:ind w:right="100"/>
              <w:spacing w:after="0" w:line="145" w:lineRule="exact"/>
              <w:rPr>
                <w:sz w:val="20"/>
                <w:szCs w:val="20"/>
                <w:color w:val="auto"/>
              </w:rPr>
            </w:pPr>
            <w:r>
              <w:rPr>
                <w:rFonts w:ascii="Arial" w:cs="Arial" w:eastAsia="Arial" w:hAnsi="Arial"/>
                <w:sz w:val="13"/>
                <w:szCs w:val="13"/>
                <w:color w:val="auto"/>
              </w:rPr>
              <w:t>571,838</w:t>
            </w:r>
          </w:p>
        </w:tc>
        <w:tc>
          <w:tcPr>
            <w:tcW w:w="1120" w:type="dxa"/>
            <w:vAlign w:val="bottom"/>
            <w:tcBorders>
              <w:bottom w:val="single" w:sz="8" w:color="CCFFCC"/>
            </w:tcBorders>
            <w:gridSpan w:val="2"/>
            <w:shd w:val="clear" w:color="auto" w:fill="CCFFCC"/>
          </w:tcPr>
          <w:p>
            <w:pPr>
              <w:jc w:val="right"/>
              <w:ind w:right="58"/>
              <w:spacing w:after="0" w:line="145" w:lineRule="exact"/>
              <w:rPr>
                <w:sz w:val="20"/>
                <w:szCs w:val="20"/>
                <w:color w:val="auto"/>
              </w:rPr>
            </w:pPr>
            <w:r>
              <w:rPr>
                <w:rFonts w:ascii="Arial" w:cs="Arial" w:eastAsia="Arial" w:hAnsi="Arial"/>
                <w:sz w:val="13"/>
                <w:szCs w:val="13"/>
                <w:color w:val="auto"/>
              </w:rPr>
              <w:t>4,200,642</w:t>
            </w:r>
          </w:p>
        </w:tc>
        <w:tc>
          <w:tcPr>
            <w:tcW w:w="1120" w:type="dxa"/>
            <w:vAlign w:val="bottom"/>
            <w:tcBorders>
              <w:bottom w:val="single" w:sz="8" w:color="CCFFCC"/>
            </w:tcBorders>
            <w:gridSpan w:val="2"/>
            <w:shd w:val="clear" w:color="auto" w:fill="CCFFCC"/>
          </w:tcPr>
          <w:p>
            <w:pPr>
              <w:jc w:val="right"/>
              <w:ind w:right="100"/>
              <w:spacing w:after="0" w:line="145" w:lineRule="exact"/>
              <w:rPr>
                <w:sz w:val="20"/>
                <w:szCs w:val="20"/>
                <w:color w:val="auto"/>
              </w:rPr>
            </w:pPr>
            <w:r>
              <w:rPr>
                <w:rFonts w:ascii="Arial" w:cs="Arial" w:eastAsia="Arial" w:hAnsi="Arial"/>
                <w:sz w:val="13"/>
                <w:szCs w:val="13"/>
                <w:color w:val="auto"/>
              </w:rPr>
              <w:t>12,881,529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Off-Balance sheet items</w:t>
            </w: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Derivatives assets</w:t>
            </w:r>
          </w:p>
        </w:tc>
        <w:tc>
          <w:tcPr>
            <w:tcW w:w="1040" w:type="dxa"/>
            <w:vAlign w:val="bottom"/>
          </w:tcPr>
          <w:p>
            <w:pPr>
              <w:jc w:val="right"/>
              <w:spacing w:after="0"/>
              <w:rPr>
                <w:sz w:val="20"/>
                <w:szCs w:val="20"/>
                <w:color w:val="auto"/>
              </w:rPr>
            </w:pPr>
            <w:r>
              <w:rPr>
                <w:rFonts w:ascii="Arial" w:cs="Arial" w:eastAsia="Arial" w:hAnsi="Arial"/>
                <w:sz w:val="13"/>
                <w:szCs w:val="13"/>
                <w:color w:val="auto"/>
              </w:rPr>
              <w:t>981,884</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308,913</w:t>
            </w:r>
          </w:p>
        </w:tc>
        <w:tc>
          <w:tcPr>
            <w:tcW w:w="1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332,171</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59,708</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13,557</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1,696,233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3"/>
                <w:szCs w:val="13"/>
                <w:color w:val="auto"/>
              </w:rPr>
              <w:t>Derivatives liabilities</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720,056</w:t>
            </w:r>
          </w:p>
        </w:tc>
        <w:tc>
          <w:tcPr>
            <w:tcW w:w="120" w:type="dxa"/>
            <w:vAlign w:val="bottom"/>
            <w:tcBorders>
              <w:bottom w:val="single" w:sz="8" w:color="CCFFCC"/>
            </w:tcBorders>
            <w:shd w:val="clear" w:color="auto" w:fill="CCFFCC"/>
          </w:tcPr>
          <w:p>
            <w:pPr>
              <w:spacing w:after="0"/>
              <w:rPr>
                <w:sz w:val="13"/>
                <w:szCs w:val="13"/>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176,447</w:t>
            </w:r>
          </w:p>
        </w:tc>
        <w:tc>
          <w:tcPr>
            <w:tcW w:w="120" w:type="dxa"/>
            <w:vAlign w:val="bottom"/>
            <w:tcBorders>
              <w:bottom w:val="single" w:sz="8" w:color="CCFFCC"/>
            </w:tcBorders>
            <w:shd w:val="clear" w:color="auto" w:fill="CCFFCC"/>
          </w:tcPr>
          <w:p>
            <w:pPr>
              <w:spacing w:after="0"/>
              <w:rPr>
                <w:sz w:val="13"/>
                <w:szCs w:val="13"/>
                <w:color w:val="auto"/>
              </w:rPr>
            </w:pP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335,506</w:t>
            </w: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379,779</w:t>
            </w: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84,445</w:t>
            </w:r>
          </w:p>
        </w:tc>
        <w:tc>
          <w:tcPr>
            <w:tcW w:w="1120" w:type="dxa"/>
            <w:vAlign w:val="bottom"/>
            <w:tcBorders>
              <w:bottom w:val="single" w:sz="8" w:color="CCFFCC"/>
            </w:tcBorders>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1,696,233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261,828</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132,466</w:t>
            </w:r>
          </w:p>
        </w:tc>
        <w:tc>
          <w:tcPr>
            <w:tcW w:w="12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1"/>
                <w:szCs w:val="11"/>
                <w:color w:val="auto"/>
              </w:rPr>
              <w:t>(3,335</w:t>
            </w:r>
            <w:r>
              <w:rPr>
                <w:rFonts w:ascii="Arial" w:cs="Arial" w:eastAsia="Arial" w:hAnsi="Arial"/>
                <w:sz w:val="19"/>
                <w:szCs w:val="19"/>
                <w:color w:val="auto"/>
                <w:vertAlign w:val="superscript"/>
              </w:rPr>
              <w:t>)</w:t>
            </w:r>
          </w:p>
        </w:tc>
        <w:tc>
          <w:tcPr>
            <w:tcW w:w="1120" w:type="dxa"/>
            <w:vAlign w:val="bottom"/>
            <w:gridSpan w:val="2"/>
          </w:tcPr>
          <w:p>
            <w:pPr>
              <w:jc w:val="right"/>
              <w:ind w:right="60"/>
              <w:spacing w:after="0" w:line="169" w:lineRule="exact"/>
              <w:rPr>
                <w:sz w:val="20"/>
                <w:szCs w:val="20"/>
                <w:color w:val="auto"/>
              </w:rPr>
            </w:pPr>
            <w:r>
              <w:rPr>
                <w:rFonts w:ascii="Arial" w:cs="Arial" w:eastAsia="Arial" w:hAnsi="Arial"/>
                <w:sz w:val="11"/>
                <w:szCs w:val="11"/>
                <w:color w:val="auto"/>
              </w:rPr>
              <w:t>(320,071</w:t>
            </w:r>
            <w:r>
              <w:rPr>
                <w:rFonts w:ascii="Arial" w:cs="Arial" w:eastAsia="Arial" w:hAnsi="Arial"/>
                <w:sz w:val="19"/>
                <w:szCs w:val="19"/>
                <w:color w:val="auto"/>
                <w:vertAlign w:val="superscript"/>
              </w:rPr>
              <w:t>)</w:t>
            </w:r>
          </w:p>
        </w:tc>
        <w:tc>
          <w:tcPr>
            <w:tcW w:w="1120" w:type="dxa"/>
            <w:vAlign w:val="bottom"/>
            <w:gridSpan w:val="2"/>
          </w:tcPr>
          <w:p>
            <w:pPr>
              <w:jc w:val="right"/>
              <w:ind w:right="60"/>
              <w:spacing w:after="0" w:line="169" w:lineRule="exact"/>
              <w:rPr>
                <w:sz w:val="20"/>
                <w:szCs w:val="20"/>
                <w:color w:val="auto"/>
              </w:rPr>
            </w:pPr>
            <w:r>
              <w:rPr>
                <w:rFonts w:ascii="Arial" w:cs="Arial" w:eastAsia="Arial" w:hAnsi="Arial"/>
                <w:sz w:val="11"/>
                <w:szCs w:val="11"/>
                <w:color w:val="auto"/>
              </w:rPr>
              <w:t>(70,888</w:t>
            </w:r>
            <w:r>
              <w:rPr>
                <w:rFonts w:ascii="Arial" w:cs="Arial" w:eastAsia="Arial" w:hAnsi="Arial"/>
                <w:sz w:val="19"/>
                <w:szCs w:val="19"/>
                <w:color w:val="auto"/>
                <w:vertAlign w:val="superscript"/>
              </w:rPr>
              <w:t>)</w:t>
            </w: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4"/>
                <w:szCs w:val="14"/>
                <w:color w:val="auto"/>
              </w:rPr>
            </w:pPr>
          </w:p>
        </w:tc>
        <w:tc>
          <w:tcPr>
            <w:tcW w:w="3440" w:type="dxa"/>
            <w:vAlign w:val="bottom"/>
            <w:tcBorders>
              <w:bottom w:val="single" w:sz="8" w:color="CCFFCC"/>
            </w:tcBorders>
            <w:shd w:val="clear" w:color="auto" w:fill="CCFFCC"/>
          </w:tcPr>
          <w:p>
            <w:pPr>
              <w:spacing w:after="0" w:line="143" w:lineRule="exact"/>
              <w:rPr>
                <w:sz w:val="20"/>
                <w:szCs w:val="20"/>
                <w:color w:val="auto"/>
              </w:rPr>
            </w:pPr>
            <w:r>
              <w:rPr>
                <w:rFonts w:ascii="Arial" w:cs="Arial" w:eastAsia="Arial" w:hAnsi="Arial"/>
                <w:sz w:val="13"/>
                <w:szCs w:val="13"/>
                <w:b w:val="1"/>
                <w:bCs w:val="1"/>
                <w:color w:val="auto"/>
              </w:rPr>
              <w:t>Marginal gap</w:t>
            </w:r>
          </w:p>
        </w:tc>
        <w:tc>
          <w:tcPr>
            <w:tcW w:w="104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590,441</w:t>
            </w:r>
          </w:p>
        </w:tc>
        <w:tc>
          <w:tcPr>
            <w:tcW w:w="120" w:type="dxa"/>
            <w:vAlign w:val="bottom"/>
            <w:tcBorders>
              <w:bottom w:val="single" w:sz="8" w:color="CCFFCC"/>
            </w:tcBorders>
            <w:shd w:val="clear" w:color="auto" w:fill="CCFFCC"/>
          </w:tcPr>
          <w:p>
            <w:pPr>
              <w:spacing w:after="0"/>
              <w:rPr>
                <w:sz w:val="14"/>
                <w:szCs w:val="14"/>
                <w:color w:val="auto"/>
              </w:rPr>
            </w:pPr>
          </w:p>
        </w:tc>
        <w:tc>
          <w:tcPr>
            <w:tcW w:w="104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(625,940</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104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1,750,306</w:t>
            </w:r>
          </w:p>
        </w:tc>
        <w:tc>
          <w:tcPr>
            <w:tcW w:w="120" w:type="dxa"/>
            <w:vAlign w:val="bottom"/>
            <w:tcBorders>
              <w:bottom w:val="single" w:sz="8" w:color="CCFFCC"/>
            </w:tcBorders>
            <w:shd w:val="clear" w:color="auto" w:fill="CCFFCC"/>
          </w:tcPr>
          <w:p>
            <w:pPr>
              <w:spacing w:after="0"/>
              <w:rPr>
                <w:sz w:val="14"/>
                <w:szCs w:val="14"/>
                <w:color w:val="auto"/>
              </w:rPr>
            </w:pPr>
          </w:p>
        </w:tc>
        <w:tc>
          <w:tcPr>
            <w:tcW w:w="1120" w:type="dxa"/>
            <w:vAlign w:val="bottom"/>
            <w:tcBorders>
              <w:bottom w:val="single" w:sz="8" w:color="CCFFCC"/>
            </w:tcBorders>
            <w:gridSpan w:val="2"/>
            <w:shd w:val="clear" w:color="auto" w:fill="CCFFCC"/>
          </w:tcPr>
          <w:p>
            <w:pPr>
              <w:jc w:val="right"/>
              <w:ind w:right="120"/>
              <w:spacing w:after="0" w:line="143" w:lineRule="exact"/>
              <w:rPr>
                <w:sz w:val="20"/>
                <w:szCs w:val="20"/>
                <w:color w:val="auto"/>
              </w:rPr>
            </w:pPr>
            <w:r>
              <w:rPr>
                <w:rFonts w:ascii="Arial" w:cs="Arial" w:eastAsia="Arial" w:hAnsi="Arial"/>
                <w:sz w:val="13"/>
                <w:szCs w:val="13"/>
                <w:color w:val="auto"/>
              </w:rPr>
              <w:t>527,883</w:t>
            </w:r>
          </w:p>
        </w:tc>
        <w:tc>
          <w:tcPr>
            <w:tcW w:w="1120" w:type="dxa"/>
            <w:vAlign w:val="bottom"/>
            <w:tcBorders>
              <w:bottom w:val="single" w:sz="8" w:color="CCFFCC"/>
            </w:tcBorders>
            <w:gridSpan w:val="2"/>
            <w:shd w:val="clear" w:color="auto" w:fill="CCFFCC"/>
          </w:tcPr>
          <w:p>
            <w:pPr>
              <w:jc w:val="right"/>
              <w:ind w:right="100"/>
              <w:spacing w:after="0" w:line="143" w:lineRule="exact"/>
              <w:rPr>
                <w:sz w:val="20"/>
                <w:szCs w:val="20"/>
                <w:color w:val="auto"/>
              </w:rPr>
            </w:pPr>
            <w:r>
              <w:rPr>
                <w:rFonts w:ascii="Arial" w:cs="Arial" w:eastAsia="Arial" w:hAnsi="Arial"/>
                <w:sz w:val="13"/>
                <w:szCs w:val="13"/>
                <w:color w:val="auto"/>
              </w:rPr>
              <w:t>403,081</w:t>
            </w:r>
          </w:p>
        </w:tc>
        <w:tc>
          <w:tcPr>
            <w:tcW w:w="1020" w:type="dxa"/>
            <w:vAlign w:val="bottom"/>
            <w:tcBorders>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(2,645,771</w:t>
            </w:r>
          </w:p>
        </w:tc>
        <w:tc>
          <w:tcPr>
            <w:tcW w:w="100" w:type="dxa"/>
            <w:vAlign w:val="bottom"/>
            <w:tcBorders>
              <w:bottom w:val="single" w:sz="8" w:color="CCFFCC"/>
            </w:tcBorders>
            <w:shd w:val="clear" w:color="auto" w:fill="CCFFCC"/>
          </w:tcPr>
          <w:p>
            <w:pPr>
              <w:jc w:val="right"/>
              <w:ind w:right="18"/>
              <w:spacing w:after="0"/>
              <w:rPr>
                <w:sz w:val="20"/>
                <w:szCs w:val="20"/>
                <w:color w:val="auto"/>
              </w:rPr>
            </w:pPr>
            <w:r>
              <w:rPr>
                <w:rFonts w:ascii="Arial" w:cs="Arial" w:eastAsia="Arial" w:hAnsi="Arial"/>
                <w:sz w:val="8"/>
                <w:szCs w:val="8"/>
                <w:color w:val="auto"/>
                <w:w w:val="73"/>
              </w:rPr>
              <w:t>)</w:t>
            </w:r>
          </w:p>
        </w:tc>
        <w:tc>
          <w:tcPr>
            <w:tcW w:w="1120" w:type="dxa"/>
            <w:vAlign w:val="bottom"/>
            <w:tcBorders>
              <w:bottom w:val="single" w:sz="8" w:color="CCFFCC"/>
            </w:tcBorders>
            <w:gridSpan w:val="2"/>
            <w:shd w:val="clear" w:color="auto" w:fill="CCFFCC"/>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Accumulated gap</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590,441</w:t>
            </w:r>
          </w:p>
        </w:tc>
        <w:tc>
          <w:tcPr>
            <w:tcW w:w="12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(35,499)</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1,714,807</w:t>
            </w:r>
          </w:p>
        </w:tc>
        <w:tc>
          <w:tcPr>
            <w:tcW w:w="1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2,242,690</w:t>
            </w:r>
          </w:p>
        </w:tc>
        <w:tc>
          <w:tcPr>
            <w:tcW w:w="10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2,645,771</w:t>
            </w:r>
          </w:p>
        </w:tc>
        <w:tc>
          <w:tcPr>
            <w:tcW w:w="10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Sensitivity to changes in interest rates -</w:t>
      </w:r>
    </w:p>
    <w:p>
      <w:pPr>
        <w:spacing w:after="0" w:line="27" w:lineRule="exact"/>
        <w:rPr>
          <w:sz w:val="20"/>
          <w:szCs w:val="20"/>
          <w:color w:val="auto"/>
        </w:rPr>
      </w:pPr>
    </w:p>
    <w:p>
      <w:pPr>
        <w:ind w:left="1300" w:right="300"/>
        <w:spacing w:after="0" w:line="290" w:lineRule="auto"/>
        <w:rPr>
          <w:sz w:val="20"/>
          <w:szCs w:val="20"/>
          <w:color w:val="auto"/>
        </w:rPr>
      </w:pPr>
      <w:r>
        <w:rPr>
          <w:rFonts w:ascii="Arial" w:cs="Arial" w:eastAsia="Arial" w:hAnsi="Arial"/>
          <w:sz w:val="17"/>
          <w:szCs w:val="17"/>
          <w:color w:val="auto"/>
        </w:rPr>
        <w:t>The following table presents the sensitivity to a reasonable possible change in interest rates, with all other variables held constant, of the Group’s consolidated income statement and consolidated statements of change in equity; before income tax.</w:t>
      </w:r>
    </w:p>
    <w:p>
      <w:pPr>
        <w:spacing w:after="0" w:line="216" w:lineRule="exact"/>
        <w:rPr>
          <w:sz w:val="20"/>
          <w:szCs w:val="20"/>
          <w:color w:val="auto"/>
        </w:rPr>
      </w:pPr>
    </w:p>
    <w:p>
      <w:pPr>
        <w:ind w:left="1300" w:right="80"/>
        <w:spacing w:after="0" w:line="257" w:lineRule="auto"/>
        <w:rPr>
          <w:sz w:val="20"/>
          <w:szCs w:val="20"/>
          <w:color w:val="auto"/>
        </w:rPr>
      </w:pPr>
      <w:r>
        <w:rPr>
          <w:rFonts w:ascii="Arial" w:cs="Arial" w:eastAsia="Arial" w:hAnsi="Arial"/>
          <w:sz w:val="18"/>
          <w:szCs w:val="18"/>
          <w:color w:val="auto"/>
        </w:rPr>
        <w:t>The sensitivity of the consolidated income statement is the effect of the assumed changes in interest rates on the net interest income for one year before income tax, based on the floating rate non-trading financial assets and financial liabilities held at December 31, 2007 and 2006, including the effect of derivatives instruments. The sensitivity of equity is calculated by revaluing fixed rate available-for-sale financial assets, including the effect of any associated hedges, and swaps designated as cash flow hedges, as of December 31, 2007 and 2006 for the effects of the assumed changes in interest rates:</w:t>
      </w:r>
    </w:p>
    <w:p>
      <w:pPr>
        <w:spacing w:after="0" w:line="29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8"/>
              </w:rPr>
              <w:t>As of December 31, 2007</w:t>
            </w: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1920" w:type="dxa"/>
            <w:vAlign w:val="bottom"/>
          </w:tcPr>
          <w:p>
            <w:pPr>
              <w:spacing w:after="0"/>
              <w:rPr>
                <w:sz w:val="16"/>
                <w:szCs w:val="16"/>
                <w:color w:val="auto"/>
              </w:rPr>
            </w:pPr>
          </w:p>
        </w:tc>
        <w:tc>
          <w:tcPr>
            <w:tcW w:w="17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Changes in basis</w:t>
            </w:r>
          </w:p>
        </w:tc>
        <w:tc>
          <w:tcPr>
            <w:tcW w:w="460" w:type="dxa"/>
            <w:vAlign w:val="bottom"/>
          </w:tcPr>
          <w:p>
            <w:pPr>
              <w:spacing w:after="0"/>
              <w:rPr>
                <w:sz w:val="16"/>
                <w:szCs w:val="16"/>
                <w:color w:val="auto"/>
              </w:rPr>
            </w:pPr>
          </w:p>
        </w:tc>
        <w:tc>
          <w:tcPr>
            <w:tcW w:w="2300" w:type="dxa"/>
            <w:vAlign w:val="bottom"/>
            <w:gridSpan w:val="2"/>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points</w:t>
            </w:r>
          </w:p>
        </w:tc>
        <w:tc>
          <w:tcPr>
            <w:tcW w:w="460" w:type="dxa"/>
            <w:vAlign w:val="bottom"/>
          </w:tcPr>
          <w:p>
            <w:pPr>
              <w:spacing w:after="0"/>
              <w:rPr>
                <w:sz w:val="20"/>
                <w:szCs w:val="20"/>
                <w:color w:val="auto"/>
              </w:rPr>
            </w:pPr>
          </w:p>
        </w:tc>
        <w:tc>
          <w:tcPr>
            <w:tcW w:w="1500" w:type="dxa"/>
            <w:vAlign w:val="bottom"/>
          </w:tcPr>
          <w:p>
            <w:pPr>
              <w:ind w:left="760"/>
              <w:spacing w:after="0"/>
              <w:rPr>
                <w:sz w:val="20"/>
                <w:szCs w:val="20"/>
                <w:color w:val="auto"/>
              </w:rPr>
            </w:pPr>
            <w:r>
              <w:rPr>
                <w:rFonts w:ascii="Arial" w:cs="Arial" w:eastAsia="Arial" w:hAnsi="Arial"/>
                <w:sz w:val="18"/>
                <w:szCs w:val="18"/>
                <w:b w:val="1"/>
                <w:bCs w:val="1"/>
                <w:color w:val="auto"/>
              </w:rPr>
              <w:t>income</w:t>
            </w:r>
          </w:p>
        </w:tc>
        <w:tc>
          <w:tcPr>
            <w:tcW w:w="800" w:type="dxa"/>
            <w:vAlign w:val="bottom"/>
          </w:tcPr>
          <w:p>
            <w:pPr>
              <w:spacing w:after="0"/>
              <w:rPr>
                <w:sz w:val="20"/>
                <w:szCs w:val="20"/>
                <w:color w:val="auto"/>
              </w:rPr>
            </w:pPr>
          </w:p>
        </w:tc>
        <w:tc>
          <w:tcPr>
            <w:tcW w:w="2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Sensitivity of Equity</w:t>
            </w:r>
          </w:p>
        </w:tc>
      </w:tr>
      <w:tr>
        <w:trPr>
          <w:trHeight w:val="243"/>
        </w:trPr>
        <w:tc>
          <w:tcPr>
            <w:tcW w:w="1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center"/>
              <w:ind w:left="490"/>
              <w:spacing w:after="0"/>
              <w:rPr>
                <w:sz w:val="20"/>
                <w:szCs w:val="20"/>
                <w:color w:val="auto"/>
              </w:rPr>
            </w:pPr>
            <w:r>
              <w:rPr>
                <w:rFonts w:ascii="Arial" w:cs="Arial" w:eastAsia="Arial" w:hAnsi="Arial"/>
                <w:sz w:val="18"/>
                <w:szCs w:val="18"/>
                <w:color w:val="auto"/>
                <w:w w:val="93"/>
              </w:rPr>
              <w:t>US$(000)</w:t>
            </w:r>
          </w:p>
        </w:tc>
        <w:tc>
          <w:tcPr>
            <w:tcW w:w="8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US$(000)</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1500" w:type="dxa"/>
            <w:vAlign w:val="bottom"/>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7,652</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20,205</w:t>
            </w: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U.S. Dollar</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500" w:type="dxa"/>
            <w:vAlign w:val="bottom"/>
          </w:tcPr>
          <w:p>
            <w:pPr>
              <w:ind w:left="7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11,479</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30,307</w:t>
            </w:r>
          </w:p>
        </w:tc>
      </w:tr>
      <w:tr>
        <w:trPr>
          <w:trHeight w:val="243"/>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1500" w:type="dxa"/>
            <w:vAlign w:val="bottom"/>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15,305</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40,408</w:t>
            </w: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U.S. Dollar</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500" w:type="dxa"/>
            <w:vAlign w:val="bottom"/>
          </w:tcPr>
          <w:p>
            <w:pPr>
              <w:ind w:left="7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22,957</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60,613</w:t>
            </w:r>
          </w:p>
        </w:tc>
      </w:tr>
      <w:tr>
        <w:trPr>
          <w:trHeight w:val="243"/>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1500" w:type="dxa"/>
            <w:vAlign w:val="bottom"/>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2,966</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20,705</w:t>
            </w: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Peruvian Currency</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500" w:type="dxa"/>
            <w:vAlign w:val="bottom"/>
          </w:tcPr>
          <w:p>
            <w:pPr>
              <w:ind w:left="7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4,448</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31,056</w:t>
            </w:r>
          </w:p>
        </w:tc>
      </w:tr>
      <w:tr>
        <w:trPr>
          <w:trHeight w:val="243"/>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1500" w:type="dxa"/>
            <w:vAlign w:val="bottom"/>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5,932</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41,409</w:t>
            </w:r>
          </w:p>
        </w:tc>
      </w:tr>
      <w:tr>
        <w:trPr>
          <w:trHeight w:val="243"/>
        </w:trPr>
        <w:tc>
          <w:tcPr>
            <w:tcW w:w="1920" w:type="dxa"/>
            <w:vAlign w:val="bottom"/>
          </w:tcPr>
          <w:p>
            <w:pPr>
              <w:spacing w:after="0"/>
              <w:rPr>
                <w:sz w:val="20"/>
                <w:szCs w:val="20"/>
                <w:color w:val="auto"/>
              </w:rPr>
            </w:pPr>
            <w:r>
              <w:rPr>
                <w:rFonts w:ascii="Arial" w:cs="Arial" w:eastAsia="Arial" w:hAnsi="Arial"/>
                <w:sz w:val="18"/>
                <w:szCs w:val="18"/>
                <w:color w:val="auto"/>
              </w:rPr>
              <w:t>Peruvian Currency</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500" w:type="dxa"/>
            <w:vAlign w:val="bottom"/>
          </w:tcPr>
          <w:p>
            <w:pPr>
              <w:ind w:left="7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8,897</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62,114</w:t>
            </w:r>
          </w:p>
        </w:tc>
        <w:tc>
          <w:tcPr>
            <w:tcW w:w="120" w:type="dxa"/>
            <w:vAlign w:val="bottom"/>
          </w:tcPr>
          <w:p>
            <w:pPr>
              <w:spacing w:after="0"/>
              <w:rPr>
                <w:sz w:val="21"/>
                <w:szCs w:val="2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8"/>
              </w:rPr>
              <w:t>As of December 31, 2006</w:t>
            </w: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91"/>
        </w:trPr>
        <w:tc>
          <w:tcPr>
            <w:tcW w:w="13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Changes in basis</w:t>
            </w:r>
          </w:p>
        </w:tc>
        <w:tc>
          <w:tcPr>
            <w:tcW w:w="440" w:type="dxa"/>
            <w:vAlign w:val="bottom"/>
          </w:tcPr>
          <w:p>
            <w:pPr>
              <w:spacing w:after="0"/>
              <w:rPr>
                <w:sz w:val="16"/>
                <w:szCs w:val="16"/>
                <w:color w:val="auto"/>
              </w:rPr>
            </w:pPr>
          </w:p>
        </w:tc>
        <w:tc>
          <w:tcPr>
            <w:tcW w:w="2320" w:type="dxa"/>
            <w:vAlign w:val="bottom"/>
            <w:gridSpan w:val="2"/>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points</w:t>
            </w:r>
          </w:p>
        </w:tc>
        <w:tc>
          <w:tcPr>
            <w:tcW w:w="440" w:type="dxa"/>
            <w:vAlign w:val="bottom"/>
          </w:tcPr>
          <w:p>
            <w:pPr>
              <w:spacing w:after="0"/>
              <w:rPr>
                <w:sz w:val="20"/>
                <w:szCs w:val="20"/>
                <w:color w:val="auto"/>
              </w:rPr>
            </w:pPr>
          </w:p>
        </w:tc>
        <w:tc>
          <w:tcPr>
            <w:tcW w:w="1520" w:type="dxa"/>
            <w:vAlign w:val="bottom"/>
          </w:tcPr>
          <w:p>
            <w:pPr>
              <w:ind w:left="780"/>
              <w:spacing w:after="0"/>
              <w:rPr>
                <w:sz w:val="20"/>
                <w:szCs w:val="20"/>
                <w:color w:val="auto"/>
              </w:rPr>
            </w:pPr>
            <w:r>
              <w:rPr>
                <w:rFonts w:ascii="Arial" w:cs="Arial" w:eastAsia="Arial" w:hAnsi="Arial"/>
                <w:sz w:val="18"/>
                <w:szCs w:val="18"/>
                <w:b w:val="1"/>
                <w:bCs w:val="1"/>
                <w:color w:val="auto"/>
              </w:rPr>
              <w:t>income</w:t>
            </w:r>
          </w:p>
        </w:tc>
        <w:tc>
          <w:tcPr>
            <w:tcW w:w="800" w:type="dxa"/>
            <w:vAlign w:val="bottom"/>
          </w:tcPr>
          <w:p>
            <w:pPr>
              <w:spacing w:after="0"/>
              <w:rPr>
                <w:sz w:val="20"/>
                <w:szCs w:val="20"/>
                <w:color w:val="auto"/>
              </w:rPr>
            </w:pPr>
          </w:p>
        </w:tc>
        <w:tc>
          <w:tcPr>
            <w:tcW w:w="2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Sensitivity of Equity</w:t>
            </w:r>
          </w:p>
        </w:tc>
        <w:tc>
          <w:tcPr>
            <w:tcW w:w="152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center"/>
              <w:ind w:left="510"/>
              <w:spacing w:after="0"/>
              <w:rPr>
                <w:sz w:val="20"/>
                <w:szCs w:val="20"/>
                <w:color w:val="auto"/>
              </w:rPr>
            </w:pPr>
            <w:r>
              <w:rPr>
                <w:rFonts w:ascii="Arial" w:cs="Arial" w:eastAsia="Arial" w:hAnsi="Arial"/>
                <w:sz w:val="18"/>
                <w:szCs w:val="18"/>
                <w:color w:val="auto"/>
                <w:w w:val="93"/>
              </w:rPr>
              <w:t>US$(000)</w:t>
            </w:r>
          </w:p>
        </w:tc>
        <w:tc>
          <w:tcPr>
            <w:tcW w:w="8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US$(000)</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15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5,598</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31,278</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U.S. Dollar</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520" w:type="dxa"/>
            <w:vAlign w:val="bottom"/>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8,398</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46,918</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15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11,198</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62,557</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U.S. Dollar</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520" w:type="dxa"/>
            <w:vAlign w:val="bottom"/>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16,795</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93,835</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15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494</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12,461</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Peruvian Currency</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520" w:type="dxa"/>
            <w:vAlign w:val="bottom"/>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741</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18,691</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7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15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987</w:t>
            </w:r>
          </w:p>
        </w:tc>
        <w:tc>
          <w:tcPr>
            <w:tcW w:w="14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24,921</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Peruvian Currency</w:t>
            </w:r>
          </w:p>
        </w:tc>
        <w:tc>
          <w:tcPr>
            <w:tcW w:w="17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520" w:type="dxa"/>
            <w:vAlign w:val="bottom"/>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1,481</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37,862</w:t>
            </w:r>
          </w:p>
        </w:tc>
        <w:tc>
          <w:tcPr>
            <w:tcW w:w="1520" w:type="dxa"/>
            <w:vAlign w:val="bottom"/>
          </w:tcPr>
          <w:p>
            <w:pPr>
              <w:spacing w:after="0"/>
              <w:rPr>
                <w:sz w:val="21"/>
                <w:szCs w:val="21"/>
                <w:color w:val="auto"/>
              </w:rPr>
            </w:pPr>
          </w:p>
        </w:tc>
      </w:tr>
      <w:tr>
        <w:trPr>
          <w:trHeight w:val="486"/>
        </w:trPr>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8"/>
                <w:szCs w:val="18"/>
                <w:color w:val="auto"/>
              </w:rPr>
              <w:t>F-116</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right="14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232" w:lineRule="exact"/>
        <w:rPr>
          <w:sz w:val="20"/>
          <w:szCs w:val="20"/>
          <w:color w:val="auto"/>
        </w:rPr>
      </w:pPr>
    </w:p>
    <w:p>
      <w:pPr>
        <w:ind w:left="1300" w:right="140"/>
        <w:spacing w:after="0" w:line="264" w:lineRule="auto"/>
        <w:rPr>
          <w:sz w:val="20"/>
          <w:szCs w:val="20"/>
          <w:color w:val="auto"/>
        </w:rPr>
      </w:pPr>
      <w:r>
        <w:rPr>
          <w:rFonts w:ascii="Arial" w:cs="Arial" w:eastAsia="Arial" w:hAnsi="Arial"/>
          <w:sz w:val="18"/>
          <w:szCs w:val="18"/>
          <w:color w:val="auto"/>
        </w:rPr>
        <w:t>Available-for-sale equity securities and mutual funds are not considered as part of the investment securities for sensitivity calculation purposes; however, a 10 percent and 15 percent changes in market prices is conducted to these price-sensitivity securities and the expected unrealized gain or loss (equity), before income tax,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8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Changes in</w:t>
            </w:r>
          </w:p>
        </w:tc>
        <w:tc>
          <w:tcPr>
            <w:tcW w:w="500" w:type="dxa"/>
            <w:vAlign w:val="bottom"/>
          </w:tcPr>
          <w:p>
            <w:pPr>
              <w:spacing w:after="0"/>
              <w:rPr>
                <w:sz w:val="18"/>
                <w:szCs w:val="18"/>
                <w:color w:val="auto"/>
              </w:rPr>
            </w:pPr>
          </w:p>
        </w:tc>
        <w:tc>
          <w:tcPr>
            <w:tcW w:w="216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9"/>
              </w:rPr>
              <w:t>As of December 31,</w:t>
            </w:r>
          </w:p>
        </w:tc>
        <w:tc>
          <w:tcPr>
            <w:tcW w:w="20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As of December 31,</w:t>
            </w:r>
          </w:p>
        </w:tc>
        <w:tc>
          <w:tcPr>
            <w:tcW w:w="152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Market price sensitivity</w:t>
            </w:r>
          </w:p>
        </w:tc>
        <w:tc>
          <w:tcPr>
            <w:tcW w:w="158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market prices</w:t>
            </w:r>
          </w:p>
        </w:tc>
        <w:tc>
          <w:tcPr>
            <w:tcW w:w="500" w:type="dxa"/>
            <w:vAlign w:val="bottom"/>
          </w:tcPr>
          <w:p>
            <w:pPr>
              <w:spacing w:after="0"/>
              <w:rPr>
                <w:sz w:val="20"/>
                <w:szCs w:val="20"/>
                <w:color w:val="auto"/>
              </w:rPr>
            </w:pPr>
          </w:p>
        </w:tc>
        <w:tc>
          <w:tcPr>
            <w:tcW w:w="138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2007</w:t>
            </w:r>
          </w:p>
        </w:tc>
        <w:tc>
          <w:tcPr>
            <w:tcW w:w="780" w:type="dxa"/>
            <w:vAlign w:val="bottom"/>
          </w:tcPr>
          <w:p>
            <w:pPr>
              <w:spacing w:after="0"/>
              <w:rPr>
                <w:sz w:val="20"/>
                <w:szCs w:val="20"/>
                <w:color w:val="auto"/>
              </w:rPr>
            </w:pPr>
          </w:p>
        </w:tc>
        <w:tc>
          <w:tcPr>
            <w:tcW w:w="138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2006</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87"/>
              </w:rPr>
              <w:t>%</w:t>
            </w:r>
          </w:p>
        </w:tc>
        <w:tc>
          <w:tcPr>
            <w:tcW w:w="500" w:type="dxa"/>
            <w:vAlign w:val="bottom"/>
          </w:tcPr>
          <w:p>
            <w:pPr>
              <w:spacing w:after="0"/>
              <w:rPr>
                <w:sz w:val="21"/>
                <w:szCs w:val="21"/>
                <w:color w:val="auto"/>
              </w:rPr>
            </w:pPr>
          </w:p>
        </w:tc>
        <w:tc>
          <w:tcPr>
            <w:tcW w:w="1380" w:type="dxa"/>
            <w:vAlign w:val="bottom"/>
          </w:tcPr>
          <w:p>
            <w:pPr>
              <w:jc w:val="center"/>
              <w:ind w:left="390"/>
              <w:spacing w:after="0"/>
              <w:rPr>
                <w:sz w:val="20"/>
                <w:szCs w:val="20"/>
                <w:color w:val="auto"/>
              </w:rPr>
            </w:pPr>
            <w:r>
              <w:rPr>
                <w:rFonts w:ascii="Arial" w:cs="Arial" w:eastAsia="Arial" w:hAnsi="Arial"/>
                <w:sz w:val="18"/>
                <w:szCs w:val="18"/>
                <w:color w:val="auto"/>
                <w:w w:val="90"/>
              </w:rPr>
              <w:t>US$(000)</w:t>
            </w:r>
          </w:p>
        </w:tc>
        <w:tc>
          <w:tcPr>
            <w:tcW w:w="780" w:type="dxa"/>
            <w:vAlign w:val="bottom"/>
          </w:tcPr>
          <w:p>
            <w:pPr>
              <w:spacing w:after="0"/>
              <w:rPr>
                <w:sz w:val="21"/>
                <w:szCs w:val="21"/>
                <w:color w:val="auto"/>
              </w:rPr>
            </w:pPr>
          </w:p>
        </w:tc>
        <w:tc>
          <w:tcPr>
            <w:tcW w:w="1380" w:type="dxa"/>
            <w:vAlign w:val="bottom"/>
          </w:tcPr>
          <w:p>
            <w:pPr>
              <w:jc w:val="center"/>
              <w:ind w:left="390"/>
              <w:spacing w:after="0"/>
              <w:rPr>
                <w:sz w:val="20"/>
                <w:szCs w:val="20"/>
                <w:color w:val="auto"/>
              </w:rPr>
            </w:pPr>
            <w:r>
              <w:rPr>
                <w:rFonts w:ascii="Arial" w:cs="Arial" w:eastAsia="Arial" w:hAnsi="Arial"/>
                <w:sz w:val="18"/>
                <w:szCs w:val="18"/>
                <w:color w:val="auto"/>
                <w:w w:val="90"/>
              </w:rPr>
              <w:t>US$(000)</w:t>
            </w:r>
          </w:p>
        </w:tc>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580" w:type="dxa"/>
            <w:vAlign w:val="bottom"/>
            <w:shd w:val="clear" w:color="auto" w:fill="CCFFCC"/>
          </w:tcPr>
          <w:p>
            <w:pPr>
              <w:jc w:val="right"/>
              <w:ind w:right="63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10</w:t>
            </w:r>
          </w:p>
        </w:tc>
        <w:tc>
          <w:tcPr>
            <w:tcW w:w="1380" w:type="dxa"/>
            <w:vAlign w:val="bottom"/>
            <w:shd w:val="clear" w:color="auto" w:fill="CCFFCC"/>
          </w:tcPr>
          <w:p>
            <w:pPr>
              <w:jc w:val="right"/>
              <w:ind w:right="4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ind w:right="110"/>
              <w:spacing w:after="0"/>
              <w:rPr>
                <w:sz w:val="20"/>
                <w:szCs w:val="20"/>
                <w:color w:val="auto"/>
              </w:rPr>
            </w:pPr>
            <w:r>
              <w:rPr>
                <w:rFonts w:ascii="Arial" w:cs="Arial" w:eastAsia="Arial" w:hAnsi="Arial"/>
                <w:sz w:val="18"/>
                <w:szCs w:val="18"/>
                <w:b w:val="1"/>
                <w:bCs w:val="1"/>
                <w:color w:val="auto"/>
              </w:rPr>
              <w:t>32,088</w:t>
            </w:r>
          </w:p>
        </w:tc>
        <w:tc>
          <w:tcPr>
            <w:tcW w:w="1380" w:type="dxa"/>
            <w:vAlign w:val="bottom"/>
            <w:shd w:val="clear" w:color="auto" w:fill="CCFFCC"/>
          </w:tcPr>
          <w:p>
            <w:pPr>
              <w:jc w:val="right"/>
              <w:ind w:right="41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21,557</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Equity securities</w:t>
            </w: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15</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48,132</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32,335</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580" w:type="dxa"/>
            <w:vAlign w:val="bottom"/>
            <w:shd w:val="clear" w:color="auto" w:fill="CCFFCC"/>
          </w:tcPr>
          <w:p>
            <w:pPr>
              <w:jc w:val="right"/>
              <w:ind w:right="63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10</w:t>
            </w:r>
          </w:p>
        </w:tc>
        <w:tc>
          <w:tcPr>
            <w:tcW w:w="1380" w:type="dxa"/>
            <w:vAlign w:val="bottom"/>
            <w:shd w:val="clear" w:color="auto" w:fill="CCFFCC"/>
          </w:tcPr>
          <w:p>
            <w:pPr>
              <w:jc w:val="right"/>
              <w:ind w:right="4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ind w:right="110"/>
              <w:spacing w:after="0"/>
              <w:rPr>
                <w:sz w:val="20"/>
                <w:szCs w:val="20"/>
                <w:color w:val="auto"/>
              </w:rPr>
            </w:pPr>
            <w:r>
              <w:rPr>
                <w:rFonts w:ascii="Arial" w:cs="Arial" w:eastAsia="Arial" w:hAnsi="Arial"/>
                <w:sz w:val="18"/>
                <w:szCs w:val="18"/>
                <w:b w:val="1"/>
                <w:bCs w:val="1"/>
                <w:color w:val="auto"/>
              </w:rPr>
              <w:t>20,008</w:t>
            </w:r>
          </w:p>
        </w:tc>
        <w:tc>
          <w:tcPr>
            <w:tcW w:w="1380" w:type="dxa"/>
            <w:vAlign w:val="bottom"/>
            <w:shd w:val="clear" w:color="auto" w:fill="CCFFCC"/>
          </w:tcPr>
          <w:p>
            <w:pPr>
              <w:jc w:val="right"/>
              <w:ind w:right="41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9,624</w:t>
            </w:r>
          </w:p>
        </w:tc>
        <w:tc>
          <w:tcPr>
            <w:tcW w:w="152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Mutual funds</w:t>
            </w: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15</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30,013</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14,436</w:t>
            </w:r>
          </w:p>
        </w:tc>
        <w:tc>
          <w:tcPr>
            <w:tcW w:w="1520" w:type="dxa"/>
            <w:vAlign w:val="bottom"/>
          </w:tcPr>
          <w:p>
            <w:pPr>
              <w:spacing w:after="0"/>
              <w:rPr>
                <w:sz w:val="21"/>
                <w:szCs w:val="21"/>
                <w:color w:val="auto"/>
              </w:rPr>
            </w:pPr>
          </w:p>
        </w:tc>
      </w:tr>
      <w:tr>
        <w:trPr>
          <w:trHeight w:val="486"/>
        </w:trPr>
        <w:tc>
          <w:tcPr>
            <w:tcW w:w="1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80" w:type="dxa"/>
            <w:vAlign w:val="bottom"/>
            <w:gridSpan w:val="2"/>
          </w:tcPr>
          <w:p>
            <w:pPr>
              <w:jc w:val="right"/>
              <w:ind w:right="1050"/>
              <w:spacing w:after="0"/>
              <w:rPr>
                <w:sz w:val="20"/>
                <w:szCs w:val="20"/>
                <w:color w:val="auto"/>
              </w:rPr>
            </w:pPr>
            <w:r>
              <w:rPr>
                <w:rFonts w:ascii="Arial" w:cs="Arial" w:eastAsia="Arial" w:hAnsi="Arial"/>
                <w:sz w:val="18"/>
                <w:szCs w:val="18"/>
                <w:color w:val="auto"/>
              </w:rPr>
              <w:t>F-117</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1140" w:hanging="808"/>
        <w:spacing w:after="0"/>
        <w:tabs>
          <w:tab w:leader="none" w:pos="114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 -</w:t>
      </w:r>
    </w:p>
    <w:p>
      <w:pPr>
        <w:spacing w:after="0" w:line="27" w:lineRule="exact"/>
        <w:rPr>
          <w:rFonts w:ascii="Arial" w:cs="Arial" w:eastAsia="Arial" w:hAnsi="Arial"/>
          <w:sz w:val="18"/>
          <w:szCs w:val="18"/>
          <w:b w:val="1"/>
          <w:bCs w:val="1"/>
          <w:color w:val="auto"/>
        </w:rPr>
      </w:pPr>
    </w:p>
    <w:p>
      <w:pPr>
        <w:ind w:left="11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takes is expose to foreign currency exchange rates on its financial position and cash flows. The Management sets limits on the level of exposure by currency and in total for both overnight and intra-day positions, which are monitored daily. Most assets and liabilities are denominated in U.S. Dollars.</w:t>
      </w:r>
    </w:p>
    <w:p>
      <w:pPr>
        <w:spacing w:after="0" w:line="244" w:lineRule="exact"/>
        <w:rPr>
          <w:sz w:val="20"/>
          <w:szCs w:val="20"/>
          <w:color w:val="auto"/>
        </w:rPr>
      </w:pPr>
    </w:p>
    <w:p>
      <w:pPr>
        <w:ind w:left="1140" w:right="160"/>
        <w:spacing w:after="0" w:line="324" w:lineRule="auto"/>
        <w:rPr>
          <w:sz w:val="20"/>
          <w:szCs w:val="20"/>
          <w:color w:val="auto"/>
        </w:rPr>
      </w:pPr>
      <w:r>
        <w:rPr>
          <w:rFonts w:ascii="Arial" w:cs="Arial" w:eastAsia="Arial" w:hAnsi="Arial"/>
          <w:sz w:val="18"/>
          <w:szCs w:val="18"/>
          <w:color w:val="auto"/>
        </w:rPr>
        <w:t>Foreign currency transactions are made at the free market exchange rates of the countries where Credicorp’s Subsidiaries are established. As of December 31, 2007 and 2006, the Group’s assets and liabilities by currencies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2007</w:t>
            </w: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2006</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ind w:left="140"/>
              <w:spacing w:after="0" w:line="125" w:lineRule="exact"/>
              <w:rPr>
                <w:sz w:val="20"/>
                <w:szCs w:val="20"/>
                <w:color w:val="auto"/>
              </w:rPr>
            </w:pPr>
            <w:r>
              <w:rPr>
                <w:rFonts w:ascii="Arial" w:cs="Arial" w:eastAsia="Arial" w:hAnsi="Arial"/>
                <w:sz w:val="13"/>
                <w:szCs w:val="13"/>
                <w:b w:val="1"/>
                <w:bCs w:val="1"/>
                <w:color w:val="auto"/>
              </w:rPr>
              <w:t>Peruvian</w:t>
            </w:r>
          </w:p>
        </w:tc>
        <w:tc>
          <w:tcPr>
            <w:tcW w:w="820" w:type="dxa"/>
            <w:vAlign w:val="bottom"/>
            <w:gridSpan w:val="2"/>
          </w:tcPr>
          <w:p>
            <w:pPr>
              <w:jc w:val="center"/>
              <w:ind w:right="178"/>
              <w:spacing w:after="0" w:line="125" w:lineRule="exact"/>
              <w:rPr>
                <w:sz w:val="20"/>
                <w:szCs w:val="20"/>
                <w:color w:val="auto"/>
              </w:rPr>
            </w:pPr>
            <w:r>
              <w:rPr>
                <w:rFonts w:ascii="Arial" w:cs="Arial" w:eastAsia="Arial" w:hAnsi="Arial"/>
                <w:sz w:val="13"/>
                <w:szCs w:val="13"/>
                <w:b w:val="1"/>
                <w:bCs w:val="1"/>
                <w:color w:val="auto"/>
                <w:w w:val="92"/>
              </w:rPr>
              <w:t>Other</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ind w:left="140"/>
              <w:spacing w:after="0" w:line="125" w:lineRule="exact"/>
              <w:rPr>
                <w:sz w:val="20"/>
                <w:szCs w:val="20"/>
                <w:color w:val="auto"/>
              </w:rPr>
            </w:pPr>
            <w:r>
              <w:rPr>
                <w:rFonts w:ascii="Arial" w:cs="Arial" w:eastAsia="Arial" w:hAnsi="Arial"/>
                <w:sz w:val="13"/>
                <w:szCs w:val="13"/>
                <w:b w:val="1"/>
                <w:bCs w:val="1"/>
                <w:color w:val="auto"/>
              </w:rPr>
              <w:t>Peruvian</w:t>
            </w:r>
          </w:p>
        </w:tc>
        <w:tc>
          <w:tcPr>
            <w:tcW w:w="840" w:type="dxa"/>
            <w:vAlign w:val="bottom"/>
            <w:gridSpan w:val="2"/>
          </w:tcPr>
          <w:p>
            <w:pPr>
              <w:jc w:val="center"/>
              <w:ind w:right="198"/>
              <w:spacing w:after="0" w:line="125" w:lineRule="exact"/>
              <w:rPr>
                <w:sz w:val="20"/>
                <w:szCs w:val="20"/>
                <w:color w:val="auto"/>
              </w:rPr>
            </w:pPr>
            <w:r>
              <w:rPr>
                <w:rFonts w:ascii="Arial" w:cs="Arial" w:eastAsia="Arial" w:hAnsi="Arial"/>
                <w:sz w:val="13"/>
                <w:szCs w:val="13"/>
                <w:b w:val="1"/>
                <w:bCs w:val="1"/>
                <w:color w:val="auto"/>
                <w:w w:val="92"/>
              </w:rPr>
              <w:t>Other</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80" w:type="dxa"/>
            <w:vAlign w:val="bottom"/>
            <w:gridSpan w:val="2"/>
          </w:tcPr>
          <w:p>
            <w:pPr>
              <w:jc w:val="right"/>
              <w:ind w:right="178"/>
              <w:spacing w:after="0"/>
              <w:rPr>
                <w:sz w:val="20"/>
                <w:szCs w:val="20"/>
                <w:color w:val="auto"/>
              </w:rPr>
            </w:pPr>
            <w:r>
              <w:rPr>
                <w:rFonts w:ascii="Arial" w:cs="Arial" w:eastAsia="Arial" w:hAnsi="Arial"/>
                <w:sz w:val="13"/>
                <w:szCs w:val="13"/>
                <w:b w:val="1"/>
                <w:bCs w:val="1"/>
                <w:color w:val="auto"/>
              </w:rPr>
              <w:t>U.S. Dollars</w:t>
            </w:r>
          </w:p>
        </w:tc>
        <w:tc>
          <w:tcPr>
            <w:tcW w:w="1020" w:type="dxa"/>
            <w:vAlign w:val="bottom"/>
            <w:gridSpan w:val="3"/>
          </w:tcPr>
          <w:p>
            <w:pPr>
              <w:ind w:left="160"/>
              <w:spacing w:after="0"/>
              <w:rPr>
                <w:sz w:val="20"/>
                <w:szCs w:val="20"/>
                <w:color w:val="auto"/>
              </w:rPr>
            </w:pPr>
            <w:r>
              <w:rPr>
                <w:rFonts w:ascii="Arial" w:cs="Arial" w:eastAsia="Arial" w:hAnsi="Arial"/>
                <w:sz w:val="13"/>
                <w:szCs w:val="13"/>
                <w:b w:val="1"/>
                <w:bCs w:val="1"/>
                <w:color w:val="auto"/>
              </w:rPr>
              <w:t>currency</w:t>
            </w:r>
          </w:p>
        </w:tc>
        <w:tc>
          <w:tcPr>
            <w:tcW w:w="82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85"/>
              </w:rPr>
              <w:t>currencies</w:t>
            </w:r>
          </w:p>
        </w:tc>
        <w:tc>
          <w:tcPr>
            <w:tcW w:w="98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Total</w:t>
            </w:r>
          </w:p>
        </w:tc>
        <w:tc>
          <w:tcPr>
            <w:tcW w:w="920" w:type="dxa"/>
            <w:vAlign w:val="bottom"/>
            <w:gridSpan w:val="2"/>
          </w:tcPr>
          <w:p>
            <w:pPr>
              <w:jc w:val="right"/>
              <w:ind w:right="158"/>
              <w:spacing w:after="0"/>
              <w:rPr>
                <w:sz w:val="20"/>
                <w:szCs w:val="20"/>
                <w:color w:val="auto"/>
              </w:rPr>
            </w:pPr>
            <w:r>
              <w:rPr>
                <w:rFonts w:ascii="Arial" w:cs="Arial" w:eastAsia="Arial" w:hAnsi="Arial"/>
                <w:sz w:val="13"/>
                <w:szCs w:val="13"/>
                <w:b w:val="1"/>
                <w:bCs w:val="1"/>
                <w:color w:val="auto"/>
                <w:w w:val="95"/>
              </w:rPr>
              <w:t>U.S. Dollars</w:t>
            </w:r>
          </w:p>
        </w:tc>
        <w:tc>
          <w:tcPr>
            <w:tcW w:w="1060" w:type="dxa"/>
            <w:vAlign w:val="bottom"/>
            <w:gridSpan w:val="3"/>
          </w:tcPr>
          <w:p>
            <w:pPr>
              <w:ind w:left="160"/>
              <w:spacing w:after="0"/>
              <w:rPr>
                <w:sz w:val="20"/>
                <w:szCs w:val="20"/>
                <w:color w:val="auto"/>
              </w:rPr>
            </w:pPr>
            <w:r>
              <w:rPr>
                <w:rFonts w:ascii="Arial" w:cs="Arial" w:eastAsia="Arial" w:hAnsi="Arial"/>
                <w:sz w:val="13"/>
                <w:szCs w:val="13"/>
                <w:b w:val="1"/>
                <w:bCs w:val="1"/>
                <w:color w:val="auto"/>
              </w:rPr>
              <w:t>currency</w:t>
            </w:r>
          </w:p>
        </w:tc>
        <w:tc>
          <w:tcPr>
            <w:tcW w:w="84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5"/>
              </w:rPr>
              <w:t>currencies</w:t>
            </w:r>
          </w:p>
        </w:tc>
        <w:tc>
          <w:tcPr>
            <w:tcW w:w="1020" w:type="dxa"/>
            <w:vAlign w:val="bottom"/>
            <w:gridSpan w:val="2"/>
          </w:tcPr>
          <w:p>
            <w:pPr>
              <w:jc w:val="right"/>
              <w:ind w:right="39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80" w:type="dxa"/>
            <w:vAlign w:val="bottom"/>
            <w:gridSpan w:val="2"/>
          </w:tcPr>
          <w:p>
            <w:pPr>
              <w:jc w:val="right"/>
              <w:ind w:right="258"/>
              <w:spacing w:after="0"/>
              <w:rPr>
                <w:sz w:val="20"/>
                <w:szCs w:val="20"/>
                <w:color w:val="auto"/>
              </w:rPr>
            </w:pPr>
            <w:r>
              <w:rPr>
                <w:rFonts w:ascii="Arial" w:cs="Arial" w:eastAsia="Arial" w:hAnsi="Arial"/>
                <w:sz w:val="13"/>
                <w:szCs w:val="13"/>
                <w:color w:val="auto"/>
              </w:rPr>
              <w:t>US$(000)</w:t>
            </w:r>
          </w:p>
        </w:tc>
        <w:tc>
          <w:tcPr>
            <w:tcW w:w="1020" w:type="dxa"/>
            <w:vAlign w:val="bottom"/>
            <w:gridSpan w:val="3"/>
          </w:tcPr>
          <w:p>
            <w:pPr>
              <w:ind w:left="160"/>
              <w:spacing w:after="0"/>
              <w:rPr>
                <w:sz w:val="20"/>
                <w:szCs w:val="20"/>
                <w:color w:val="auto"/>
              </w:rPr>
            </w:pPr>
            <w:r>
              <w:rPr>
                <w:rFonts w:ascii="Arial" w:cs="Arial" w:eastAsia="Arial" w:hAnsi="Arial"/>
                <w:sz w:val="13"/>
                <w:szCs w:val="13"/>
                <w:color w:val="auto"/>
              </w:rPr>
              <w:t>US$(000)</w:t>
            </w:r>
          </w:p>
        </w:tc>
        <w:tc>
          <w:tcPr>
            <w:tcW w:w="820" w:type="dxa"/>
            <w:vAlign w:val="bottom"/>
            <w:gridSpan w:val="2"/>
          </w:tcPr>
          <w:p>
            <w:pPr>
              <w:jc w:val="center"/>
              <w:ind w:right="178"/>
              <w:spacing w:after="0"/>
              <w:rPr>
                <w:sz w:val="20"/>
                <w:szCs w:val="20"/>
                <w:color w:val="auto"/>
              </w:rPr>
            </w:pPr>
            <w:r>
              <w:rPr>
                <w:rFonts w:ascii="Arial" w:cs="Arial" w:eastAsia="Arial" w:hAnsi="Arial"/>
                <w:sz w:val="13"/>
                <w:szCs w:val="13"/>
                <w:color w:val="auto"/>
                <w:w w:val="86"/>
              </w:rPr>
              <w:t>US$(000)</w:t>
            </w:r>
          </w:p>
        </w:tc>
        <w:tc>
          <w:tcPr>
            <w:tcW w:w="980" w:type="dxa"/>
            <w:vAlign w:val="bottom"/>
            <w:gridSpan w:val="2"/>
          </w:tcPr>
          <w:p>
            <w:pPr>
              <w:jc w:val="right"/>
              <w:ind w:right="237"/>
              <w:spacing w:after="0"/>
              <w:rPr>
                <w:sz w:val="20"/>
                <w:szCs w:val="20"/>
                <w:color w:val="auto"/>
              </w:rPr>
            </w:pPr>
            <w:r>
              <w:rPr>
                <w:rFonts w:ascii="Arial" w:cs="Arial" w:eastAsia="Arial" w:hAnsi="Arial"/>
                <w:sz w:val="13"/>
                <w:szCs w:val="13"/>
                <w:color w:val="auto"/>
              </w:rPr>
              <w:t>US$(000)</w:t>
            </w:r>
          </w:p>
        </w:tc>
        <w:tc>
          <w:tcPr>
            <w:tcW w:w="920" w:type="dxa"/>
            <w:vAlign w:val="bottom"/>
            <w:gridSpan w:val="2"/>
          </w:tcPr>
          <w:p>
            <w:pPr>
              <w:jc w:val="right"/>
              <w:ind w:right="238"/>
              <w:spacing w:after="0"/>
              <w:rPr>
                <w:sz w:val="20"/>
                <w:szCs w:val="20"/>
                <w:color w:val="auto"/>
              </w:rPr>
            </w:pPr>
            <w:r>
              <w:rPr>
                <w:rFonts w:ascii="Arial" w:cs="Arial" w:eastAsia="Arial" w:hAnsi="Arial"/>
                <w:sz w:val="13"/>
                <w:szCs w:val="13"/>
                <w:color w:val="auto"/>
              </w:rPr>
              <w:t>US$(000)</w:t>
            </w: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US$(000)</w:t>
            </w:r>
          </w:p>
        </w:tc>
        <w:tc>
          <w:tcPr>
            <w:tcW w:w="840" w:type="dxa"/>
            <w:vAlign w:val="bottom"/>
            <w:gridSpan w:val="2"/>
          </w:tcPr>
          <w:p>
            <w:pPr>
              <w:jc w:val="center"/>
              <w:ind w:right="218"/>
              <w:spacing w:after="0"/>
              <w:rPr>
                <w:sz w:val="20"/>
                <w:szCs w:val="20"/>
                <w:color w:val="auto"/>
              </w:rPr>
            </w:pPr>
            <w:r>
              <w:rPr>
                <w:rFonts w:ascii="Arial" w:cs="Arial" w:eastAsia="Arial" w:hAnsi="Arial"/>
                <w:sz w:val="13"/>
                <w:szCs w:val="13"/>
                <w:color w:val="auto"/>
                <w:w w:val="89"/>
              </w:rPr>
              <w:t>US$(000)</w:t>
            </w:r>
          </w:p>
        </w:tc>
        <w:tc>
          <w:tcPr>
            <w:tcW w:w="1020" w:type="dxa"/>
            <w:vAlign w:val="bottom"/>
            <w:gridSpan w:val="2"/>
          </w:tcPr>
          <w:p>
            <w:pPr>
              <w:jc w:val="right"/>
              <w:ind w:right="278"/>
              <w:spacing w:after="0"/>
              <w:rPr>
                <w:sz w:val="20"/>
                <w:szCs w:val="20"/>
                <w:color w:val="auto"/>
              </w:rPr>
            </w:pPr>
            <w:r>
              <w:rPr>
                <w:rFonts w:ascii="Arial" w:cs="Arial" w:eastAsia="Arial" w:hAnsi="Arial"/>
                <w:sz w:val="13"/>
                <w:szCs w:val="13"/>
                <w:color w:val="auto"/>
              </w:rPr>
              <w:t>US$(000)</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Monetary assets -</w:t>
            </w:r>
          </w:p>
        </w:tc>
        <w:tc>
          <w:tcPr>
            <w:tcW w:w="8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Cash and due from banks</w:t>
            </w:r>
          </w:p>
        </w:tc>
        <w:tc>
          <w:tcPr>
            <w:tcW w:w="860" w:type="dxa"/>
            <w:vAlign w:val="bottom"/>
          </w:tcPr>
          <w:p>
            <w:pPr>
              <w:jc w:val="right"/>
              <w:spacing w:after="0"/>
              <w:rPr>
                <w:sz w:val="20"/>
                <w:szCs w:val="20"/>
                <w:color w:val="auto"/>
              </w:rPr>
            </w:pPr>
            <w:r>
              <w:rPr>
                <w:rFonts w:ascii="Arial" w:cs="Arial" w:eastAsia="Arial" w:hAnsi="Arial"/>
                <w:sz w:val="13"/>
                <w:szCs w:val="13"/>
                <w:color w:val="auto"/>
              </w:rPr>
              <w:t>2,644,858</w:t>
            </w:r>
          </w:p>
        </w:tc>
        <w:tc>
          <w:tcPr>
            <w:tcW w:w="120" w:type="dxa"/>
            <w:vAlign w:val="bottom"/>
          </w:tcPr>
          <w:p>
            <w:pPr>
              <w:spacing w:after="0"/>
              <w:rPr>
                <w:sz w:val="12"/>
                <w:szCs w:val="12"/>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311,828</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117,179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3,073,865</w:t>
            </w:r>
          </w:p>
        </w:tc>
        <w:tc>
          <w:tcPr>
            <w:tcW w:w="140" w:type="dxa"/>
            <w:vAlign w:val="bottom"/>
          </w:tcPr>
          <w:p>
            <w:pPr>
              <w:spacing w:after="0"/>
              <w:rPr>
                <w:sz w:val="12"/>
                <w:szCs w:val="12"/>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2,250,111</w:t>
            </w: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396,238</w:t>
            </w:r>
          </w:p>
        </w:tc>
        <w:tc>
          <w:tcPr>
            <w:tcW w:w="12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87,181</w:t>
            </w: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2,733,530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3"/>
                <w:szCs w:val="13"/>
                <w:color w:val="auto"/>
              </w:rPr>
              <w:t>Trading securities</w:t>
            </w:r>
          </w:p>
        </w:tc>
        <w:tc>
          <w:tcPr>
            <w:tcW w:w="98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38,647</w:t>
            </w:r>
          </w:p>
        </w:tc>
        <w:tc>
          <w:tcPr>
            <w:tcW w:w="92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11,463</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885</w:t>
            </w:r>
          </w:p>
        </w:tc>
        <w:tc>
          <w:tcPr>
            <w:tcW w:w="98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50,995</w:t>
            </w:r>
          </w:p>
        </w:tc>
        <w:tc>
          <w:tcPr>
            <w:tcW w:w="92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14,144</w:t>
            </w:r>
          </w:p>
        </w:tc>
        <w:tc>
          <w:tcPr>
            <w:tcW w:w="94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30,800</w:t>
            </w:r>
          </w:p>
        </w:tc>
        <w:tc>
          <w:tcPr>
            <w:tcW w:w="1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192</w:t>
            </w:r>
          </w:p>
        </w:tc>
        <w:tc>
          <w:tcPr>
            <w:tcW w:w="1020" w:type="dxa"/>
            <w:vAlign w:val="bottom"/>
            <w:gridSpan w:val="2"/>
            <w:shd w:val="clear" w:color="auto" w:fill="CCFFCC"/>
          </w:tcPr>
          <w:p>
            <w:pPr>
              <w:jc w:val="right"/>
              <w:ind w:right="98"/>
              <w:spacing w:after="0"/>
              <w:rPr>
                <w:sz w:val="20"/>
                <w:szCs w:val="20"/>
                <w:color w:val="auto"/>
              </w:rPr>
            </w:pPr>
            <w:r>
              <w:rPr>
                <w:rFonts w:ascii="Arial" w:cs="Arial" w:eastAsia="Arial" w:hAnsi="Arial"/>
                <w:sz w:val="13"/>
                <w:szCs w:val="13"/>
                <w:color w:val="auto"/>
              </w:rPr>
              <w:t>45,136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Available-for-sale investments</w:t>
            </w:r>
          </w:p>
        </w:tc>
        <w:tc>
          <w:tcPr>
            <w:tcW w:w="860" w:type="dxa"/>
            <w:vAlign w:val="bottom"/>
          </w:tcPr>
          <w:p>
            <w:pPr>
              <w:jc w:val="right"/>
              <w:spacing w:after="0"/>
              <w:rPr>
                <w:sz w:val="20"/>
                <w:szCs w:val="20"/>
                <w:color w:val="auto"/>
              </w:rPr>
            </w:pPr>
            <w:r>
              <w:rPr>
                <w:rFonts w:ascii="Arial" w:cs="Arial" w:eastAsia="Arial" w:hAnsi="Arial"/>
                <w:sz w:val="13"/>
                <w:szCs w:val="13"/>
                <w:color w:val="auto"/>
              </w:rPr>
              <w:t>1,934,672</w:t>
            </w:r>
          </w:p>
        </w:tc>
        <w:tc>
          <w:tcPr>
            <w:tcW w:w="120" w:type="dxa"/>
            <w:vAlign w:val="bottom"/>
          </w:tcPr>
          <w:p>
            <w:pPr>
              <w:spacing w:after="0"/>
              <w:rPr>
                <w:sz w:val="12"/>
                <w:szCs w:val="12"/>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3,129,351</w:t>
            </w:r>
          </w:p>
        </w:tc>
        <w:tc>
          <w:tcPr>
            <w:tcW w:w="100" w:type="dxa"/>
            <w:vAlign w:val="bottom"/>
          </w:tcPr>
          <w:p>
            <w:pPr>
              <w:spacing w:after="0"/>
              <w:rPr>
                <w:sz w:val="12"/>
                <w:szCs w:val="1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164,618</w:t>
            </w:r>
          </w:p>
        </w:tc>
        <w:tc>
          <w:tcPr>
            <w:tcW w:w="840" w:type="dxa"/>
            <w:vAlign w:val="bottom"/>
          </w:tcPr>
          <w:p>
            <w:pPr>
              <w:jc w:val="right"/>
              <w:spacing w:after="0"/>
              <w:rPr>
                <w:sz w:val="20"/>
                <w:szCs w:val="20"/>
                <w:color w:val="auto"/>
              </w:rPr>
            </w:pPr>
            <w:r>
              <w:rPr>
                <w:rFonts w:ascii="Arial" w:cs="Arial" w:eastAsia="Arial" w:hAnsi="Arial"/>
                <w:sz w:val="13"/>
                <w:szCs w:val="13"/>
                <w:color w:val="auto"/>
              </w:rPr>
              <w:t>5,228,641</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1,493,043</w:t>
            </w:r>
          </w:p>
        </w:tc>
        <w:tc>
          <w:tcPr>
            <w:tcW w:w="120" w:type="dxa"/>
            <w:vAlign w:val="bottom"/>
          </w:tcPr>
          <w:p>
            <w:pPr>
              <w:spacing w:after="0"/>
              <w:rPr>
                <w:sz w:val="12"/>
                <w:szCs w:val="12"/>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1,904,535</w:t>
            </w:r>
          </w:p>
        </w:tc>
        <w:tc>
          <w:tcPr>
            <w:tcW w:w="12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53,133</w:t>
            </w: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3,450,711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3"/>
                <w:szCs w:val="13"/>
                <w:color w:val="auto"/>
              </w:rPr>
              <w:t>Loans, net</w:t>
            </w:r>
          </w:p>
        </w:tc>
        <w:tc>
          <w:tcPr>
            <w:tcW w:w="8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5,555,864</w:t>
            </w: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2,450,297</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33,339</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8,039,500</w:t>
            </w:r>
          </w:p>
        </w:tc>
        <w:tc>
          <w:tcPr>
            <w:tcW w:w="14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4,181,558</w:t>
            </w:r>
          </w:p>
        </w:tc>
        <w:tc>
          <w:tcPr>
            <w:tcW w:w="1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1,492,681</w:t>
            </w:r>
          </w:p>
        </w:tc>
        <w:tc>
          <w:tcPr>
            <w:tcW w:w="1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62,584</w:t>
            </w:r>
          </w:p>
        </w:tc>
        <w:tc>
          <w:tcPr>
            <w:tcW w:w="1020" w:type="dxa"/>
            <w:vAlign w:val="bottom"/>
            <w:gridSpan w:val="2"/>
            <w:shd w:val="clear" w:color="auto" w:fill="CCFFCC"/>
          </w:tcPr>
          <w:p>
            <w:pPr>
              <w:jc w:val="right"/>
              <w:ind w:right="98"/>
              <w:spacing w:after="0"/>
              <w:rPr>
                <w:sz w:val="20"/>
                <w:szCs w:val="20"/>
                <w:color w:val="auto"/>
              </w:rPr>
            </w:pPr>
            <w:r>
              <w:rPr>
                <w:rFonts w:ascii="Arial" w:cs="Arial" w:eastAsia="Arial" w:hAnsi="Arial"/>
                <w:sz w:val="13"/>
                <w:szCs w:val="13"/>
                <w:color w:val="auto"/>
              </w:rPr>
              <w:t>5,736,823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Financial assets designated to fair value through profit and loss</w:t>
            </w:r>
          </w:p>
        </w:tc>
        <w:tc>
          <w:tcPr>
            <w:tcW w:w="860" w:type="dxa"/>
            <w:vAlign w:val="bottom"/>
          </w:tcPr>
          <w:p>
            <w:pPr>
              <w:jc w:val="right"/>
              <w:spacing w:after="0"/>
              <w:rPr>
                <w:sz w:val="20"/>
                <w:szCs w:val="20"/>
                <w:color w:val="auto"/>
              </w:rPr>
            </w:pPr>
            <w:r>
              <w:rPr>
                <w:rFonts w:ascii="Arial" w:cs="Arial" w:eastAsia="Arial" w:hAnsi="Arial"/>
                <w:sz w:val="13"/>
                <w:szCs w:val="13"/>
                <w:color w:val="auto"/>
              </w:rPr>
              <w:t>213,153</w:t>
            </w:r>
          </w:p>
        </w:tc>
        <w:tc>
          <w:tcPr>
            <w:tcW w:w="120" w:type="dxa"/>
            <w:vAlign w:val="bottom"/>
          </w:tcPr>
          <w:p>
            <w:pPr>
              <w:spacing w:after="0"/>
              <w:rPr>
                <w:sz w:val="12"/>
                <w:szCs w:val="12"/>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213,153</w:t>
            </w:r>
          </w:p>
        </w:tc>
        <w:tc>
          <w:tcPr>
            <w:tcW w:w="140" w:type="dxa"/>
            <w:vAlign w:val="bottom"/>
          </w:tcPr>
          <w:p>
            <w:pPr>
              <w:spacing w:after="0"/>
              <w:rPr>
                <w:sz w:val="12"/>
                <w:szCs w:val="12"/>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53,116</w:t>
            </w: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53,116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3"/>
                <w:szCs w:val="13"/>
                <w:color w:val="auto"/>
              </w:rPr>
              <w:t>Other assets</w:t>
            </w: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261,102</w:t>
            </w:r>
          </w:p>
        </w:tc>
        <w:tc>
          <w:tcPr>
            <w:tcW w:w="120" w:type="dxa"/>
            <w:vAlign w:val="bottom"/>
            <w:tcBorders>
              <w:bottom w:val="single" w:sz="8" w:color="CCFFCC"/>
            </w:tcBorders>
            <w:shd w:val="clear" w:color="auto" w:fill="CCFFCC"/>
          </w:tcPr>
          <w:p>
            <w:pPr>
              <w:spacing w:after="0"/>
              <w:rPr>
                <w:sz w:val="13"/>
                <w:szCs w:val="13"/>
                <w:color w:val="auto"/>
              </w:rPr>
            </w:pPr>
          </w:p>
        </w:tc>
        <w:tc>
          <w:tcPr>
            <w:tcW w:w="920" w:type="dxa"/>
            <w:vAlign w:val="bottom"/>
            <w:tcBorders>
              <w:bottom w:val="single" w:sz="8" w:color="CCFFCC"/>
            </w:tcBorders>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299,695</w:t>
            </w:r>
          </w:p>
        </w:tc>
        <w:tc>
          <w:tcPr>
            <w:tcW w:w="10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bottom w:val="single" w:sz="8" w:color="CCFFCC"/>
            </w:tcBorders>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9,745</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570,542</w:t>
            </w:r>
          </w:p>
        </w:tc>
        <w:tc>
          <w:tcPr>
            <w:tcW w:w="140" w:type="dxa"/>
            <w:vAlign w:val="bottom"/>
            <w:tcBorders>
              <w:bottom w:val="single" w:sz="8" w:color="CCFFCC"/>
            </w:tcBorders>
            <w:shd w:val="clear" w:color="auto" w:fill="CCFFCC"/>
          </w:tcPr>
          <w:p>
            <w:pPr>
              <w:spacing w:after="0"/>
              <w:rPr>
                <w:sz w:val="13"/>
                <w:szCs w:val="13"/>
                <w:color w:val="auto"/>
              </w:rPr>
            </w:pPr>
          </w:p>
        </w:tc>
        <w:tc>
          <w:tcPr>
            <w:tcW w:w="920" w:type="dxa"/>
            <w:vAlign w:val="bottom"/>
            <w:tcBorders>
              <w:bottom w:val="single" w:sz="8" w:color="CCFFCC"/>
            </w:tcBorders>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216,388</w:t>
            </w:r>
          </w:p>
        </w:tc>
        <w:tc>
          <w:tcPr>
            <w:tcW w:w="940" w:type="dxa"/>
            <w:vAlign w:val="bottom"/>
            <w:tcBorders>
              <w:bottom w:val="single" w:sz="8" w:color="CCFFCC"/>
            </w:tcBorders>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129,268</w:t>
            </w:r>
          </w:p>
        </w:tc>
        <w:tc>
          <w:tcPr>
            <w:tcW w:w="120" w:type="dxa"/>
            <w:vAlign w:val="bottom"/>
            <w:tcBorders>
              <w:bottom w:val="single" w:sz="8" w:color="CCFFCC"/>
            </w:tcBorders>
            <w:shd w:val="clear" w:color="auto" w:fill="CCFFCC"/>
          </w:tcPr>
          <w:p>
            <w:pPr>
              <w:spacing w:after="0"/>
              <w:rPr>
                <w:sz w:val="13"/>
                <w:szCs w:val="13"/>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6,242</w:t>
            </w:r>
          </w:p>
        </w:tc>
        <w:tc>
          <w:tcPr>
            <w:tcW w:w="120" w:type="dxa"/>
            <w:vAlign w:val="bottom"/>
            <w:tcBorders>
              <w:bottom w:val="single" w:sz="8" w:color="CCFFCC"/>
            </w:tcBorders>
            <w:shd w:val="clear" w:color="auto" w:fill="CCFFCC"/>
          </w:tcPr>
          <w:p>
            <w:pPr>
              <w:spacing w:after="0"/>
              <w:rPr>
                <w:sz w:val="13"/>
                <w:szCs w:val="13"/>
                <w:color w:val="auto"/>
              </w:rPr>
            </w:pPr>
          </w:p>
        </w:tc>
        <w:tc>
          <w:tcPr>
            <w:tcW w:w="1020" w:type="dxa"/>
            <w:vAlign w:val="bottom"/>
            <w:tcBorders>
              <w:bottom w:val="single" w:sz="8" w:color="CCFFCC"/>
            </w:tcBorders>
            <w:gridSpan w:val="2"/>
            <w:shd w:val="clear" w:color="auto" w:fill="CCFFCC"/>
          </w:tcPr>
          <w:p>
            <w:pPr>
              <w:jc w:val="right"/>
              <w:ind w:right="98"/>
              <w:spacing w:after="0"/>
              <w:rPr>
                <w:sz w:val="20"/>
                <w:szCs w:val="20"/>
                <w:color w:val="auto"/>
              </w:rPr>
            </w:pPr>
            <w:r>
              <w:rPr>
                <w:rFonts w:ascii="Arial" w:cs="Arial" w:eastAsia="Arial" w:hAnsi="Arial"/>
                <w:sz w:val="13"/>
                <w:szCs w:val="13"/>
                <w:color w:val="auto"/>
              </w:rPr>
              <w:t>351,898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10,648,296</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6,202,634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325,766</w:t>
            </w:r>
          </w:p>
        </w:tc>
        <w:tc>
          <w:tcPr>
            <w:tcW w:w="120" w:type="dxa"/>
            <w:vAlign w:val="bottom"/>
          </w:tcPr>
          <w:p>
            <w:pPr>
              <w:spacing w:after="0"/>
              <w:rPr>
                <w:sz w:val="13"/>
                <w:szCs w:val="13"/>
                <w:color w:val="auto"/>
              </w:rPr>
            </w:pPr>
          </w:p>
        </w:tc>
        <w:tc>
          <w:tcPr>
            <w:tcW w:w="980" w:type="dxa"/>
            <w:vAlign w:val="bottom"/>
            <w:gridSpan w:val="2"/>
          </w:tcPr>
          <w:p>
            <w:pPr>
              <w:jc w:val="right"/>
              <w:ind w:right="77"/>
              <w:spacing w:after="0"/>
              <w:rPr>
                <w:sz w:val="20"/>
                <w:szCs w:val="20"/>
                <w:color w:val="auto"/>
              </w:rPr>
            </w:pPr>
            <w:r>
              <w:rPr>
                <w:rFonts w:ascii="Arial" w:cs="Arial" w:eastAsia="Arial" w:hAnsi="Arial"/>
                <w:sz w:val="13"/>
                <w:szCs w:val="13"/>
                <w:color w:val="auto"/>
              </w:rPr>
              <w:t>17,176,696</w:t>
            </w:r>
          </w:p>
        </w:tc>
        <w:tc>
          <w:tcPr>
            <w:tcW w:w="800" w:type="dxa"/>
            <w:vAlign w:val="bottom"/>
          </w:tcPr>
          <w:p>
            <w:pPr>
              <w:jc w:val="right"/>
              <w:spacing w:after="0"/>
              <w:rPr>
                <w:sz w:val="20"/>
                <w:szCs w:val="20"/>
                <w:color w:val="auto"/>
              </w:rPr>
            </w:pPr>
            <w:r>
              <w:rPr>
                <w:rFonts w:ascii="Arial" w:cs="Arial" w:eastAsia="Arial" w:hAnsi="Arial"/>
                <w:sz w:val="13"/>
                <w:szCs w:val="13"/>
                <w:color w:val="auto"/>
              </w:rPr>
              <w:t>8,208,360</w:t>
            </w:r>
          </w:p>
        </w:tc>
        <w:tc>
          <w:tcPr>
            <w:tcW w:w="120" w:type="dxa"/>
            <w:vAlign w:val="bottom"/>
          </w:tcPr>
          <w:p>
            <w:pPr>
              <w:spacing w:after="0"/>
              <w:rPr>
                <w:sz w:val="13"/>
                <w:szCs w:val="13"/>
                <w:color w:val="auto"/>
              </w:rPr>
            </w:pP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3,953,522</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209,332</w:t>
            </w:r>
          </w:p>
        </w:tc>
        <w:tc>
          <w:tcPr>
            <w:tcW w:w="120" w:type="dxa"/>
            <w:vAlign w:val="bottom"/>
          </w:tcPr>
          <w:p>
            <w:pPr>
              <w:spacing w:after="0"/>
              <w:rPr>
                <w:sz w:val="13"/>
                <w:szCs w:val="13"/>
                <w:color w:val="auto"/>
              </w:rPr>
            </w:pP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12,371,214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shd w:val="clear" w:color="auto" w:fill="CCFFCC"/>
          </w:tcPr>
          <w:p>
            <w:pPr>
              <w:spacing w:after="0" w:line="143" w:lineRule="exact"/>
              <w:rPr>
                <w:sz w:val="20"/>
                <w:szCs w:val="20"/>
                <w:color w:val="auto"/>
              </w:rPr>
            </w:pPr>
            <w:r>
              <w:rPr>
                <w:rFonts w:ascii="Arial" w:cs="Arial" w:eastAsia="Arial" w:hAnsi="Arial"/>
                <w:sz w:val="13"/>
                <w:szCs w:val="13"/>
                <w:b w:val="1"/>
                <w:bCs w:val="1"/>
                <w:color w:val="auto"/>
              </w:rPr>
              <w:t>Monetary liabilities -</w:t>
            </w:r>
          </w:p>
        </w:tc>
        <w:tc>
          <w:tcPr>
            <w:tcW w:w="8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Deposits and obligations</w:t>
            </w:r>
          </w:p>
        </w:tc>
        <w:tc>
          <w:tcPr>
            <w:tcW w:w="980" w:type="dxa"/>
            <w:vAlign w:val="bottom"/>
            <w:gridSpan w:val="2"/>
          </w:tcPr>
          <w:p>
            <w:pPr>
              <w:jc w:val="right"/>
              <w:ind w:right="38"/>
              <w:spacing w:after="0"/>
              <w:rPr>
                <w:sz w:val="20"/>
                <w:szCs w:val="20"/>
                <w:color w:val="auto"/>
              </w:rPr>
            </w:pPr>
            <w:r>
              <w:rPr>
                <w:rFonts w:ascii="Arial" w:cs="Arial" w:eastAsia="Arial" w:hAnsi="Arial"/>
                <w:sz w:val="13"/>
                <w:szCs w:val="13"/>
                <w:color w:val="auto"/>
              </w:rPr>
              <w:t>(7,173,362)</w:t>
            </w:r>
          </w:p>
        </w:tc>
        <w:tc>
          <w:tcPr>
            <w:tcW w:w="920" w:type="dxa"/>
            <w:vAlign w:val="bottom"/>
            <w:gridSpan w:val="2"/>
          </w:tcPr>
          <w:p>
            <w:pPr>
              <w:jc w:val="right"/>
              <w:ind w:right="38"/>
              <w:spacing w:after="0"/>
              <w:rPr>
                <w:sz w:val="20"/>
                <w:szCs w:val="20"/>
                <w:color w:val="auto"/>
              </w:rPr>
            </w:pPr>
            <w:r>
              <w:rPr>
                <w:rFonts w:ascii="Arial" w:cs="Arial" w:eastAsia="Arial" w:hAnsi="Arial"/>
                <w:sz w:val="13"/>
                <w:szCs w:val="13"/>
                <w:color w:val="auto"/>
              </w:rPr>
              <w:t>(3,892,138)</w:t>
            </w:r>
          </w:p>
        </w:tc>
        <w:tc>
          <w:tcPr>
            <w:tcW w:w="100" w:type="dxa"/>
            <w:vAlign w:val="bottom"/>
          </w:tcPr>
          <w:p>
            <w:pPr>
              <w:spacing w:after="0"/>
              <w:rPr>
                <w:sz w:val="12"/>
                <w:szCs w:val="12"/>
                <w:color w:val="auto"/>
              </w:rPr>
            </w:pPr>
          </w:p>
        </w:tc>
        <w:tc>
          <w:tcPr>
            <w:tcW w:w="820" w:type="dxa"/>
            <w:vAlign w:val="bottom"/>
            <w:gridSpan w:val="2"/>
          </w:tcPr>
          <w:p>
            <w:pPr>
              <w:jc w:val="right"/>
              <w:ind w:right="38"/>
              <w:spacing w:after="0"/>
              <w:rPr>
                <w:sz w:val="20"/>
                <w:szCs w:val="20"/>
                <w:color w:val="auto"/>
              </w:rPr>
            </w:pPr>
            <w:r>
              <w:rPr>
                <w:rFonts w:ascii="Arial" w:cs="Arial" w:eastAsia="Arial" w:hAnsi="Arial"/>
                <w:sz w:val="13"/>
                <w:szCs w:val="13"/>
                <w:color w:val="auto"/>
              </w:rPr>
              <w:t>(285,214)</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(11,350,714)</w:t>
            </w:r>
          </w:p>
        </w:tc>
        <w:tc>
          <w:tcPr>
            <w:tcW w:w="920" w:type="dxa"/>
            <w:vAlign w:val="bottom"/>
            <w:gridSpan w:val="2"/>
          </w:tcPr>
          <w:p>
            <w:pPr>
              <w:jc w:val="right"/>
              <w:ind w:right="38"/>
              <w:spacing w:after="0"/>
              <w:rPr>
                <w:sz w:val="20"/>
                <w:szCs w:val="20"/>
                <w:color w:val="auto"/>
              </w:rPr>
            </w:pPr>
            <w:r>
              <w:rPr>
                <w:rFonts w:ascii="Arial" w:cs="Arial" w:eastAsia="Arial" w:hAnsi="Arial"/>
                <w:sz w:val="13"/>
                <w:szCs w:val="13"/>
                <w:color w:val="auto"/>
              </w:rPr>
              <w:t>(6,098,199)</w:t>
            </w:r>
          </w:p>
        </w:tc>
        <w:tc>
          <w:tcPr>
            <w:tcW w:w="940" w:type="dxa"/>
            <w:vAlign w:val="bottom"/>
            <w:gridSpan w:val="2"/>
          </w:tcPr>
          <w:p>
            <w:pPr>
              <w:jc w:val="right"/>
              <w:ind w:right="38"/>
              <w:spacing w:after="0"/>
              <w:rPr>
                <w:sz w:val="20"/>
                <w:szCs w:val="20"/>
                <w:color w:val="auto"/>
              </w:rPr>
            </w:pPr>
            <w:r>
              <w:rPr>
                <w:rFonts w:ascii="Arial" w:cs="Arial" w:eastAsia="Arial" w:hAnsi="Arial"/>
                <w:sz w:val="13"/>
                <w:szCs w:val="13"/>
                <w:color w:val="auto"/>
              </w:rPr>
              <w:t>(2,588,864)</w:t>
            </w:r>
          </w:p>
        </w:tc>
        <w:tc>
          <w:tcPr>
            <w:tcW w:w="120" w:type="dxa"/>
            <w:vAlign w:val="bottom"/>
          </w:tcPr>
          <w:p>
            <w:pPr>
              <w:spacing w:after="0"/>
              <w:rPr>
                <w:sz w:val="12"/>
                <w:szCs w:val="12"/>
                <w:color w:val="auto"/>
              </w:rPr>
            </w:pPr>
          </w:p>
        </w:tc>
        <w:tc>
          <w:tcPr>
            <w:tcW w:w="840" w:type="dxa"/>
            <w:vAlign w:val="bottom"/>
            <w:gridSpan w:val="2"/>
          </w:tcPr>
          <w:p>
            <w:pPr>
              <w:jc w:val="right"/>
              <w:ind w:right="38"/>
              <w:spacing w:after="0"/>
              <w:rPr>
                <w:sz w:val="20"/>
                <w:szCs w:val="20"/>
                <w:color w:val="auto"/>
              </w:rPr>
            </w:pPr>
            <w:r>
              <w:rPr>
                <w:rFonts w:ascii="Arial" w:cs="Arial" w:eastAsia="Arial" w:hAnsi="Arial"/>
                <w:sz w:val="13"/>
                <w:szCs w:val="13"/>
                <w:color w:val="auto"/>
              </w:rPr>
              <w:t>(151,928)</w:t>
            </w:r>
          </w:p>
        </w:tc>
        <w:tc>
          <w:tcPr>
            <w:tcW w:w="1020" w:type="dxa"/>
            <w:vAlign w:val="bottom"/>
            <w:gridSpan w:val="2"/>
          </w:tcPr>
          <w:p>
            <w:pPr>
              <w:jc w:val="right"/>
              <w:ind w:right="58"/>
              <w:spacing w:after="0"/>
              <w:rPr>
                <w:sz w:val="20"/>
                <w:szCs w:val="20"/>
                <w:color w:val="auto"/>
              </w:rPr>
            </w:pPr>
            <w:r>
              <w:rPr>
                <w:rFonts w:ascii="Arial" w:cs="Arial" w:eastAsia="Arial" w:hAnsi="Arial"/>
                <w:sz w:val="13"/>
                <w:szCs w:val="13"/>
                <w:color w:val="auto"/>
              </w:rPr>
              <w:t>(8,838,991)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3"/>
                <w:szCs w:val="13"/>
                <w:color w:val="auto"/>
              </w:rPr>
              <w:t>Due to bank and correspondents and borrowed funds</w:t>
            </w:r>
          </w:p>
        </w:tc>
        <w:tc>
          <w:tcPr>
            <w:tcW w:w="98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(2,071,882)</w:t>
            </w:r>
          </w:p>
        </w:tc>
        <w:tc>
          <w:tcPr>
            <w:tcW w:w="92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(248,362)</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(3,421)</w:t>
            </w:r>
          </w:p>
        </w:tc>
        <w:tc>
          <w:tcPr>
            <w:tcW w:w="980" w:type="dxa"/>
            <w:vAlign w:val="bottom"/>
            <w:gridSpan w:val="2"/>
            <w:shd w:val="clear" w:color="auto" w:fill="CCFFCC"/>
          </w:tcPr>
          <w:p>
            <w:pPr>
              <w:jc w:val="right"/>
              <w:ind w:right="17"/>
              <w:spacing w:after="0"/>
              <w:rPr>
                <w:sz w:val="20"/>
                <w:szCs w:val="20"/>
                <w:color w:val="auto"/>
              </w:rPr>
            </w:pPr>
            <w:r>
              <w:rPr>
                <w:rFonts w:ascii="Arial" w:cs="Arial" w:eastAsia="Arial" w:hAnsi="Arial"/>
                <w:sz w:val="13"/>
                <w:szCs w:val="13"/>
                <w:color w:val="auto"/>
              </w:rPr>
              <w:t>(2,323,665)</w:t>
            </w:r>
          </w:p>
        </w:tc>
        <w:tc>
          <w:tcPr>
            <w:tcW w:w="92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(883,979)</w:t>
            </w:r>
          </w:p>
        </w:tc>
        <w:tc>
          <w:tcPr>
            <w:tcW w:w="94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(53,193)</w:t>
            </w:r>
          </w:p>
        </w:tc>
        <w:tc>
          <w:tcPr>
            <w:tcW w:w="1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(4,429)</w:t>
            </w:r>
          </w:p>
        </w:tc>
        <w:tc>
          <w:tcPr>
            <w:tcW w:w="10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(941,601)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3"/>
                <w:szCs w:val="13"/>
                <w:color w:val="auto"/>
                <w:w w:val="98"/>
              </w:rPr>
              <w:t>Financial liabilities designated at fair value through profits and loss</w:t>
            </w:r>
          </w:p>
        </w:tc>
        <w:tc>
          <w:tcPr>
            <w:tcW w:w="980" w:type="dxa"/>
            <w:vAlign w:val="bottom"/>
            <w:gridSpan w:val="2"/>
          </w:tcPr>
          <w:p>
            <w:pPr>
              <w:jc w:val="right"/>
              <w:ind w:right="38"/>
              <w:spacing w:after="0"/>
              <w:rPr>
                <w:sz w:val="20"/>
                <w:szCs w:val="20"/>
                <w:color w:val="auto"/>
              </w:rPr>
            </w:pPr>
            <w:r>
              <w:rPr>
                <w:rFonts w:ascii="Arial" w:cs="Arial" w:eastAsia="Arial" w:hAnsi="Arial"/>
                <w:sz w:val="13"/>
                <w:szCs w:val="13"/>
                <w:color w:val="auto"/>
              </w:rPr>
              <w:t>(50,561)</w:t>
            </w: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color w:val="auto"/>
              </w:rPr>
              <w:t>(50,561)</w:t>
            </w: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3"/>
                <w:szCs w:val="13"/>
                <w:color w:val="auto"/>
              </w:rPr>
              <w:t>Bonds and subordinated notes issued</w:t>
            </w:r>
          </w:p>
        </w:tc>
        <w:tc>
          <w:tcPr>
            <w:tcW w:w="98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(329,567)</w:t>
            </w:r>
          </w:p>
        </w:tc>
        <w:tc>
          <w:tcPr>
            <w:tcW w:w="92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(372,731)</w:t>
            </w:r>
          </w:p>
        </w:tc>
        <w:tc>
          <w:tcPr>
            <w:tcW w:w="1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FFCC"/>
          </w:tcPr>
          <w:p>
            <w:pPr>
              <w:jc w:val="right"/>
              <w:ind w:right="17"/>
              <w:spacing w:after="0"/>
              <w:rPr>
                <w:sz w:val="20"/>
                <w:szCs w:val="20"/>
                <w:color w:val="auto"/>
              </w:rPr>
            </w:pPr>
            <w:r>
              <w:rPr>
                <w:rFonts w:ascii="Arial" w:cs="Arial" w:eastAsia="Arial" w:hAnsi="Arial"/>
                <w:sz w:val="13"/>
                <w:szCs w:val="13"/>
                <w:color w:val="auto"/>
              </w:rPr>
              <w:t>(702,298)</w:t>
            </w:r>
          </w:p>
        </w:tc>
        <w:tc>
          <w:tcPr>
            <w:tcW w:w="92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(334,608)</w:t>
            </w:r>
          </w:p>
        </w:tc>
        <w:tc>
          <w:tcPr>
            <w:tcW w:w="940" w:type="dxa"/>
            <w:vAlign w:val="bottom"/>
            <w:gridSpan w:val="2"/>
            <w:shd w:val="clear" w:color="auto" w:fill="CCFFCC"/>
          </w:tcPr>
          <w:p>
            <w:pPr>
              <w:jc w:val="right"/>
              <w:ind w:right="38"/>
              <w:spacing w:after="0"/>
              <w:rPr>
                <w:sz w:val="20"/>
                <w:szCs w:val="20"/>
                <w:color w:val="auto"/>
              </w:rPr>
            </w:pPr>
            <w:r>
              <w:rPr>
                <w:rFonts w:ascii="Arial" w:cs="Arial" w:eastAsia="Arial" w:hAnsi="Arial"/>
                <w:sz w:val="13"/>
                <w:szCs w:val="13"/>
                <w:color w:val="auto"/>
              </w:rPr>
              <w:t>(177,964)</w:t>
            </w:r>
          </w:p>
        </w:tc>
        <w:tc>
          <w:tcPr>
            <w:tcW w:w="1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78"/>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58"/>
              <w:spacing w:after="0"/>
              <w:rPr>
                <w:sz w:val="20"/>
                <w:szCs w:val="20"/>
                <w:color w:val="auto"/>
              </w:rPr>
            </w:pPr>
            <w:r>
              <w:rPr>
                <w:rFonts w:ascii="Arial" w:cs="Arial" w:eastAsia="Arial" w:hAnsi="Arial"/>
                <w:sz w:val="13"/>
                <w:szCs w:val="13"/>
                <w:color w:val="auto"/>
              </w:rPr>
              <w:t>(512,572)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Other liabilities</w:t>
            </w:r>
          </w:p>
        </w:tc>
        <w:tc>
          <w:tcPr>
            <w:tcW w:w="98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(1,040,179</w:t>
            </w:r>
            <w:r>
              <w:rPr>
                <w:rFonts w:ascii="Arial" w:cs="Arial" w:eastAsia="Arial" w:hAnsi="Arial"/>
                <w:sz w:val="20"/>
                <w:szCs w:val="20"/>
                <w:color w:val="auto"/>
                <w:vertAlign w:val="superscript"/>
              </w:rPr>
              <w:t>)</w:t>
            </w:r>
          </w:p>
        </w:tc>
        <w:tc>
          <w:tcPr>
            <w:tcW w:w="92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(434,353</w:t>
            </w:r>
            <w:r>
              <w:rPr>
                <w:rFonts w:ascii="Arial" w:cs="Arial" w:eastAsia="Arial" w:hAnsi="Arial"/>
                <w:sz w:val="20"/>
                <w:szCs w:val="20"/>
                <w:color w:val="auto"/>
                <w:vertAlign w:val="superscript"/>
              </w:rPr>
              <w:t>)</w:t>
            </w:r>
          </w:p>
        </w:tc>
        <w:tc>
          <w:tcPr>
            <w:tcW w:w="100" w:type="dxa"/>
            <w:vAlign w:val="bottom"/>
          </w:tcPr>
          <w:p>
            <w:pPr>
              <w:spacing w:after="0"/>
              <w:rPr>
                <w:sz w:val="15"/>
                <w:szCs w:val="15"/>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11,144</w:t>
            </w:r>
          </w:p>
        </w:tc>
        <w:tc>
          <w:tcPr>
            <w:tcW w:w="980" w:type="dxa"/>
            <w:vAlign w:val="bottom"/>
            <w:gridSpan w:val="2"/>
          </w:tcPr>
          <w:p>
            <w:pPr>
              <w:jc w:val="right"/>
              <w:ind w:right="17"/>
              <w:spacing w:after="0" w:line="176" w:lineRule="exact"/>
              <w:rPr>
                <w:sz w:val="20"/>
                <w:szCs w:val="20"/>
                <w:color w:val="auto"/>
              </w:rPr>
            </w:pPr>
            <w:r>
              <w:rPr>
                <w:rFonts w:ascii="Arial" w:cs="Arial" w:eastAsia="Arial" w:hAnsi="Arial"/>
                <w:sz w:val="11"/>
                <w:szCs w:val="11"/>
                <w:color w:val="auto"/>
              </w:rPr>
              <w:t>(1,463,388</w:t>
            </w:r>
            <w:r>
              <w:rPr>
                <w:rFonts w:ascii="Arial" w:cs="Arial" w:eastAsia="Arial" w:hAnsi="Arial"/>
                <w:sz w:val="20"/>
                <w:szCs w:val="20"/>
                <w:color w:val="auto"/>
                <w:vertAlign w:val="superscript"/>
              </w:rPr>
              <w:t>)</w:t>
            </w:r>
          </w:p>
        </w:tc>
        <w:tc>
          <w:tcPr>
            <w:tcW w:w="92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(662,946</w:t>
            </w:r>
            <w:r>
              <w:rPr>
                <w:rFonts w:ascii="Arial" w:cs="Arial" w:eastAsia="Arial" w:hAnsi="Arial"/>
                <w:sz w:val="20"/>
                <w:szCs w:val="20"/>
                <w:color w:val="auto"/>
                <w:vertAlign w:val="superscript"/>
              </w:rPr>
              <w:t>)</w:t>
            </w:r>
          </w:p>
        </w:tc>
        <w:tc>
          <w:tcPr>
            <w:tcW w:w="94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(378,473</w:t>
            </w:r>
            <w:r>
              <w:rPr>
                <w:rFonts w:ascii="Arial" w:cs="Arial" w:eastAsia="Arial" w:hAnsi="Arial"/>
                <w:sz w:val="20"/>
                <w:szCs w:val="20"/>
                <w:color w:val="auto"/>
                <w:vertAlign w:val="superscript"/>
              </w:rPr>
              <w:t>)</w:t>
            </w:r>
          </w:p>
        </w:tc>
        <w:tc>
          <w:tcPr>
            <w:tcW w:w="120" w:type="dxa"/>
            <w:vAlign w:val="bottom"/>
          </w:tcPr>
          <w:p>
            <w:pPr>
              <w:spacing w:after="0"/>
              <w:rPr>
                <w:sz w:val="15"/>
                <w:szCs w:val="15"/>
                <w:color w:val="auto"/>
              </w:rPr>
            </w:pPr>
          </w:p>
        </w:tc>
        <w:tc>
          <w:tcPr>
            <w:tcW w:w="84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(13,178</w:t>
            </w:r>
            <w:r>
              <w:rPr>
                <w:rFonts w:ascii="Arial" w:cs="Arial" w:eastAsia="Arial" w:hAnsi="Arial"/>
                <w:sz w:val="20"/>
                <w:szCs w:val="20"/>
                <w:color w:val="auto"/>
                <w:vertAlign w:val="superscript"/>
              </w:rPr>
              <w:t>)</w:t>
            </w:r>
          </w:p>
        </w:tc>
        <w:tc>
          <w:tcPr>
            <w:tcW w:w="1020" w:type="dxa"/>
            <w:vAlign w:val="bottom"/>
            <w:gridSpan w:val="2"/>
          </w:tcPr>
          <w:p>
            <w:pPr>
              <w:jc w:val="right"/>
              <w:ind w:right="58"/>
              <w:spacing w:after="0" w:line="176" w:lineRule="exact"/>
              <w:rPr>
                <w:sz w:val="20"/>
                <w:szCs w:val="20"/>
                <w:color w:val="auto"/>
              </w:rPr>
            </w:pPr>
            <w:r>
              <w:rPr>
                <w:rFonts w:ascii="Arial" w:cs="Arial" w:eastAsia="Arial" w:hAnsi="Arial"/>
                <w:sz w:val="11"/>
                <w:szCs w:val="11"/>
                <w:color w:val="auto"/>
              </w:rPr>
              <w:t>(1,054,597</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bottom w:val="single" w:sz="8" w:color="CCFFCC"/>
            </w:tcBorders>
            <w:shd w:val="clear" w:color="auto" w:fill="CCFFCC"/>
          </w:tcPr>
          <w:p>
            <w:pPr>
              <w:spacing w:after="0"/>
              <w:rPr>
                <w:sz w:val="12"/>
                <w:szCs w:val="12"/>
                <w:color w:val="auto"/>
              </w:rPr>
            </w:pPr>
          </w:p>
        </w:tc>
        <w:tc>
          <w:tcPr>
            <w:tcW w:w="86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(10,665,551</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(4,947,584</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(277,491</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(15,890,626</w:t>
            </w:r>
          </w:p>
        </w:tc>
        <w:tc>
          <w:tcPr>
            <w:tcW w:w="140" w:type="dxa"/>
            <w:vAlign w:val="bottom"/>
            <w:tcBorders>
              <w:bottom w:val="single" w:sz="8" w:color="CCFFCC"/>
            </w:tcBorders>
            <w:shd w:val="clear" w:color="auto" w:fill="CCFFCC"/>
          </w:tcPr>
          <w:p>
            <w:pPr>
              <w:jc w:val="right"/>
              <w:ind w:right="17"/>
              <w:spacing w:after="0" w:line="143" w:lineRule="exact"/>
              <w:rPr>
                <w:sz w:val="20"/>
                <w:szCs w:val="20"/>
                <w:color w:val="auto"/>
              </w:rPr>
            </w:pPr>
            <w:r>
              <w:rPr>
                <w:rFonts w:ascii="Arial" w:cs="Arial" w:eastAsia="Arial" w:hAnsi="Arial"/>
                <w:sz w:val="13"/>
                <w:szCs w:val="13"/>
                <w:color w:val="auto"/>
                <w:w w:val="91"/>
              </w:rPr>
              <w:t>)</w:t>
            </w:r>
          </w:p>
        </w:tc>
        <w:tc>
          <w:tcPr>
            <w:tcW w:w="80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(7,979,732</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82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(3,198,494</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(169,535</w:t>
            </w:r>
          </w:p>
        </w:tc>
        <w:tc>
          <w:tcPr>
            <w:tcW w:w="120" w:type="dxa"/>
            <w:vAlign w:val="bottom"/>
            <w:tcBorders>
              <w:bottom w:val="single" w:sz="8" w:color="CCFFCC"/>
            </w:tcBorders>
            <w:shd w:val="clear" w:color="auto" w:fill="CCFFCC"/>
          </w:tcPr>
          <w:p>
            <w:pPr>
              <w:jc w:val="right"/>
              <w:ind w:right="38"/>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CCFFCC"/>
            </w:tcBorders>
            <w:shd w:val="clear" w:color="auto" w:fill="CCFFCC"/>
          </w:tcPr>
          <w:p>
            <w:pPr>
              <w:jc w:val="right"/>
              <w:spacing w:after="0" w:line="143" w:lineRule="exact"/>
              <w:rPr>
                <w:sz w:val="20"/>
                <w:szCs w:val="20"/>
                <w:color w:val="auto"/>
              </w:rPr>
            </w:pPr>
            <w:r>
              <w:rPr>
                <w:rFonts w:ascii="Arial" w:cs="Arial" w:eastAsia="Arial" w:hAnsi="Arial"/>
                <w:sz w:val="13"/>
                <w:szCs w:val="13"/>
                <w:color w:val="auto"/>
              </w:rPr>
              <w:t>(11,347,761</w:t>
            </w:r>
          </w:p>
        </w:tc>
        <w:tc>
          <w:tcPr>
            <w:tcW w:w="140" w:type="dxa"/>
            <w:vAlign w:val="bottom"/>
            <w:tcBorders>
              <w:bottom w:val="single" w:sz="8" w:color="CCFFCC"/>
            </w:tcBorders>
            <w:shd w:val="clear" w:color="auto" w:fill="CCFFCC"/>
          </w:tcPr>
          <w:p>
            <w:pPr>
              <w:jc w:val="right"/>
              <w:ind w:right="5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80" w:type="dxa"/>
            <w:vAlign w:val="bottom"/>
            <w:gridSpan w:val="2"/>
          </w:tcPr>
          <w:p>
            <w:pPr>
              <w:jc w:val="right"/>
              <w:ind w:right="38"/>
              <w:spacing w:after="0" w:line="169" w:lineRule="exact"/>
              <w:rPr>
                <w:sz w:val="20"/>
                <w:szCs w:val="20"/>
                <w:color w:val="auto"/>
              </w:rPr>
            </w:pPr>
            <w:r>
              <w:rPr>
                <w:rFonts w:ascii="Arial" w:cs="Arial" w:eastAsia="Arial" w:hAnsi="Arial"/>
                <w:sz w:val="11"/>
                <w:szCs w:val="11"/>
                <w:color w:val="auto"/>
              </w:rPr>
              <w:t>(17,255</w:t>
            </w:r>
            <w:r>
              <w:rPr>
                <w:rFonts w:ascii="Arial" w:cs="Arial" w:eastAsia="Arial" w:hAnsi="Arial"/>
                <w:sz w:val="19"/>
                <w:szCs w:val="19"/>
                <w:color w:val="auto"/>
                <w:vertAlign w:val="superscript"/>
              </w:rPr>
              <w:t>)</w:t>
            </w: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1,255,050</w:t>
            </w:r>
          </w:p>
        </w:tc>
        <w:tc>
          <w:tcPr>
            <w:tcW w:w="100" w:type="dxa"/>
            <w:vAlign w:val="bottom"/>
          </w:tcPr>
          <w:p>
            <w:pPr>
              <w:spacing w:after="0"/>
              <w:rPr>
                <w:sz w:val="14"/>
                <w:szCs w:val="14"/>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48,275</w:t>
            </w:r>
          </w:p>
        </w:tc>
        <w:tc>
          <w:tcPr>
            <w:tcW w:w="840" w:type="dxa"/>
            <w:vAlign w:val="bottom"/>
          </w:tcPr>
          <w:p>
            <w:pPr>
              <w:jc w:val="right"/>
              <w:spacing w:after="0"/>
              <w:rPr>
                <w:sz w:val="20"/>
                <w:szCs w:val="20"/>
                <w:color w:val="auto"/>
              </w:rPr>
            </w:pPr>
            <w:r>
              <w:rPr>
                <w:rFonts w:ascii="Arial" w:cs="Arial" w:eastAsia="Arial" w:hAnsi="Arial"/>
                <w:sz w:val="13"/>
                <w:szCs w:val="13"/>
                <w:color w:val="auto"/>
              </w:rPr>
              <w:t>1,286,070</w:t>
            </w:r>
          </w:p>
        </w:tc>
        <w:tc>
          <w:tcPr>
            <w:tcW w:w="140" w:type="dxa"/>
            <w:vAlign w:val="bottom"/>
          </w:tcPr>
          <w:p>
            <w:pPr>
              <w:spacing w:after="0"/>
              <w:rPr>
                <w:sz w:val="14"/>
                <w:szCs w:val="14"/>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228,628</w:t>
            </w: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755,028</w:t>
            </w:r>
          </w:p>
        </w:tc>
        <w:tc>
          <w:tcPr>
            <w:tcW w:w="120" w:type="dxa"/>
            <w:vAlign w:val="bottom"/>
          </w:tcPr>
          <w:p>
            <w:pPr>
              <w:spacing w:after="0"/>
              <w:rPr>
                <w:sz w:val="14"/>
                <w:szCs w:val="14"/>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39,797</w:t>
            </w: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1,023,453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shd w:val="clear" w:color="auto" w:fill="CCFFCC"/>
          </w:tcPr>
          <w:p>
            <w:pPr>
              <w:spacing w:after="0"/>
              <w:rPr>
                <w:sz w:val="11"/>
                <w:szCs w:val="11"/>
                <w:color w:val="auto"/>
              </w:rPr>
            </w:pPr>
          </w:p>
        </w:tc>
        <w:tc>
          <w:tcPr>
            <w:tcW w:w="8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8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Forwards position, net</w:t>
            </w:r>
          </w:p>
        </w:tc>
        <w:tc>
          <w:tcPr>
            <w:tcW w:w="860" w:type="dxa"/>
            <w:vAlign w:val="bottom"/>
          </w:tcPr>
          <w:p>
            <w:pPr>
              <w:jc w:val="right"/>
              <w:spacing w:after="0"/>
              <w:rPr>
                <w:sz w:val="20"/>
                <w:szCs w:val="20"/>
                <w:color w:val="auto"/>
              </w:rPr>
            </w:pPr>
            <w:r>
              <w:rPr>
                <w:rFonts w:ascii="Arial" w:cs="Arial" w:eastAsia="Arial" w:hAnsi="Arial"/>
                <w:sz w:val="13"/>
                <w:szCs w:val="13"/>
                <w:color w:val="auto"/>
              </w:rPr>
              <w:t>331,117</w:t>
            </w:r>
          </w:p>
        </w:tc>
        <w:tc>
          <w:tcPr>
            <w:tcW w:w="120" w:type="dxa"/>
            <w:vAlign w:val="bottom"/>
          </w:tcPr>
          <w:p>
            <w:pPr>
              <w:spacing w:after="0"/>
              <w:rPr>
                <w:sz w:val="15"/>
                <w:szCs w:val="15"/>
                <w:color w:val="auto"/>
              </w:rPr>
            </w:pPr>
          </w:p>
        </w:tc>
        <w:tc>
          <w:tcPr>
            <w:tcW w:w="92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(273,971</w:t>
            </w:r>
            <w:r>
              <w:rPr>
                <w:rFonts w:ascii="Arial" w:cs="Arial" w:eastAsia="Arial" w:hAnsi="Arial"/>
                <w:sz w:val="20"/>
                <w:szCs w:val="20"/>
                <w:color w:val="auto"/>
                <w:vertAlign w:val="superscript"/>
              </w:rPr>
              <w:t>)</w:t>
            </w:r>
          </w:p>
        </w:tc>
        <w:tc>
          <w:tcPr>
            <w:tcW w:w="100" w:type="dxa"/>
            <w:vAlign w:val="bottom"/>
          </w:tcPr>
          <w:p>
            <w:pPr>
              <w:spacing w:after="0"/>
              <w:rPr>
                <w:sz w:val="15"/>
                <w:szCs w:val="15"/>
                <w:color w:val="auto"/>
              </w:rPr>
            </w:pPr>
          </w:p>
        </w:tc>
        <w:tc>
          <w:tcPr>
            <w:tcW w:w="82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(57,146</w:t>
            </w:r>
            <w:r>
              <w:rPr>
                <w:rFonts w:ascii="Arial" w:cs="Arial" w:eastAsia="Arial" w:hAnsi="Arial"/>
                <w:sz w:val="20"/>
                <w:szCs w:val="20"/>
                <w:color w:val="auto"/>
                <w:vertAlign w:val="superscript"/>
              </w:rPr>
              <w:t>)</w:t>
            </w:r>
          </w:p>
        </w:tc>
        <w:tc>
          <w:tcPr>
            <w:tcW w:w="98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30,970</w:t>
            </w:r>
          </w:p>
        </w:tc>
        <w:tc>
          <w:tcPr>
            <w:tcW w:w="94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(22,368</w:t>
            </w:r>
            <w:r>
              <w:rPr>
                <w:rFonts w:ascii="Arial" w:cs="Arial" w:eastAsia="Arial" w:hAnsi="Arial"/>
                <w:sz w:val="20"/>
                <w:szCs w:val="20"/>
                <w:color w:val="auto"/>
                <w:vertAlign w:val="superscript"/>
              </w:rPr>
              <w:t>)</w:t>
            </w:r>
          </w:p>
        </w:tc>
        <w:tc>
          <w:tcPr>
            <w:tcW w:w="120" w:type="dxa"/>
            <w:vAlign w:val="bottom"/>
          </w:tcPr>
          <w:p>
            <w:pPr>
              <w:spacing w:after="0"/>
              <w:rPr>
                <w:sz w:val="15"/>
                <w:szCs w:val="15"/>
                <w:color w:val="auto"/>
              </w:rPr>
            </w:pPr>
          </w:p>
        </w:tc>
        <w:tc>
          <w:tcPr>
            <w:tcW w:w="840" w:type="dxa"/>
            <w:vAlign w:val="bottom"/>
            <w:gridSpan w:val="2"/>
          </w:tcPr>
          <w:p>
            <w:pPr>
              <w:jc w:val="right"/>
              <w:ind w:right="38"/>
              <w:spacing w:after="0" w:line="176" w:lineRule="exact"/>
              <w:rPr>
                <w:sz w:val="20"/>
                <w:szCs w:val="20"/>
                <w:color w:val="auto"/>
              </w:rPr>
            </w:pPr>
            <w:r>
              <w:rPr>
                <w:rFonts w:ascii="Arial" w:cs="Arial" w:eastAsia="Arial" w:hAnsi="Arial"/>
                <w:sz w:val="11"/>
                <w:szCs w:val="11"/>
                <w:color w:val="auto"/>
              </w:rPr>
              <w:t>(8,602</w:t>
            </w:r>
            <w:r>
              <w:rPr>
                <w:rFonts w:ascii="Arial" w:cs="Arial" w:eastAsia="Arial" w:hAnsi="Arial"/>
                <w:sz w:val="20"/>
                <w:szCs w:val="20"/>
                <w:color w:val="auto"/>
                <w:vertAlign w:val="superscript"/>
              </w:rPr>
              <w:t>)</w:t>
            </w: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shd w:val="clear" w:color="auto" w:fill="CCFFCC"/>
          </w:tcPr>
          <w:p>
            <w:pPr>
              <w:spacing w:after="0"/>
              <w:rPr>
                <w:sz w:val="11"/>
                <w:szCs w:val="11"/>
                <w:color w:val="auto"/>
              </w:rPr>
            </w:pPr>
          </w:p>
        </w:tc>
        <w:tc>
          <w:tcPr>
            <w:tcW w:w="8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8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tcPr>
          <w:p>
            <w:pPr>
              <w:spacing w:after="0"/>
              <w:rPr>
                <w:sz w:val="20"/>
                <w:szCs w:val="20"/>
                <w:color w:val="auto"/>
              </w:rPr>
            </w:pPr>
            <w:r>
              <w:rPr>
                <w:rFonts w:ascii="Arial" w:cs="Arial" w:eastAsia="Arial" w:hAnsi="Arial"/>
                <w:sz w:val="13"/>
                <w:szCs w:val="13"/>
                <w:b w:val="1"/>
                <w:bCs w:val="1"/>
                <w:color w:val="auto"/>
              </w:rPr>
              <w:t>Net monetary position</w:t>
            </w:r>
          </w:p>
        </w:tc>
        <w:tc>
          <w:tcPr>
            <w:tcW w:w="860" w:type="dxa"/>
            <w:vAlign w:val="bottom"/>
          </w:tcPr>
          <w:p>
            <w:pPr>
              <w:jc w:val="right"/>
              <w:spacing w:after="0"/>
              <w:rPr>
                <w:sz w:val="20"/>
                <w:szCs w:val="20"/>
                <w:color w:val="auto"/>
              </w:rPr>
            </w:pPr>
            <w:r>
              <w:rPr>
                <w:rFonts w:ascii="Arial" w:cs="Arial" w:eastAsia="Arial" w:hAnsi="Arial"/>
                <w:sz w:val="13"/>
                <w:szCs w:val="13"/>
                <w:color w:val="auto"/>
              </w:rPr>
              <w:t>313,862</w:t>
            </w:r>
          </w:p>
        </w:tc>
        <w:tc>
          <w:tcPr>
            <w:tcW w:w="120" w:type="dxa"/>
            <w:vAlign w:val="bottom"/>
          </w:tcPr>
          <w:p>
            <w:pPr>
              <w:spacing w:after="0"/>
              <w:rPr>
                <w:sz w:val="12"/>
                <w:szCs w:val="12"/>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981,079</w:t>
            </w:r>
          </w:p>
        </w:tc>
        <w:tc>
          <w:tcPr>
            <w:tcW w:w="100" w:type="dxa"/>
            <w:vAlign w:val="bottom"/>
          </w:tcPr>
          <w:p>
            <w:pPr>
              <w:spacing w:after="0"/>
              <w:rPr>
                <w:sz w:val="12"/>
                <w:szCs w:val="12"/>
                <w:color w:val="auto"/>
              </w:rPr>
            </w:pPr>
          </w:p>
        </w:tc>
        <w:tc>
          <w:tcPr>
            <w:tcW w:w="820" w:type="dxa"/>
            <w:vAlign w:val="bottom"/>
            <w:gridSpan w:val="2"/>
          </w:tcPr>
          <w:p>
            <w:pPr>
              <w:jc w:val="right"/>
              <w:ind w:right="38"/>
              <w:spacing w:after="0"/>
              <w:rPr>
                <w:sz w:val="20"/>
                <w:szCs w:val="20"/>
                <w:color w:val="auto"/>
              </w:rPr>
            </w:pPr>
            <w:r>
              <w:rPr>
                <w:rFonts w:ascii="Arial" w:cs="Arial" w:eastAsia="Arial" w:hAnsi="Arial"/>
                <w:sz w:val="13"/>
                <w:szCs w:val="13"/>
                <w:color w:val="auto"/>
              </w:rPr>
              <w:t>(8,871)</w:t>
            </w:r>
          </w:p>
        </w:tc>
        <w:tc>
          <w:tcPr>
            <w:tcW w:w="840" w:type="dxa"/>
            <w:vAlign w:val="bottom"/>
          </w:tcPr>
          <w:p>
            <w:pPr>
              <w:jc w:val="right"/>
              <w:spacing w:after="0"/>
              <w:rPr>
                <w:sz w:val="20"/>
                <w:szCs w:val="20"/>
                <w:color w:val="auto"/>
              </w:rPr>
            </w:pPr>
            <w:r>
              <w:rPr>
                <w:rFonts w:ascii="Arial" w:cs="Arial" w:eastAsia="Arial" w:hAnsi="Arial"/>
                <w:sz w:val="13"/>
                <w:szCs w:val="13"/>
                <w:color w:val="auto"/>
              </w:rPr>
              <w:t>1,286,070</w:t>
            </w:r>
          </w:p>
        </w:tc>
        <w:tc>
          <w:tcPr>
            <w:tcW w:w="140" w:type="dxa"/>
            <w:vAlign w:val="bottom"/>
          </w:tcPr>
          <w:p>
            <w:pPr>
              <w:spacing w:after="0"/>
              <w:rPr>
                <w:sz w:val="12"/>
                <w:szCs w:val="12"/>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3"/>
                <w:szCs w:val="13"/>
                <w:color w:val="auto"/>
              </w:rPr>
              <w:t>259,598</w:t>
            </w:r>
          </w:p>
        </w:tc>
        <w:tc>
          <w:tcPr>
            <w:tcW w:w="940" w:type="dxa"/>
            <w:vAlign w:val="bottom"/>
            <w:gridSpan w:val="2"/>
          </w:tcPr>
          <w:p>
            <w:pPr>
              <w:jc w:val="right"/>
              <w:ind w:right="78"/>
              <w:spacing w:after="0"/>
              <w:rPr>
                <w:sz w:val="20"/>
                <w:szCs w:val="20"/>
                <w:color w:val="auto"/>
              </w:rPr>
            </w:pPr>
            <w:r>
              <w:rPr>
                <w:rFonts w:ascii="Arial" w:cs="Arial" w:eastAsia="Arial" w:hAnsi="Arial"/>
                <w:sz w:val="13"/>
                <w:szCs w:val="13"/>
                <w:color w:val="auto"/>
              </w:rPr>
              <w:t>732,660</w:t>
            </w:r>
          </w:p>
        </w:tc>
        <w:tc>
          <w:tcPr>
            <w:tcW w:w="12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31,195</w:t>
            </w:r>
          </w:p>
        </w:tc>
        <w:tc>
          <w:tcPr>
            <w:tcW w:w="1020" w:type="dxa"/>
            <w:vAlign w:val="bottom"/>
            <w:gridSpan w:val="2"/>
          </w:tcPr>
          <w:p>
            <w:pPr>
              <w:jc w:val="right"/>
              <w:ind w:right="98"/>
              <w:spacing w:after="0"/>
              <w:rPr>
                <w:sz w:val="20"/>
                <w:szCs w:val="20"/>
                <w:color w:val="auto"/>
              </w:rPr>
            </w:pPr>
            <w:r>
              <w:rPr>
                <w:rFonts w:ascii="Arial" w:cs="Arial" w:eastAsia="Arial" w:hAnsi="Arial"/>
                <w:sz w:val="13"/>
                <w:szCs w:val="13"/>
                <w:color w:val="auto"/>
              </w:rPr>
              <w:t>1,023,453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140"/>
        <w:spacing w:after="0" w:line="273" w:lineRule="auto"/>
        <w:rPr>
          <w:sz w:val="20"/>
          <w:szCs w:val="20"/>
          <w:color w:val="auto"/>
        </w:rPr>
      </w:pPr>
      <w:r>
        <w:rPr>
          <w:rFonts w:ascii="Arial" w:cs="Arial" w:eastAsia="Arial" w:hAnsi="Arial"/>
          <w:sz w:val="17"/>
          <w:szCs w:val="17"/>
          <w:color w:val="auto"/>
        </w:rPr>
        <w:t>The Group manages foreign exchange risk by monitoring and controlling non - U.S. Dollar position values due to changes in exchange rates. The Group measures its performance in U.S. Dollar, so if the net foreign exchange position is positive, any depreciation of the U.S. Dollar would affect Group’s consolidated balance sheet positively.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232" w:lineRule="exact"/>
        <w:rPr>
          <w:sz w:val="20"/>
          <w:szCs w:val="20"/>
          <w:color w:val="auto"/>
        </w:rPr>
      </w:pPr>
    </w:p>
    <w:p>
      <w:pPr>
        <w:ind w:left="1140" w:right="240"/>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Group’s consolidated balance sheet vulnerable to a fluctuation of the foreign currency (exchange rate shock).</w:t>
      </w:r>
    </w:p>
    <w:p>
      <w:pPr>
        <w:spacing w:after="0" w:line="241" w:lineRule="exact"/>
        <w:rPr>
          <w:sz w:val="20"/>
          <w:szCs w:val="20"/>
          <w:color w:val="auto"/>
        </w:rPr>
      </w:pPr>
    </w:p>
    <w:p>
      <w:pPr>
        <w:ind w:left="1140" w:right="20"/>
        <w:spacing w:after="0" w:line="257" w:lineRule="auto"/>
        <w:rPr>
          <w:sz w:val="20"/>
          <w:szCs w:val="20"/>
          <w:color w:val="auto"/>
        </w:rPr>
      </w:pPr>
      <w:r>
        <w:rPr>
          <w:rFonts w:ascii="Arial" w:cs="Arial" w:eastAsia="Arial" w:hAnsi="Arial"/>
          <w:sz w:val="18"/>
          <w:szCs w:val="18"/>
          <w:color w:val="auto"/>
        </w:rPr>
        <w:t>The table below shows the sensitivity analysis of the Peruvian Currency, the currency to which the Group had significant exposure as of December 31, 2007 and 2006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74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Change in</w:t>
            </w: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3900" w:type="dxa"/>
            <w:vAlign w:val="bottom"/>
            <w:gridSpan w:val="2"/>
          </w:tcPr>
          <w:p>
            <w:pPr>
              <w:ind w:left="1140"/>
              <w:spacing w:after="0"/>
              <w:rPr>
                <w:sz w:val="20"/>
                <w:szCs w:val="20"/>
                <w:color w:val="auto"/>
              </w:rPr>
            </w:pPr>
            <w:r>
              <w:rPr>
                <w:rFonts w:ascii="Arial" w:cs="Arial" w:eastAsia="Arial" w:hAnsi="Arial"/>
                <w:sz w:val="18"/>
                <w:szCs w:val="18"/>
                <w:b w:val="1"/>
                <w:bCs w:val="1"/>
                <w:color w:val="auto"/>
              </w:rPr>
              <w:t>Sensitivity Analysis</w:t>
            </w:r>
          </w:p>
        </w:tc>
        <w:tc>
          <w:tcPr>
            <w:tcW w:w="2740" w:type="dxa"/>
            <w:vAlign w:val="bottom"/>
          </w:tcPr>
          <w:p>
            <w:pPr>
              <w:jc w:val="center"/>
              <w:ind w:left="850"/>
              <w:spacing w:after="0"/>
              <w:rPr>
                <w:sz w:val="20"/>
                <w:szCs w:val="20"/>
                <w:color w:val="auto"/>
              </w:rPr>
            </w:pPr>
            <w:r>
              <w:rPr>
                <w:rFonts w:ascii="Arial" w:cs="Arial" w:eastAsia="Arial" w:hAnsi="Arial"/>
                <w:sz w:val="18"/>
                <w:szCs w:val="18"/>
                <w:b w:val="1"/>
                <w:bCs w:val="1"/>
                <w:color w:val="auto"/>
                <w:w w:val="90"/>
              </w:rPr>
              <w:t>currency rates</w:t>
            </w: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2007</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206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74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US$(000)</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1"/>
                <w:szCs w:val="21"/>
                <w:color w:val="auto"/>
              </w:rPr>
            </w:pPr>
          </w:p>
        </w:tc>
      </w:tr>
      <w:tr>
        <w:trPr>
          <w:trHeight w:val="243"/>
        </w:trPr>
        <w:tc>
          <w:tcPr>
            <w:tcW w:w="390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Devaluation -</w:t>
            </w:r>
          </w:p>
        </w:tc>
        <w:tc>
          <w:tcPr>
            <w:tcW w:w="274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900" w:type="dxa"/>
            <w:vAlign w:val="bottom"/>
            <w:gridSpan w:val="2"/>
          </w:tcPr>
          <w:p>
            <w:pPr>
              <w:ind w:left="1140"/>
              <w:spacing w:after="0"/>
              <w:rPr>
                <w:sz w:val="20"/>
                <w:szCs w:val="20"/>
                <w:color w:val="auto"/>
              </w:rPr>
            </w:pPr>
            <w:r>
              <w:rPr>
                <w:rFonts w:ascii="Arial" w:cs="Arial" w:eastAsia="Arial" w:hAnsi="Arial"/>
                <w:sz w:val="18"/>
                <w:szCs w:val="18"/>
                <w:color w:val="auto"/>
              </w:rPr>
              <w:t>Peruvian Currency</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(51,636)</w:t>
            </w:r>
          </w:p>
        </w:tc>
        <w:tc>
          <w:tcPr>
            <w:tcW w:w="1280" w:type="dxa"/>
            <w:vAlign w:val="bottom"/>
          </w:tcPr>
          <w:p>
            <w:pPr>
              <w:jc w:val="right"/>
              <w:spacing w:after="0"/>
              <w:rPr>
                <w:sz w:val="20"/>
                <w:szCs w:val="20"/>
                <w:color w:val="auto"/>
              </w:rPr>
            </w:pPr>
            <w:r>
              <w:rPr>
                <w:rFonts w:ascii="Arial" w:cs="Arial" w:eastAsia="Arial" w:hAnsi="Arial"/>
                <w:sz w:val="18"/>
                <w:szCs w:val="18"/>
                <w:color w:val="auto"/>
              </w:rPr>
              <w:t>(38,561)</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7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w:t>
            </w:r>
          </w:p>
        </w:tc>
        <w:tc>
          <w:tcPr>
            <w:tcW w:w="14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(109,009)</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(81,407)</w:t>
            </w:r>
          </w:p>
        </w:tc>
        <w:tc>
          <w:tcPr>
            <w:tcW w:w="2060" w:type="dxa"/>
            <w:vAlign w:val="bottom"/>
          </w:tcPr>
          <w:p>
            <w:pPr>
              <w:spacing w:after="0"/>
              <w:rPr>
                <w:sz w:val="21"/>
                <w:szCs w:val="21"/>
                <w:color w:val="auto"/>
              </w:rPr>
            </w:pPr>
          </w:p>
        </w:tc>
      </w:tr>
      <w:tr>
        <w:trPr>
          <w:trHeight w:val="243"/>
        </w:trPr>
        <w:tc>
          <w:tcPr>
            <w:tcW w:w="390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Revaluation -</w:t>
            </w:r>
          </w:p>
        </w:tc>
        <w:tc>
          <w:tcPr>
            <w:tcW w:w="274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3900" w:type="dxa"/>
            <w:vAlign w:val="bottom"/>
            <w:gridSpan w:val="2"/>
          </w:tcPr>
          <w:p>
            <w:pPr>
              <w:ind w:left="1140"/>
              <w:spacing w:after="0"/>
              <w:rPr>
                <w:sz w:val="20"/>
                <w:szCs w:val="20"/>
                <w:color w:val="auto"/>
              </w:rPr>
            </w:pPr>
            <w:r>
              <w:rPr>
                <w:rFonts w:ascii="Arial" w:cs="Arial" w:eastAsia="Arial" w:hAnsi="Arial"/>
                <w:sz w:val="18"/>
                <w:szCs w:val="18"/>
                <w:color w:val="auto"/>
              </w:rPr>
              <w:t>Peruvian Currency</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46,718</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34,889</w:t>
            </w:r>
          </w:p>
        </w:tc>
        <w:tc>
          <w:tcPr>
            <w:tcW w:w="20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7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w:t>
            </w:r>
          </w:p>
        </w:tc>
        <w:tc>
          <w:tcPr>
            <w:tcW w:w="14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89,189</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66,605</w:t>
            </w:r>
          </w:p>
        </w:tc>
        <w:tc>
          <w:tcPr>
            <w:tcW w:w="2060" w:type="dxa"/>
            <w:vAlign w:val="bottom"/>
          </w:tcPr>
          <w:p>
            <w:pPr>
              <w:spacing w:after="0"/>
              <w:rPr>
                <w:sz w:val="21"/>
                <w:szCs w:val="21"/>
                <w:color w:val="auto"/>
              </w:rPr>
            </w:pPr>
          </w:p>
        </w:tc>
      </w:tr>
      <w:tr>
        <w:trPr>
          <w:trHeight w:val="486"/>
        </w:trPr>
        <w:tc>
          <w:tcPr>
            <w:tcW w:w="1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tcPr>
          <w:p>
            <w:pPr>
              <w:jc w:val="right"/>
              <w:ind w:right="630"/>
              <w:spacing w:after="0"/>
              <w:rPr>
                <w:sz w:val="20"/>
                <w:szCs w:val="20"/>
                <w:color w:val="auto"/>
              </w:rPr>
            </w:pPr>
            <w:r>
              <w:rPr>
                <w:rFonts w:ascii="Arial" w:cs="Arial" w:eastAsia="Arial" w:hAnsi="Arial"/>
                <w:sz w:val="18"/>
                <w:szCs w:val="18"/>
                <w:color w:val="auto"/>
              </w:rPr>
              <w:t>F-119</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Liquidity risk -</w:t>
      </w:r>
    </w:p>
    <w:p>
      <w:pPr>
        <w:spacing w:after="0" w:line="27"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244"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232"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23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224" w:lineRule="exact"/>
        <w:rPr>
          <w:sz w:val="20"/>
          <w:szCs w:val="20"/>
          <w:color w:val="auto"/>
        </w:rPr>
      </w:pPr>
    </w:p>
    <w:p>
      <w:pPr>
        <w:ind w:left="660" w:right="42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4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 maturity mismatch, long-term illiquid assets against short-term liabilities, exposes a consolidated balance sheet to risks related both to rollover and to interest rates. If liquid assets do not cover maturing debts, a balance sheet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table below presents the cash flows payable by the Group by remaining contractual maturities at the consolidated balance sheets dates. The amounts disclosed in the table are the contractual undiscounted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1"/>
                <w:szCs w:val="11"/>
                <w:b w:val="1"/>
                <w:bCs w:val="1"/>
                <w:color w:val="auto"/>
                <w:w w:val="89"/>
              </w:rPr>
              <w:t>As of December 31, 2007</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As of December 31, 2006</w:t>
            </w:r>
          </w:p>
        </w:tc>
        <w:tc>
          <w:tcPr>
            <w:tcW w:w="5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From 3 to 12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Over 5</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1"/>
              </w:rPr>
              <w:t>Up to a</w:t>
            </w:r>
          </w:p>
        </w:tc>
        <w:tc>
          <w:tcPr>
            <w:tcW w:w="9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From 3 to 12</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Over 5</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From 1 to 3 months</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5"/>
              </w:rPr>
              <w:t>From 1 to 5 years</w:t>
            </w:r>
          </w:p>
        </w:tc>
        <w:tc>
          <w:tcPr>
            <w:tcW w:w="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years</w:t>
            </w:r>
          </w:p>
        </w:tc>
        <w:tc>
          <w:tcPr>
            <w:tcW w:w="640" w:type="dxa"/>
            <w:vAlign w:val="bottom"/>
          </w:tcPr>
          <w:p>
            <w:pPr>
              <w:jc w:val="right"/>
              <w:ind w:right="146"/>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2"/>
                <w:szCs w:val="12"/>
                <w:color w:val="auto"/>
              </w:rPr>
            </w:pPr>
          </w:p>
        </w:tc>
        <w:tc>
          <w:tcPr>
            <w:tcW w:w="72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month</w:t>
            </w:r>
          </w:p>
        </w:tc>
        <w:tc>
          <w:tcPr>
            <w:tcW w:w="980" w:type="dxa"/>
            <w:vAlign w:val="bottom"/>
          </w:tcPr>
          <w:p>
            <w:pPr>
              <w:jc w:val="right"/>
              <w:ind w:right="26"/>
              <w:spacing w:after="0"/>
              <w:rPr>
                <w:sz w:val="20"/>
                <w:szCs w:val="20"/>
                <w:color w:val="auto"/>
              </w:rPr>
            </w:pPr>
            <w:r>
              <w:rPr>
                <w:rFonts w:ascii="Arial" w:cs="Arial" w:eastAsia="Arial" w:hAnsi="Arial"/>
                <w:sz w:val="11"/>
                <w:szCs w:val="11"/>
                <w:b w:val="1"/>
                <w:bCs w:val="1"/>
                <w:color w:val="auto"/>
                <w:w w:val="86"/>
              </w:rPr>
              <w:t>From 1 to 3 months</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months</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From 1 to 5 years</w:t>
            </w: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years</w:t>
            </w:r>
          </w:p>
        </w:tc>
        <w:tc>
          <w:tcPr>
            <w:tcW w:w="600" w:type="dxa"/>
            <w:vAlign w:val="bottom"/>
          </w:tcPr>
          <w:p>
            <w:pPr>
              <w:jc w:val="right"/>
              <w:ind w:right="1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6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US$(000)</w:t>
            </w:r>
          </w:p>
        </w:tc>
        <w:tc>
          <w:tcPr>
            <w:tcW w:w="80" w:type="dxa"/>
            <w:vAlign w:val="bottom"/>
          </w:tcPr>
          <w:p>
            <w:pPr>
              <w:spacing w:after="0"/>
              <w:rPr>
                <w:sz w:val="11"/>
                <w:szCs w:val="11"/>
                <w:color w:val="auto"/>
              </w:rPr>
            </w:pPr>
          </w:p>
        </w:tc>
        <w:tc>
          <w:tcPr>
            <w:tcW w:w="720" w:type="dxa"/>
            <w:vAlign w:val="bottom"/>
          </w:tcPr>
          <w:p>
            <w:pPr>
              <w:jc w:val="center"/>
              <w:ind w:right="46"/>
              <w:spacing w:after="0"/>
              <w:rPr>
                <w:sz w:val="20"/>
                <w:szCs w:val="20"/>
                <w:color w:val="auto"/>
              </w:rPr>
            </w:pPr>
            <w:r>
              <w:rPr>
                <w:rFonts w:ascii="Arial" w:cs="Arial" w:eastAsia="Arial" w:hAnsi="Arial"/>
                <w:sz w:val="11"/>
                <w:szCs w:val="11"/>
                <w:color w:val="auto"/>
                <w:w w:val="89"/>
              </w:rPr>
              <w:t>US$(000)</w:t>
            </w:r>
          </w:p>
        </w:tc>
        <w:tc>
          <w:tcPr>
            <w:tcW w:w="980" w:type="dxa"/>
            <w:vAlign w:val="bottom"/>
          </w:tcPr>
          <w:p>
            <w:pPr>
              <w:jc w:val="right"/>
              <w:ind w:right="266"/>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90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1180" w:type="dxa"/>
            <w:vAlign w:val="bottom"/>
            <w:gridSpan w:val="2"/>
          </w:tcPr>
          <w:p>
            <w:pPr>
              <w:jc w:val="right"/>
              <w:ind w:right="66"/>
              <w:spacing w:after="0"/>
              <w:rPr>
                <w:sz w:val="20"/>
                <w:szCs w:val="20"/>
                <w:color w:val="auto"/>
              </w:rPr>
            </w:pPr>
            <w:r>
              <w:rPr>
                <w:rFonts w:ascii="Arial" w:cs="Arial" w:eastAsia="Arial" w:hAnsi="Arial"/>
                <w:sz w:val="11"/>
                <w:szCs w:val="11"/>
                <w:color w:val="auto"/>
              </w:rPr>
              <w:t>US$(000)   US$(000)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1"/>
                <w:szCs w:val="11"/>
                <w:color w:val="auto"/>
              </w:rPr>
              <w:t>Deposits and obligations</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3,509,461</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1,785,348</w:t>
            </w: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3,914,794</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2,602,403</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298,750</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12,110,756</w:t>
            </w:r>
          </w:p>
        </w:tc>
        <w:tc>
          <w:tcPr>
            <w:tcW w:w="800" w:type="dxa"/>
            <w:vAlign w:val="bottom"/>
            <w:tcBorders>
              <w:right w:val="single" w:sz="8" w:color="CCFFCC"/>
            </w:tcBorders>
            <w:gridSpan w:val="2"/>
            <w:shd w:val="clear" w:color="auto" w:fill="CCFFCC"/>
          </w:tcPr>
          <w:p>
            <w:pPr>
              <w:jc w:val="right"/>
              <w:ind w:right="46"/>
              <w:spacing w:after="0"/>
              <w:rPr>
                <w:sz w:val="20"/>
                <w:szCs w:val="20"/>
                <w:color w:val="auto"/>
              </w:rPr>
            </w:pPr>
            <w:r>
              <w:rPr>
                <w:rFonts w:ascii="Arial" w:cs="Arial" w:eastAsia="Arial" w:hAnsi="Arial"/>
                <w:sz w:val="11"/>
                <w:szCs w:val="11"/>
                <w:color w:val="auto"/>
              </w:rPr>
              <w:t>2,301,949</w:t>
            </w:r>
          </w:p>
        </w:tc>
        <w:tc>
          <w:tcPr>
            <w:tcW w:w="98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1,331,413</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3,076,991</w:t>
            </w: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2,081,960</w:t>
            </w:r>
          </w:p>
        </w:tc>
        <w:tc>
          <w:tcPr>
            <w:tcW w:w="80" w:type="dxa"/>
            <w:vAlign w:val="bottom"/>
            <w:shd w:val="clear" w:color="auto" w:fill="CCFFCC"/>
          </w:tcPr>
          <w:p>
            <w:pPr>
              <w:spacing w:after="0"/>
              <w:rPr>
                <w:sz w:val="11"/>
                <w:szCs w:val="11"/>
                <w:color w:val="auto"/>
              </w:rPr>
            </w:pP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279,408</w:t>
            </w:r>
          </w:p>
        </w:tc>
        <w:tc>
          <w:tcPr>
            <w:tcW w:w="6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9,071,721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line="125" w:lineRule="exact"/>
              <w:rPr>
                <w:sz w:val="20"/>
                <w:szCs w:val="20"/>
                <w:color w:val="auto"/>
              </w:rPr>
            </w:pPr>
            <w:r>
              <w:rPr>
                <w:rFonts w:ascii="Arial" w:cs="Arial" w:eastAsia="Arial" w:hAnsi="Arial"/>
                <w:sz w:val="11"/>
                <w:szCs w:val="11"/>
                <w:color w:val="auto"/>
                <w:w w:val="96"/>
              </w:rPr>
              <w:t>Financials liabilities designated at fair value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80" w:type="dxa"/>
            <w:vAlign w:val="bottom"/>
            <w:gridSpan w:val="2"/>
          </w:tcPr>
          <w:p>
            <w:pPr>
              <w:spacing w:after="0"/>
              <w:rPr>
                <w:sz w:val="20"/>
                <w:szCs w:val="20"/>
                <w:color w:val="auto"/>
              </w:rPr>
            </w:pPr>
            <w:r>
              <w:rPr>
                <w:rFonts w:ascii="Arial" w:cs="Arial" w:eastAsia="Arial" w:hAnsi="Arial"/>
                <w:sz w:val="11"/>
                <w:szCs w:val="11"/>
                <w:color w:val="auto"/>
              </w:rPr>
              <w:t>through profit and loss</w:t>
            </w:r>
          </w:p>
        </w:tc>
        <w:tc>
          <w:tcPr>
            <w:tcW w:w="660" w:type="dxa"/>
            <w:vAlign w:val="bottom"/>
          </w:tcPr>
          <w:p>
            <w:pPr>
              <w:jc w:val="right"/>
              <w:spacing w:after="0"/>
              <w:rPr>
                <w:sz w:val="20"/>
                <w:szCs w:val="20"/>
                <w:color w:val="auto"/>
              </w:rPr>
            </w:pPr>
            <w:r>
              <w:rPr>
                <w:rFonts w:ascii="Arial" w:cs="Arial" w:eastAsia="Arial" w:hAnsi="Arial"/>
                <w:sz w:val="11"/>
                <w:szCs w:val="11"/>
                <w:color w:val="auto"/>
              </w:rPr>
              <w:t>266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2,448</w:t>
            </w: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auto"/>
              </w:rPr>
              <w:t>65,063</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68,311</w:t>
            </w:r>
          </w:p>
        </w:tc>
        <w:tc>
          <w:tcPr>
            <w:tcW w:w="8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1"/>
                <w:szCs w:val="11"/>
                <w:color w:val="auto"/>
              </w:rPr>
              <w:t>Due to bank and correspondents and</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tcBorders>
              <w:right w:val="single" w:sz="8" w:color="CCFFCC"/>
            </w:tcBorders>
            <w:shd w:val="clear" w:color="auto" w:fill="CCFFCC"/>
          </w:tcPr>
          <w:p>
            <w:pPr>
              <w:spacing w:after="0"/>
              <w:rPr>
                <w:sz w:val="11"/>
                <w:szCs w:val="11"/>
                <w:color w:val="auto"/>
              </w:rPr>
            </w:pPr>
          </w:p>
        </w:tc>
        <w:tc>
          <w:tcPr>
            <w:tcW w:w="980" w:type="dxa"/>
            <w:vAlign w:val="bottom"/>
            <w:tcBorders>
              <w:right w:val="single" w:sz="8" w:color="CCFFCC"/>
            </w:tcBorders>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tcBorders>
              <w:right w:val="single" w:sz="8" w:color="CCFFCC"/>
            </w:tcBorders>
            <w:shd w:val="clear" w:color="auto" w:fill="CCFFCC"/>
          </w:tcPr>
          <w:p>
            <w:pPr>
              <w:spacing w:after="0"/>
              <w:rPr>
                <w:sz w:val="11"/>
                <w:szCs w:val="11"/>
                <w:color w:val="auto"/>
              </w:rPr>
            </w:pPr>
          </w:p>
        </w:tc>
        <w:tc>
          <w:tcPr>
            <w:tcW w:w="600" w:type="dxa"/>
            <w:vAlign w:val="bottom"/>
            <w:tcBorders>
              <w:righ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1"/>
                <w:szCs w:val="11"/>
                <w:color w:val="auto"/>
              </w:rPr>
              <w:t>Borrowed funds</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274,279</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524,809</w:t>
            </w:r>
          </w:p>
        </w:tc>
        <w:tc>
          <w:tcPr>
            <w:tcW w:w="10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486,328</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1,053,649</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529,040</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2,868,105</w:t>
            </w:r>
          </w:p>
        </w:tc>
        <w:tc>
          <w:tcPr>
            <w:tcW w:w="800" w:type="dxa"/>
            <w:vAlign w:val="bottom"/>
            <w:tcBorders>
              <w:right w:val="single" w:sz="8" w:color="CCFFCC"/>
            </w:tcBorders>
            <w:gridSpan w:val="2"/>
            <w:shd w:val="clear" w:color="auto" w:fill="CCFFCC"/>
          </w:tcPr>
          <w:p>
            <w:pPr>
              <w:jc w:val="right"/>
              <w:ind w:right="46"/>
              <w:spacing w:after="0"/>
              <w:rPr>
                <w:sz w:val="20"/>
                <w:szCs w:val="20"/>
                <w:color w:val="auto"/>
              </w:rPr>
            </w:pPr>
            <w:r>
              <w:rPr>
                <w:rFonts w:ascii="Arial" w:cs="Arial" w:eastAsia="Arial" w:hAnsi="Arial"/>
                <w:sz w:val="11"/>
                <w:szCs w:val="11"/>
                <w:color w:val="auto"/>
              </w:rPr>
              <w:t>406,477</w:t>
            </w:r>
          </w:p>
        </w:tc>
        <w:tc>
          <w:tcPr>
            <w:tcW w:w="98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143,327</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254,160</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369,532</w:t>
            </w:r>
          </w:p>
        </w:tc>
        <w:tc>
          <w:tcPr>
            <w:tcW w:w="80" w:type="dxa"/>
            <w:vAlign w:val="bottom"/>
            <w:shd w:val="clear" w:color="auto" w:fill="CCFFCC"/>
          </w:tcPr>
          <w:p>
            <w:pPr>
              <w:spacing w:after="0"/>
              <w:rPr>
                <w:sz w:val="12"/>
                <w:szCs w:val="12"/>
                <w:color w:val="auto"/>
              </w:rPr>
            </w:pP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502,056</w:t>
            </w:r>
          </w:p>
        </w:tc>
        <w:tc>
          <w:tcPr>
            <w:tcW w:w="6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1,675,552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line="125" w:lineRule="exact"/>
              <w:rPr>
                <w:sz w:val="20"/>
                <w:szCs w:val="20"/>
                <w:color w:val="auto"/>
              </w:rPr>
            </w:pPr>
            <w:r>
              <w:rPr>
                <w:rFonts w:ascii="Arial" w:cs="Arial" w:eastAsia="Arial" w:hAnsi="Arial"/>
                <w:sz w:val="11"/>
                <w:szCs w:val="11"/>
                <w:color w:val="auto"/>
              </w:rPr>
              <w:t>Accounts payable to re-insurer and co-</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80" w:type="dxa"/>
            <w:vAlign w:val="bottom"/>
            <w:gridSpan w:val="2"/>
          </w:tcPr>
          <w:p>
            <w:pPr>
              <w:spacing w:after="0"/>
              <w:rPr>
                <w:sz w:val="20"/>
                <w:szCs w:val="20"/>
                <w:color w:val="auto"/>
              </w:rPr>
            </w:pPr>
            <w:r>
              <w:rPr>
                <w:rFonts w:ascii="Arial" w:cs="Arial" w:eastAsia="Arial" w:hAnsi="Arial"/>
                <w:sz w:val="11"/>
                <w:szCs w:val="11"/>
                <w:color w:val="auto"/>
              </w:rPr>
              <w:t>insurers</w:t>
            </w:r>
          </w:p>
        </w:tc>
        <w:tc>
          <w:tcPr>
            <w:tcW w:w="660" w:type="dxa"/>
            <w:vAlign w:val="bottom"/>
          </w:tcPr>
          <w:p>
            <w:pPr>
              <w:jc w:val="right"/>
              <w:spacing w:after="0"/>
              <w:rPr>
                <w:sz w:val="20"/>
                <w:szCs w:val="20"/>
                <w:color w:val="auto"/>
              </w:rPr>
            </w:pPr>
            <w:r>
              <w:rPr>
                <w:rFonts w:ascii="Arial" w:cs="Arial" w:eastAsia="Arial" w:hAnsi="Arial"/>
                <w:sz w:val="11"/>
                <w:szCs w:val="11"/>
                <w:color w:val="auto"/>
              </w:rPr>
              <w:t>3,507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10,840</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7,412</w:t>
            </w: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auto"/>
              </w:rPr>
              <w:t>155</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21,914</w:t>
            </w:r>
          </w:p>
        </w:tc>
        <w:tc>
          <w:tcPr>
            <w:tcW w:w="800" w:type="dxa"/>
            <w:vAlign w:val="bottom"/>
            <w:gridSpan w:val="2"/>
          </w:tcPr>
          <w:p>
            <w:pPr>
              <w:jc w:val="right"/>
              <w:ind w:right="46"/>
              <w:spacing w:after="0"/>
              <w:rPr>
                <w:sz w:val="20"/>
                <w:szCs w:val="20"/>
                <w:color w:val="auto"/>
              </w:rPr>
            </w:pPr>
            <w:r>
              <w:rPr>
                <w:rFonts w:ascii="Arial" w:cs="Arial" w:eastAsia="Arial" w:hAnsi="Arial"/>
                <w:sz w:val="11"/>
                <w:szCs w:val="11"/>
                <w:color w:val="auto"/>
              </w:rPr>
              <w:t>9,395</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6,022</w:t>
            </w:r>
          </w:p>
        </w:tc>
        <w:tc>
          <w:tcPr>
            <w:tcW w:w="640" w:type="dxa"/>
            <w:vAlign w:val="bottom"/>
          </w:tcPr>
          <w:p>
            <w:pPr>
              <w:jc w:val="right"/>
              <w:spacing w:after="0"/>
              <w:rPr>
                <w:sz w:val="20"/>
                <w:szCs w:val="20"/>
                <w:color w:val="auto"/>
              </w:rPr>
            </w:pPr>
            <w:r>
              <w:rPr>
                <w:rFonts w:ascii="Arial" w:cs="Arial" w:eastAsia="Arial" w:hAnsi="Arial"/>
                <w:sz w:val="11"/>
                <w:szCs w:val="11"/>
                <w:color w:val="auto"/>
              </w:rPr>
              <w:t>8,927</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790</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25,134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1"/>
                <w:szCs w:val="11"/>
                <w:color w:val="auto"/>
              </w:rPr>
              <w:t>Technical, insurance claims reserves and</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tcBorders>
              <w:right w:val="single" w:sz="8" w:color="CCFFCC"/>
            </w:tcBorders>
            <w:shd w:val="clear" w:color="auto" w:fill="CCFFCC"/>
          </w:tcPr>
          <w:p>
            <w:pPr>
              <w:spacing w:after="0"/>
              <w:rPr>
                <w:sz w:val="11"/>
                <w:szCs w:val="11"/>
                <w:color w:val="auto"/>
              </w:rPr>
            </w:pPr>
          </w:p>
        </w:tc>
        <w:tc>
          <w:tcPr>
            <w:tcW w:w="980" w:type="dxa"/>
            <w:vAlign w:val="bottom"/>
            <w:tcBorders>
              <w:right w:val="single" w:sz="8" w:color="CCFFCC"/>
            </w:tcBorders>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tcBorders>
              <w:right w:val="single" w:sz="8" w:color="CCFFCC"/>
            </w:tcBorders>
            <w:shd w:val="clear" w:color="auto" w:fill="CCFFCC"/>
          </w:tcPr>
          <w:p>
            <w:pPr>
              <w:spacing w:after="0"/>
              <w:rPr>
                <w:sz w:val="11"/>
                <w:szCs w:val="11"/>
                <w:color w:val="auto"/>
              </w:rPr>
            </w:pPr>
          </w:p>
        </w:tc>
        <w:tc>
          <w:tcPr>
            <w:tcW w:w="600" w:type="dxa"/>
            <w:vAlign w:val="bottom"/>
            <w:tcBorders>
              <w:righ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1"/>
                <w:szCs w:val="11"/>
                <w:color w:val="auto"/>
              </w:rPr>
              <w:t>reserves for unearned premiums</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77,047</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100,991</w:t>
            </w:r>
          </w:p>
        </w:tc>
        <w:tc>
          <w:tcPr>
            <w:tcW w:w="10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184,769</w:t>
            </w:r>
          </w:p>
        </w:tc>
        <w:tc>
          <w:tcPr>
            <w:tcW w:w="100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165,095</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558,301</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1,086,203</w:t>
            </w:r>
          </w:p>
        </w:tc>
        <w:tc>
          <w:tcPr>
            <w:tcW w:w="800" w:type="dxa"/>
            <w:vAlign w:val="bottom"/>
            <w:tcBorders>
              <w:right w:val="single" w:sz="8" w:color="CCFFCC"/>
            </w:tcBorders>
            <w:gridSpan w:val="2"/>
            <w:shd w:val="clear" w:color="auto" w:fill="CCFFCC"/>
          </w:tcPr>
          <w:p>
            <w:pPr>
              <w:jc w:val="right"/>
              <w:ind w:right="46"/>
              <w:spacing w:after="0"/>
              <w:rPr>
                <w:sz w:val="20"/>
                <w:szCs w:val="20"/>
                <w:color w:val="auto"/>
              </w:rPr>
            </w:pPr>
            <w:r>
              <w:rPr>
                <w:rFonts w:ascii="Arial" w:cs="Arial" w:eastAsia="Arial" w:hAnsi="Arial"/>
                <w:sz w:val="11"/>
                <w:szCs w:val="11"/>
                <w:color w:val="auto"/>
              </w:rPr>
              <w:t>168,181</w:t>
            </w:r>
          </w:p>
        </w:tc>
        <w:tc>
          <w:tcPr>
            <w:tcW w:w="98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13,169</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60,065</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128,492</w:t>
            </w:r>
          </w:p>
        </w:tc>
        <w:tc>
          <w:tcPr>
            <w:tcW w:w="80" w:type="dxa"/>
            <w:vAlign w:val="bottom"/>
            <w:shd w:val="clear" w:color="auto" w:fill="CCFFCC"/>
          </w:tcPr>
          <w:p>
            <w:pPr>
              <w:spacing w:after="0"/>
              <w:rPr>
                <w:sz w:val="12"/>
                <w:szCs w:val="12"/>
                <w:color w:val="auto"/>
              </w:rPr>
            </w:pP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510,284</w:t>
            </w:r>
          </w:p>
        </w:tc>
        <w:tc>
          <w:tcPr>
            <w:tcW w:w="6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880,191</w:t>
            </w:r>
          </w:p>
        </w:tc>
        <w:tc>
          <w:tcPr>
            <w:tcW w:w="0" w:type="dxa"/>
            <w:vAlign w:val="bottom"/>
          </w:tcPr>
          <w:p>
            <w:pPr>
              <w:spacing w:after="0"/>
              <w:rPr>
                <w:sz w:val="1"/>
                <w:szCs w:val="1"/>
                <w:color w:val="auto"/>
              </w:rPr>
            </w:pPr>
          </w:p>
        </w:tc>
      </w:tr>
      <w:tr>
        <w:trPr>
          <w:trHeight w:val="239"/>
        </w:trPr>
        <w:tc>
          <w:tcPr>
            <w:tcW w:w="2080" w:type="dxa"/>
            <w:vAlign w:val="bottom"/>
            <w:gridSpan w:val="2"/>
          </w:tcPr>
          <w:p>
            <w:pPr>
              <w:spacing w:after="0"/>
              <w:rPr>
                <w:sz w:val="20"/>
                <w:szCs w:val="20"/>
                <w:color w:val="auto"/>
              </w:rPr>
            </w:pPr>
            <w:r>
              <w:rPr>
                <w:rFonts w:ascii="Arial" w:cs="Arial" w:eastAsia="Arial" w:hAnsi="Arial"/>
                <w:sz w:val="11"/>
                <w:szCs w:val="11"/>
                <w:color w:val="auto"/>
              </w:rPr>
              <w:t>Bonds and subordinates notes issued</w:t>
            </w:r>
          </w:p>
        </w:tc>
        <w:tc>
          <w:tcPr>
            <w:tcW w:w="660" w:type="dxa"/>
            <w:vAlign w:val="bottom"/>
          </w:tcPr>
          <w:p>
            <w:pPr>
              <w:jc w:val="right"/>
              <w:spacing w:after="0"/>
              <w:rPr>
                <w:sz w:val="20"/>
                <w:szCs w:val="20"/>
                <w:color w:val="auto"/>
              </w:rPr>
            </w:pPr>
            <w:r>
              <w:rPr>
                <w:rFonts w:ascii="Arial" w:cs="Arial" w:eastAsia="Arial" w:hAnsi="Arial"/>
                <w:sz w:val="11"/>
                <w:szCs w:val="11"/>
                <w:color w:val="auto"/>
              </w:rPr>
              <w:t>48,867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43,071</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104,174</w:t>
            </w: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auto"/>
              </w:rPr>
              <w:t>315,911</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426,688</w:t>
            </w:r>
          </w:p>
        </w:tc>
        <w:tc>
          <w:tcPr>
            <w:tcW w:w="640" w:type="dxa"/>
            <w:vAlign w:val="bottom"/>
          </w:tcPr>
          <w:p>
            <w:pPr>
              <w:jc w:val="right"/>
              <w:spacing w:after="0"/>
              <w:rPr>
                <w:sz w:val="20"/>
                <w:szCs w:val="20"/>
                <w:color w:val="auto"/>
              </w:rPr>
            </w:pPr>
            <w:r>
              <w:rPr>
                <w:rFonts w:ascii="Arial" w:cs="Arial" w:eastAsia="Arial" w:hAnsi="Arial"/>
                <w:sz w:val="11"/>
                <w:szCs w:val="11"/>
                <w:color w:val="auto"/>
              </w:rPr>
              <w:t>938,711</w:t>
            </w:r>
          </w:p>
        </w:tc>
        <w:tc>
          <w:tcPr>
            <w:tcW w:w="800" w:type="dxa"/>
            <w:vAlign w:val="bottom"/>
            <w:gridSpan w:val="2"/>
          </w:tcPr>
          <w:p>
            <w:pPr>
              <w:jc w:val="right"/>
              <w:ind w:right="46"/>
              <w:spacing w:after="0"/>
              <w:rPr>
                <w:sz w:val="20"/>
                <w:szCs w:val="20"/>
                <w:color w:val="auto"/>
              </w:rPr>
            </w:pPr>
            <w:r>
              <w:rPr>
                <w:rFonts w:ascii="Arial" w:cs="Arial" w:eastAsia="Arial" w:hAnsi="Arial"/>
                <w:sz w:val="11"/>
                <w:szCs w:val="11"/>
                <w:color w:val="auto"/>
              </w:rPr>
              <w:t>42,751</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10,354</w:t>
            </w:r>
          </w:p>
        </w:tc>
        <w:tc>
          <w:tcPr>
            <w:tcW w:w="640" w:type="dxa"/>
            <w:vAlign w:val="bottom"/>
          </w:tcPr>
          <w:p>
            <w:pPr>
              <w:jc w:val="right"/>
              <w:spacing w:after="0"/>
              <w:rPr>
                <w:sz w:val="20"/>
                <w:szCs w:val="20"/>
                <w:color w:val="auto"/>
              </w:rPr>
            </w:pPr>
            <w:r>
              <w:rPr>
                <w:rFonts w:ascii="Arial" w:cs="Arial" w:eastAsia="Arial" w:hAnsi="Arial"/>
                <w:sz w:val="11"/>
                <w:szCs w:val="11"/>
                <w:color w:val="auto"/>
              </w:rPr>
              <w:t>110,275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478,798</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47,861</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690,039</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3"/>
                <w:szCs w:val="23"/>
                <w:color w:val="auto"/>
              </w:rPr>
            </w:pPr>
          </w:p>
        </w:tc>
        <w:tc>
          <w:tcPr>
            <w:tcW w:w="20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1"/>
                <w:szCs w:val="11"/>
                <w:color w:val="auto"/>
              </w:rPr>
              <w:t>Other liabilities</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30,464</w:t>
            </w:r>
          </w:p>
        </w:tc>
        <w:tc>
          <w:tcPr>
            <w:tcW w:w="10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1"/>
                <w:szCs w:val="11"/>
                <w:color w:val="auto"/>
              </w:rPr>
              <w:t>23,993</w:t>
            </w:r>
          </w:p>
        </w:tc>
        <w:tc>
          <w:tcPr>
            <w:tcW w:w="10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367,922</w:t>
            </w:r>
          </w:p>
        </w:tc>
        <w:tc>
          <w:tcPr>
            <w:tcW w:w="100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83,492</w:t>
            </w:r>
          </w:p>
        </w:tc>
        <w:tc>
          <w:tcPr>
            <w:tcW w:w="7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505,871</w:t>
            </w:r>
          </w:p>
        </w:tc>
        <w:tc>
          <w:tcPr>
            <w:tcW w:w="800" w:type="dxa"/>
            <w:vAlign w:val="bottom"/>
            <w:tcBorders>
              <w:bottom w:val="single" w:sz="8" w:color="CCFFCC"/>
              <w:right w:val="single" w:sz="8" w:color="CCFFCC"/>
            </w:tcBorders>
            <w:gridSpan w:val="2"/>
            <w:shd w:val="clear" w:color="auto" w:fill="CCFFCC"/>
          </w:tcPr>
          <w:p>
            <w:pPr>
              <w:jc w:val="right"/>
              <w:ind w:right="46"/>
              <w:spacing w:after="0"/>
              <w:rPr>
                <w:sz w:val="20"/>
                <w:szCs w:val="20"/>
                <w:color w:val="auto"/>
              </w:rPr>
            </w:pPr>
            <w:r>
              <w:rPr>
                <w:rFonts w:ascii="Arial" w:cs="Arial" w:eastAsia="Arial" w:hAnsi="Arial"/>
                <w:sz w:val="11"/>
                <w:szCs w:val="11"/>
                <w:color w:val="auto"/>
              </w:rPr>
              <w:t>213,325</w:t>
            </w:r>
          </w:p>
        </w:tc>
        <w:tc>
          <w:tcPr>
            <w:tcW w:w="980" w:type="dxa"/>
            <w:vAlign w:val="bottom"/>
            <w:tcBorders>
              <w:bottom w:val="single" w:sz="8" w:color="CCFFCC"/>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9,489</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57,205</w:t>
            </w:r>
          </w:p>
        </w:tc>
        <w:tc>
          <w:tcPr>
            <w:tcW w:w="10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19,253</w:t>
            </w:r>
          </w:p>
        </w:tc>
        <w:tc>
          <w:tcPr>
            <w:tcW w:w="8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FFCC"/>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299,272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top w:val="single" w:sz="8" w:color="CCFFCC"/>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06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Total liabilities</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3,943,891</w:t>
            </w: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2,489,586</w:t>
            </w:r>
          </w:p>
        </w:tc>
        <w:tc>
          <w:tcPr>
            <w:tcW w:w="100" w:type="dxa"/>
            <w:vAlign w:val="bottom"/>
            <w:shd w:val="clear" w:color="auto" w:fill="CCFFCC"/>
          </w:tcPr>
          <w:p>
            <w:pPr>
              <w:spacing w:after="0"/>
              <w:rPr>
                <w:sz w:val="22"/>
                <w:szCs w:val="22"/>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5,067,847</w:t>
            </w:r>
          </w:p>
        </w:tc>
        <w:tc>
          <w:tcPr>
            <w:tcW w:w="100" w:type="dxa"/>
            <w:vAlign w:val="bottom"/>
            <w:shd w:val="clear" w:color="auto" w:fill="CCFFCC"/>
          </w:tcPr>
          <w:p>
            <w:pPr>
              <w:spacing w:after="0"/>
              <w:rPr>
                <w:sz w:val="22"/>
                <w:szCs w:val="22"/>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4,285,768</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1,812,779</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17,599,871</w:t>
            </w:r>
          </w:p>
        </w:tc>
        <w:tc>
          <w:tcPr>
            <w:tcW w:w="800" w:type="dxa"/>
            <w:vAlign w:val="bottom"/>
            <w:tcBorders>
              <w:right w:val="single" w:sz="8" w:color="CCFFCC"/>
            </w:tcBorders>
            <w:gridSpan w:val="2"/>
            <w:shd w:val="clear" w:color="auto" w:fill="CCFFCC"/>
          </w:tcPr>
          <w:p>
            <w:pPr>
              <w:jc w:val="right"/>
              <w:ind w:right="46"/>
              <w:spacing w:after="0"/>
              <w:rPr>
                <w:sz w:val="20"/>
                <w:szCs w:val="20"/>
                <w:color w:val="auto"/>
              </w:rPr>
            </w:pPr>
            <w:r>
              <w:rPr>
                <w:rFonts w:ascii="Arial" w:cs="Arial" w:eastAsia="Arial" w:hAnsi="Arial"/>
                <w:sz w:val="11"/>
                <w:szCs w:val="11"/>
                <w:color w:val="auto"/>
              </w:rPr>
              <w:t>3,142,078</w:t>
            </w:r>
          </w:p>
        </w:tc>
        <w:tc>
          <w:tcPr>
            <w:tcW w:w="980" w:type="dxa"/>
            <w:vAlign w:val="bottom"/>
            <w:tcBorders>
              <w:right w:val="single" w:sz="8" w:color="CCFFCC"/>
            </w:tcBorders>
            <w:shd w:val="clear" w:color="auto" w:fill="CCFFCC"/>
          </w:tcPr>
          <w:p>
            <w:pPr>
              <w:jc w:val="right"/>
              <w:ind w:right="46"/>
              <w:spacing w:after="0"/>
              <w:rPr>
                <w:sz w:val="20"/>
                <w:szCs w:val="20"/>
                <w:color w:val="auto"/>
              </w:rPr>
            </w:pPr>
            <w:r>
              <w:rPr>
                <w:rFonts w:ascii="Arial" w:cs="Arial" w:eastAsia="Arial" w:hAnsi="Arial"/>
                <w:sz w:val="11"/>
                <w:szCs w:val="11"/>
                <w:color w:val="auto"/>
              </w:rPr>
              <w:t>1,513,774</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3,567,623</w:t>
            </w:r>
          </w:p>
        </w:tc>
        <w:tc>
          <w:tcPr>
            <w:tcW w:w="100" w:type="dxa"/>
            <w:vAlign w:val="bottom"/>
            <w:shd w:val="clear" w:color="auto" w:fill="CCFFCC"/>
          </w:tcPr>
          <w:p>
            <w:pPr>
              <w:spacing w:after="0"/>
              <w:rPr>
                <w:sz w:val="22"/>
                <w:szCs w:val="2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3,078,825</w:t>
            </w:r>
          </w:p>
        </w:tc>
        <w:tc>
          <w:tcPr>
            <w:tcW w:w="80" w:type="dxa"/>
            <w:vAlign w:val="bottom"/>
            <w:shd w:val="clear" w:color="auto" w:fill="CCFFCC"/>
          </w:tcPr>
          <w:p>
            <w:pPr>
              <w:spacing w:after="0"/>
              <w:rPr>
                <w:sz w:val="22"/>
                <w:szCs w:val="22"/>
                <w:color w:val="auto"/>
              </w:rPr>
            </w:pP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1,339,609</w:t>
            </w:r>
          </w:p>
        </w:tc>
        <w:tc>
          <w:tcPr>
            <w:tcW w:w="6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w w:val="94"/>
              </w:rPr>
              <w:t>12,641,909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6840220</wp:posOffset>
            </wp:positionH>
            <wp:positionV relativeFrom="paragraph">
              <wp:posOffset>-359410</wp:posOffset>
            </wp:positionV>
            <wp:extent cx="34290"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-359410</wp:posOffset>
            </wp:positionV>
            <wp:extent cx="34290"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6840220</wp:posOffset>
            </wp:positionH>
            <wp:positionV relativeFrom="paragraph">
              <wp:posOffset>-25400</wp:posOffset>
            </wp:positionV>
            <wp:extent cx="34290"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-25400</wp:posOffset>
            </wp:positionV>
            <wp:extent cx="3429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contractual maturity of the Group’s contingent credits at the consolidated balance sheets dates: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1"/>
                <w:szCs w:val="11"/>
                <w:b w:val="1"/>
                <w:bCs w:val="1"/>
                <w:color w:val="auto"/>
                <w:w w:val="97"/>
              </w:rPr>
              <w:t>As of December 31, 2007</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As of December 31, 2006</w:t>
            </w: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Up to a</w:t>
            </w: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From 1 to 3</w:t>
            </w: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From 3 to 12</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From 1 to 5</w:t>
            </w: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Over 5</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Up to a</w:t>
            </w: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From 1 to 3</w:t>
            </w: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From 1 to 12</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From 1 to 5</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Over 5</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month</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years</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0"/>
              </w:rPr>
              <w:t>years</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month</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years</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3"/>
              </w:rPr>
              <w:t>years</w:t>
            </w: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w w:val="94"/>
              </w:rPr>
              <w:t>US$(000) US$(000)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72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Contingent credits</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318,692</w:t>
            </w:r>
          </w:p>
        </w:tc>
        <w:tc>
          <w:tcPr>
            <w:tcW w:w="10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253,054</w:t>
            </w:r>
          </w:p>
        </w:tc>
        <w:tc>
          <w:tcPr>
            <w:tcW w:w="120" w:type="dxa"/>
            <w:vAlign w:val="bottom"/>
            <w:shd w:val="clear" w:color="auto" w:fill="CCFFCC"/>
          </w:tcPr>
          <w:p>
            <w:pPr>
              <w:spacing w:after="0"/>
              <w:rPr>
                <w:sz w:val="13"/>
                <w:szCs w:val="13"/>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571,702</w:t>
            </w:r>
          </w:p>
        </w:tc>
        <w:tc>
          <w:tcPr>
            <w:tcW w:w="100" w:type="dxa"/>
            <w:vAlign w:val="bottom"/>
            <w:shd w:val="clear" w:color="auto" w:fill="CCFFCC"/>
          </w:tcPr>
          <w:p>
            <w:pPr>
              <w:spacing w:after="0"/>
              <w:rPr>
                <w:sz w:val="13"/>
                <w:szCs w:val="13"/>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402,443</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18,634</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1,564,525</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200,256</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268,490</w:t>
            </w:r>
          </w:p>
        </w:tc>
        <w:tc>
          <w:tcPr>
            <w:tcW w:w="9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467,405</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468,836</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1"/>
                <w:szCs w:val="11"/>
                <w:color w:val="auto"/>
              </w:rPr>
              <w:t>50,389 1,455,376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6925945</wp:posOffset>
            </wp:positionH>
            <wp:positionV relativeFrom="paragraph">
              <wp:posOffset>-25400</wp:posOffset>
            </wp:positionV>
            <wp:extent cx="1714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7145" cy="2603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-25400</wp:posOffset>
            </wp:positionV>
            <wp:extent cx="1714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 cy="26035"/>
                    </a:xfrm>
                    <a:prstGeom prst="rect">
                      <a:avLst/>
                    </a:prstGeom>
                    <a:noFill/>
                  </pic:spPr>
                </pic:pic>
              </a:graphicData>
            </a:graphic>
          </wp:anchor>
        </w:drawing>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 expects that not all of the contingent liabilities or commitments will be drawn before expiry of the commitments.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Operational risk -</w:t>
      </w:r>
    </w:p>
    <w:p>
      <w:pPr>
        <w:spacing w:after="0" w:line="27" w:lineRule="exact"/>
        <w:rPr>
          <w:sz w:val="20"/>
          <w:szCs w:val="20"/>
          <w:color w:val="auto"/>
        </w:rPr>
      </w:pPr>
    </w:p>
    <w:p>
      <w:pPr>
        <w:ind w:left="660" w:right="360"/>
        <w:spacing w:after="0" w:line="253" w:lineRule="auto"/>
        <w:rPr>
          <w:sz w:val="20"/>
          <w:szCs w:val="20"/>
          <w:color w:val="auto"/>
        </w:rPr>
      </w:pPr>
      <w:r>
        <w:rPr>
          <w:rFonts w:ascii="Arial" w:cs="Arial" w:eastAsia="Arial" w:hAnsi="Arial"/>
          <w:sz w:val="18"/>
          <w:szCs w:val="18"/>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 risks. Controls include effective segregation of duties, access, authorization and reconciliation procedures, staff education and assessment processes, including the use of Internal Audit.</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Risk of the insurance activity -</w:t>
      </w:r>
    </w:p>
    <w:p>
      <w:pPr>
        <w:spacing w:after="0" w:line="27" w:lineRule="exact"/>
        <w:rPr>
          <w:sz w:val="20"/>
          <w:szCs w:val="20"/>
          <w:color w:val="auto"/>
        </w:rPr>
      </w:pPr>
    </w:p>
    <w:p>
      <w:pPr>
        <w:ind w:left="660" w:right="80"/>
        <w:spacing w:after="0" w:line="261" w:lineRule="auto"/>
        <w:rPr>
          <w:sz w:val="20"/>
          <w:szCs w:val="20"/>
          <w:color w:val="auto"/>
        </w:rPr>
      </w:pPr>
      <w:r>
        <w:rPr>
          <w:rFonts w:ascii="Arial" w:cs="Arial" w:eastAsia="Arial" w:hAnsi="Arial"/>
          <w:sz w:val="18"/>
          <w:szCs w:val="18"/>
          <w:color w:val="auto"/>
        </w:rPr>
        <w:t>The risk under any insurance contract is the possibility that the insured event occurs and the uncertainty of the amount of the resulting claim. By the very nature of an insurance contract, this risk is random and therefore unpredictable.</w:t>
      </w:r>
    </w:p>
    <w:p>
      <w:pPr>
        <w:spacing w:after="0" w:line="23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For a portfolio of insurance contracts where the theory of probability is applied to pricing and provisioning, the principal risk that the Group faces is that the actual claims and benefit payments exceed the carrying amount of the insurance liabilities. This could occur because the frequency or severity of claims and benefits are greater than estimated. Insurance events are random and the actual number and amount of claims and benefits will vary from year to year from the level established using statistical techniques.</w:t>
      </w:r>
    </w:p>
    <w:p>
      <w:pPr>
        <w:spacing w:after="0" w:line="241"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Experience shows that the larger the portfolio of similar insurance contracts, the smaller the relative variability about the expected outcome will be. In addition, a more diversified portfolio is less likely to be affected by a change in any subset of the portfolio. The Group has developed its insurance underwriting strategy to diversify the type of insurance risks accepted within each of theses categories to achieve a sufficiently large population of risks to reduce the variability of the expected outcome, as well as the use of reinsurance arrangements.</w:t>
      </w:r>
    </w:p>
    <w:p>
      <w:pPr>
        <w:spacing w:after="0" w:line="22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Factors that aggravate insurance risk include lack of risk diversification in terms of type and amount of risk, geographical location and type of industry covered.</w:t>
      </w:r>
    </w:p>
    <w:p>
      <w:pPr>
        <w:spacing w:after="0" w:line="224"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The Group is liable for all insured events that occurred during the term of the contract, even if the loss is discovered after the end of the contract term. As a result, liability claims are settled over a long period of time and a larger element of the claims provision relates to incurred but non-reported claims (IBNR). There are several variables that affect the amount and timing of cash flows from these contracts. These mainly relate to the inherent risk of the business activities carried out by individual contract holders and the risk management procedures they adopted.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jc w:val="both"/>
        <w:ind w:left="660" w:right="260"/>
        <w:spacing w:after="0" w:line="312" w:lineRule="auto"/>
        <w:rPr>
          <w:sz w:val="20"/>
          <w:szCs w:val="20"/>
          <w:color w:val="auto"/>
        </w:rPr>
      </w:pPr>
      <w:r>
        <w:rPr>
          <w:rFonts w:ascii="Arial" w:cs="Arial" w:eastAsia="Arial" w:hAnsi="Arial"/>
          <w:sz w:val="16"/>
          <w:szCs w:val="16"/>
          <w:color w:val="auto"/>
        </w:rPr>
        <w:t>The estimated cost of claims includes direct expenses to be incurred in settling claims, net of the expected subrogation value and other recoveries. The Group takes all reasonable steps to ensure that it has appropriate information regarding its claims exposures. The liability for these contracts includes a provision for reported claims not yet paid and a provision for unexpired risks at the consolidated balance sheet date.</w:t>
      </w:r>
    </w:p>
    <w:p>
      <w:pPr>
        <w:spacing w:after="0" w:line="201"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 subsidiaries of the Group that operate in the insurance segment have automatic reinsurance coverage contracts that protect them against frequency and severity losses. The reinsurance includes coverage for excess claims and catastrophes. The objective of the reinsurance is that the total net insurance loss does not affect the net worth and liquidity of the Group in any given year.</w:t>
      </w:r>
    </w:p>
    <w:p>
      <w:pPr>
        <w:spacing w:after="0" w:line="2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addition to the total Group’s reinsurance program, it is possible to buy additional reinsurance protection under the automatic or facultative contract modality and for any situation the risk evaluation process considers it necessary.</w:t>
      </w:r>
    </w:p>
    <w:p>
      <w:pPr>
        <w:spacing w:after="0" w:line="224"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 reference to reinsurance risks, the policy of the Group is to only enter into contracts with companies that are qualified as investment grade by qualified international risk rating agencies.</w:t>
      </w:r>
    </w:p>
    <w:p>
      <w:pPr>
        <w:spacing w:after="0" w:line="224" w:lineRule="exact"/>
        <w:rPr>
          <w:sz w:val="20"/>
          <w:szCs w:val="20"/>
          <w:color w:val="auto"/>
        </w:rPr>
      </w:pPr>
    </w:p>
    <w:p>
      <w:pPr>
        <w:jc w:val="both"/>
        <w:ind w:left="660" w:right="600"/>
        <w:spacing w:after="0" w:line="264" w:lineRule="auto"/>
        <w:rPr>
          <w:sz w:val="20"/>
          <w:szCs w:val="20"/>
          <w:color w:val="auto"/>
        </w:rPr>
      </w:pPr>
      <w:r>
        <w:rPr>
          <w:rFonts w:ascii="Arial" w:cs="Arial" w:eastAsia="Arial" w:hAnsi="Arial"/>
          <w:sz w:val="18"/>
          <w:szCs w:val="18"/>
          <w:color w:val="auto"/>
        </w:rPr>
        <w:t>The Group’s placement of reinsurance is diversified such that it is neither dependent on a single reinsurer nor are the operations of the Group substantially dependent upon any single reinsurance contract. There is no single counterparty of the total reinsurance accounts receivable and payable at the consolidated balance sheet date.</w:t>
      </w:r>
    </w:p>
    <w:p>
      <w:pPr>
        <w:spacing w:after="0" w:line="23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However, given the uncertainty in establishing claims provisions, it is likely that the final outcome will prove to be different from the original liability established. This could occur as the frequency or severity, or both, of the claims and benefits are greater than the calculated. In the particular case of the survival business life (life annuities), the risk assumed by the Group consists in that the real life expectancy of the insured population is greater than the estimated at the time of issuing the policy, which would mean there would be a deficit in the reserves to carry out the pension payments.</w:t>
      </w:r>
    </w:p>
    <w:p>
      <w:pPr>
        <w:spacing w:after="0" w:line="24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factors considered in the evaluation of insurance risks are the frequency and severity of the claims, the sources of uncertainty in the calculation of payments for future claims and the mortality tables for life insurance.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7" w:lineRule="exact"/>
        <w:rPr>
          <w:sz w:val="20"/>
          <w:szCs w:val="20"/>
          <w:color w:val="auto"/>
        </w:rPr>
      </w:pPr>
    </w:p>
    <w:p>
      <w:pPr>
        <w:ind w:left="660" w:right="340"/>
        <w:spacing w:after="0" w:line="261" w:lineRule="auto"/>
        <w:rPr>
          <w:sz w:val="20"/>
          <w:szCs w:val="20"/>
          <w:color w:val="auto"/>
        </w:rPr>
      </w:pPr>
      <w:r>
        <w:rPr>
          <w:rFonts w:ascii="Arial" w:cs="Arial" w:eastAsia="Arial" w:hAnsi="Arial"/>
          <w:sz w:val="18"/>
          <w:szCs w:val="18"/>
          <w:color w:val="auto"/>
        </w:rPr>
        <w:t>The Group principally issues the following types of general insurance contracts: motor, household and commercial. Healthcare contracts provide medical expense cover to policyholders. Risk under non-life insurance policies usually cover 12 month duration.</w:t>
      </w:r>
    </w:p>
    <w:p>
      <w:pPr>
        <w:spacing w:after="0" w:line="238" w:lineRule="exact"/>
        <w:rPr>
          <w:sz w:val="20"/>
          <w:szCs w:val="20"/>
          <w:color w:val="auto"/>
        </w:rPr>
      </w:pPr>
    </w:p>
    <w:p>
      <w:pPr>
        <w:ind w:left="660" w:right="36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 arise from lifestyle changes, epidemics and medical science and technology improvements.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an by industry.</w:t>
      </w:r>
    </w:p>
    <w:p>
      <w:pPr>
        <w:spacing w:after="0" w:line="279"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The above risk exposure is mitigated by diversification across a large portfolio of insurance contracts. The variability of risk is improved by careful selection and implementation of underwriting strategies, which are designed to ensure that risks are diversified in terms of type of risk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risk exposure of the Group. The Group further enforces a policy of actively managing and prompt pursuing of claims, in order to reduce its exposure to unpredictable future developments that can negatively impact the Group.</w:t>
      </w:r>
    </w:p>
    <w:p>
      <w:pPr>
        <w:spacing w:after="0" w:line="21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exposure to catastrophic events.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Life insurance contracts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Life insurance contracts offered by the Group include mainly immediate annuities, group life and universal life.</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main risks that the Group is exposed to are as follows:</w:t>
      </w:r>
    </w:p>
    <w:p>
      <w:pPr>
        <w:spacing w:after="0" w:line="279" w:lineRule="exact"/>
        <w:rPr>
          <w:sz w:val="20"/>
          <w:szCs w:val="20"/>
          <w:color w:val="auto"/>
        </w:rPr>
      </w:pPr>
    </w:p>
    <w:p>
      <w:pPr>
        <w:ind w:left="980" w:hanging="324"/>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Mortality / Longevity risk - risk of loss arising due to policyholder death experience being different than expected.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Morbidity risk - risk of loss arising due to policyholder health experience being different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 return risk - risk of loss arising from actual returns being different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Expense risk - risk of loss arising from expense experience being different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Policyholder decision risk - risk of loss arising due to policyholder experiences (lapses and surrenders) being different than expected.</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by industry.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Underwriting limits are in place to enforce appropriate risk selection criteria. The Group further enforces a policy of actively managing and prompt pursuing of claims, in order to reduce its exposure to unpredictable future developments that can negatively impact the Group.</w:t>
      </w:r>
    </w:p>
    <w:p>
      <w:pPr>
        <w:spacing w:after="0" w:line="220"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treatment of benefits as well as the sufficiency of the reserves is a principal concern of the insurance management. The technical reserves are estimated by actuaries of the insurance segment and are reviewed by independent experts. The insurance segment continuously monitors the claim trends, which allows estimates to be carried out for incurred and non-reported claims (IBNR) based on recent information. These estimations are also reviewed by independent experts. The management has made a sensitivity analysis of the estimates of the technical reserves, note 16(c).</w:t>
      </w:r>
    </w:p>
    <w:p>
      <w:pPr>
        <w:spacing w:after="0" w:line="20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insurance products do not contain particularly relevant terms or clauses that could have a significant impact or represent important uncertainties to the cash flows of the insurance segment.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224" w:lineRule="exact"/>
        <w:rPr>
          <w:sz w:val="20"/>
          <w:szCs w:val="20"/>
          <w:color w:val="auto"/>
        </w:rPr>
      </w:pPr>
    </w:p>
    <w:p>
      <w:pPr>
        <w:ind w:left="1140" w:hanging="484"/>
        <w:spacing w:after="0"/>
        <w:tabs>
          <w:tab w:leader="none" w:pos="11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Interest risk of the insurance activity -</w:t>
      </w:r>
    </w:p>
    <w:p>
      <w:pPr>
        <w:spacing w:after="0" w:line="23"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The following tables show the re-pricing gap of the insurance activity based on the financial statements in accordance with IFRS and after the eliminations for consolidation:</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As of December 31, 2007</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3"/>
              </w:rPr>
              <w:t>Non-</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Up to 1</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 to 12</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More than 5</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month</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1 to 5 years</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bearing</w:t>
            </w: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color w:val="auto"/>
              </w:rPr>
              <w:t>US$(000)</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US$(000)</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US$(000)</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0"/>
              </w:rPr>
              <w:t>US$(000)</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0"/>
              </w:rPr>
              <w:t>US$(000)</w:t>
            </w:r>
          </w:p>
        </w:tc>
        <w:tc>
          <w:tcPr>
            <w:tcW w:w="840" w:type="dxa"/>
            <w:vAlign w:val="bottom"/>
            <w:gridSpan w:val="2"/>
          </w:tcPr>
          <w:p>
            <w:pPr>
              <w:spacing w:after="0"/>
              <w:rPr>
                <w:sz w:val="20"/>
                <w:szCs w:val="20"/>
                <w:color w:val="auto"/>
              </w:rPr>
            </w:pPr>
            <w:r>
              <w:rPr>
                <w:rFonts w:ascii="Arial" w:cs="Arial" w:eastAsia="Arial" w:hAnsi="Arial"/>
                <w:sz w:val="14"/>
                <w:szCs w:val="14"/>
                <w:color w:val="auto"/>
              </w:rPr>
              <w:t>US$(000)</w:t>
            </w:r>
          </w:p>
        </w:tc>
        <w:tc>
          <w:tcPr>
            <w:tcW w:w="960" w:type="dxa"/>
            <w:vAlign w:val="bottom"/>
            <w:gridSpan w:val="2"/>
          </w:tcPr>
          <w:p>
            <w:pPr>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FFCC"/>
          </w:tcPr>
          <w:p>
            <w:pPr>
              <w:spacing w:after="0"/>
              <w:rPr>
                <w:sz w:val="21"/>
                <w:szCs w:val="21"/>
                <w:color w:val="auto"/>
              </w:rPr>
            </w:pPr>
          </w:p>
        </w:tc>
        <w:tc>
          <w:tcPr>
            <w:tcW w:w="74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16,520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4,354</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20,874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4"/>
                <w:szCs w:val="14"/>
                <w:color w:val="auto"/>
              </w:rPr>
              <w:t>Investments</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4,295</w:t>
            </w:r>
          </w:p>
        </w:tc>
        <w:tc>
          <w:tcPr>
            <w:tcW w:w="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10,847</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11,630</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96,207</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513,714</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159,755</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796,448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4"/>
                <w:szCs w:val="14"/>
                <w:color w:val="auto"/>
                <w:w w:val="95"/>
              </w:rPr>
              <w:t>Premiums and other policies receivables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85,495</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85,495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4"/>
                <w:szCs w:val="14"/>
                <w:color w:val="auto"/>
                <w:w w:val="94"/>
              </w:rPr>
              <w:t>Accounts receivable from re-insurers and</w:t>
            </w:r>
          </w:p>
        </w:tc>
        <w:tc>
          <w:tcPr>
            <w:tcW w:w="100" w:type="dxa"/>
            <w:vAlign w:val="bottom"/>
            <w:shd w:val="clear" w:color="auto" w:fill="CCFFCC"/>
          </w:tcPr>
          <w:p>
            <w:pPr>
              <w:spacing w:after="0"/>
              <w:rPr>
                <w:sz w:val="14"/>
                <w:szCs w:val="14"/>
                <w:color w:val="auto"/>
              </w:rPr>
            </w:pPr>
          </w:p>
        </w:tc>
        <w:tc>
          <w:tcPr>
            <w:tcW w:w="7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tcBorders>
              <w:righ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CCFFCC"/>
          </w:tcPr>
          <w:p>
            <w:pPr>
              <w:ind w:left="140"/>
              <w:spacing w:after="0"/>
              <w:rPr>
                <w:sz w:val="20"/>
                <w:szCs w:val="20"/>
                <w:color w:val="auto"/>
              </w:rPr>
            </w:pPr>
            <w:r>
              <w:rPr>
                <w:rFonts w:ascii="Arial" w:cs="Arial" w:eastAsia="Arial" w:hAnsi="Arial"/>
                <w:sz w:val="14"/>
                <w:szCs w:val="14"/>
                <w:color w:val="auto"/>
              </w:rPr>
              <w:t>co-insurers</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116,141</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116,141</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Other assets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119,503</w:t>
            </w:r>
          </w:p>
        </w:tc>
        <w:tc>
          <w:tcPr>
            <w:tcW w:w="860" w:type="dxa"/>
            <w:vAlign w:val="bottom"/>
          </w:tcPr>
          <w:p>
            <w:pPr>
              <w:jc w:val="right"/>
              <w:spacing w:after="0"/>
              <w:rPr>
                <w:sz w:val="20"/>
                <w:szCs w:val="20"/>
                <w:color w:val="auto"/>
              </w:rPr>
            </w:pPr>
            <w:r>
              <w:rPr>
                <w:rFonts w:ascii="Arial" w:cs="Arial" w:eastAsia="Arial" w:hAnsi="Arial"/>
                <w:sz w:val="14"/>
                <w:szCs w:val="14"/>
                <w:color w:val="auto"/>
              </w:rPr>
              <w:t>119,503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20,815</w:t>
            </w:r>
          </w:p>
        </w:tc>
        <w:tc>
          <w:tcPr>
            <w:tcW w:w="8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10,847</w:t>
            </w:r>
          </w:p>
        </w:tc>
        <w:tc>
          <w:tcPr>
            <w:tcW w:w="100" w:type="dxa"/>
            <w:vAlign w:val="bottom"/>
            <w:tcBorders>
              <w:bottom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11,630</w:t>
            </w:r>
          </w:p>
        </w:tc>
        <w:tc>
          <w:tcPr>
            <w:tcW w:w="100" w:type="dxa"/>
            <w:vAlign w:val="bottom"/>
            <w:tcBorders>
              <w:bottom w:val="single" w:sz="8" w:color="CCFFCC"/>
              <w:right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96,207</w:t>
            </w: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513,714</w:t>
            </w:r>
          </w:p>
        </w:tc>
        <w:tc>
          <w:tcPr>
            <w:tcW w:w="10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485,248</w:t>
            </w:r>
          </w:p>
        </w:tc>
        <w:tc>
          <w:tcPr>
            <w:tcW w:w="8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1,138,461</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FFCC"/>
          </w:tcPr>
          <w:p>
            <w:pPr>
              <w:spacing w:after="0"/>
              <w:rPr>
                <w:sz w:val="21"/>
                <w:szCs w:val="21"/>
                <w:color w:val="auto"/>
              </w:rPr>
            </w:pPr>
          </w:p>
        </w:tc>
        <w:tc>
          <w:tcPr>
            <w:tcW w:w="74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Due to banks and correspondents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2,964</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2,973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4"/>
                <w:szCs w:val="14"/>
                <w:color w:val="auto"/>
                <w:w w:val="96"/>
              </w:rPr>
              <w:t>Accounts payable to re-insurers and co-</w:t>
            </w:r>
          </w:p>
        </w:tc>
        <w:tc>
          <w:tcPr>
            <w:tcW w:w="100" w:type="dxa"/>
            <w:vAlign w:val="bottom"/>
            <w:shd w:val="clear" w:color="auto" w:fill="CCFFCC"/>
          </w:tcPr>
          <w:p>
            <w:pPr>
              <w:spacing w:after="0"/>
              <w:rPr>
                <w:sz w:val="14"/>
                <w:szCs w:val="14"/>
                <w:color w:val="auto"/>
              </w:rPr>
            </w:pPr>
          </w:p>
        </w:tc>
        <w:tc>
          <w:tcPr>
            <w:tcW w:w="74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tcBorders>
              <w:righ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shd w:val="clear" w:color="auto" w:fill="CCFFCC"/>
          </w:tcPr>
          <w:p>
            <w:pPr>
              <w:ind w:left="140"/>
              <w:spacing w:after="0"/>
              <w:rPr>
                <w:sz w:val="20"/>
                <w:szCs w:val="20"/>
                <w:color w:val="auto"/>
              </w:rPr>
            </w:pPr>
            <w:r>
              <w:rPr>
                <w:rFonts w:ascii="Arial" w:cs="Arial" w:eastAsia="Arial" w:hAnsi="Arial"/>
                <w:sz w:val="14"/>
                <w:szCs w:val="14"/>
                <w:color w:val="auto"/>
              </w:rPr>
              <w:t>insurers</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21,914</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color w:val="auto"/>
                <w:w w:val="93"/>
              </w:rPr>
              <w:t>Technical, insurance claims reserves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Arial" w:cs="Arial" w:eastAsia="Arial" w:hAnsi="Arial"/>
                <w:sz w:val="14"/>
                <w:szCs w:val="14"/>
                <w:color w:val="auto"/>
              </w:rPr>
              <w:t>reserves for unearned premiums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1,626</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4,878</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14,634</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95,017</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305,039</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394,333</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815,527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4"/>
                <w:szCs w:val="14"/>
                <w:color w:val="auto"/>
              </w:rPr>
              <w:t>Other liabilities</w:t>
            </w:r>
          </w:p>
        </w:tc>
        <w:tc>
          <w:tcPr>
            <w:tcW w:w="8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32,869</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Equity</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265,178</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265,178</w:t>
            </w:r>
          </w:p>
        </w:tc>
        <w:tc>
          <w:tcPr>
            <w:tcW w:w="0" w:type="dxa"/>
            <w:vAlign w:val="bottom"/>
          </w:tcPr>
          <w:p>
            <w:pPr>
              <w:spacing w:after="0"/>
              <w:rPr>
                <w:sz w:val="1"/>
                <w:szCs w:val="1"/>
                <w:color w:val="auto"/>
              </w:rPr>
            </w:pPr>
          </w:p>
        </w:tc>
      </w:tr>
      <w:tr>
        <w:trPr>
          <w:trHeight w:val="169"/>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4,590</w:t>
            </w:r>
          </w:p>
        </w:tc>
        <w:tc>
          <w:tcPr>
            <w:tcW w:w="8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4,878</w:t>
            </w:r>
          </w:p>
        </w:tc>
        <w:tc>
          <w:tcPr>
            <w:tcW w:w="1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14,634</w:t>
            </w:r>
          </w:p>
        </w:tc>
        <w:tc>
          <w:tcPr>
            <w:tcW w:w="1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95,017</w:t>
            </w:r>
          </w:p>
        </w:tc>
        <w:tc>
          <w:tcPr>
            <w:tcW w:w="1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305,039</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714,303</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1,138,461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bottom w:val="single" w:sz="8" w:color="CCFFCC"/>
            </w:tcBorders>
            <w:shd w:val="clear" w:color="auto" w:fill="CCFFCC"/>
          </w:tcPr>
          <w:p>
            <w:pPr>
              <w:spacing w:after="0" w:line="156" w:lineRule="exact"/>
              <w:rPr>
                <w:sz w:val="20"/>
                <w:szCs w:val="20"/>
                <w:color w:val="auto"/>
              </w:rPr>
            </w:pPr>
            <w:r>
              <w:rPr>
                <w:rFonts w:ascii="Arial" w:cs="Arial" w:eastAsia="Arial" w:hAnsi="Arial"/>
                <w:sz w:val="14"/>
                <w:szCs w:val="14"/>
                <w:b w:val="1"/>
                <w:bCs w:val="1"/>
                <w:color w:val="auto"/>
              </w:rPr>
              <w:t>Marginal gap</w:t>
            </w:r>
          </w:p>
        </w:tc>
        <w:tc>
          <w:tcPr>
            <w:tcW w:w="10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top w:val="single" w:sz="8" w:color="auto"/>
              <w:bottom w:val="single" w:sz="8" w:color="auto"/>
              <w:right w:val="single" w:sz="8" w:color="CCFFCC"/>
            </w:tcBorders>
            <w:shd w:val="clear" w:color="auto" w:fill="CCFFCC"/>
          </w:tcPr>
          <w:p>
            <w:pPr>
              <w:jc w:val="right"/>
              <w:spacing w:after="0" w:line="156" w:lineRule="exact"/>
              <w:rPr>
                <w:sz w:val="20"/>
                <w:szCs w:val="20"/>
                <w:color w:val="auto"/>
              </w:rPr>
            </w:pPr>
            <w:r>
              <w:rPr>
                <w:rFonts w:ascii="Arial" w:cs="Arial" w:eastAsia="Arial" w:hAnsi="Arial"/>
                <w:sz w:val="14"/>
                <w:szCs w:val="14"/>
                <w:color w:val="auto"/>
              </w:rPr>
              <w:t>16,225</w:t>
            </w:r>
          </w:p>
        </w:tc>
        <w:tc>
          <w:tcPr>
            <w:tcW w:w="80" w:type="dxa"/>
            <w:vAlign w:val="bottom"/>
            <w:tcBorders>
              <w:bottom w:val="single" w:sz="8" w:color="CCFFCC"/>
            </w:tcBorders>
            <w:shd w:val="clear" w:color="auto" w:fill="CCFFCC"/>
          </w:tcPr>
          <w:p>
            <w:pPr>
              <w:spacing w:after="0"/>
              <w:rPr>
                <w:sz w:val="17"/>
                <w:szCs w:val="17"/>
                <w:color w:val="auto"/>
              </w:rPr>
            </w:pPr>
          </w:p>
        </w:tc>
        <w:tc>
          <w:tcPr>
            <w:tcW w:w="720" w:type="dxa"/>
            <w:vAlign w:val="bottom"/>
            <w:tcBorders>
              <w:top w:val="single" w:sz="8" w:color="auto"/>
              <w:bottom w:val="single" w:sz="8" w:color="auto"/>
            </w:tcBorders>
            <w:shd w:val="clear" w:color="auto" w:fill="CCFFCC"/>
          </w:tcPr>
          <w:p>
            <w:pPr>
              <w:jc w:val="right"/>
              <w:spacing w:after="0" w:line="156" w:lineRule="exact"/>
              <w:rPr>
                <w:sz w:val="20"/>
                <w:szCs w:val="20"/>
                <w:color w:val="auto"/>
              </w:rPr>
            </w:pPr>
            <w:r>
              <w:rPr>
                <w:rFonts w:ascii="Arial" w:cs="Arial" w:eastAsia="Arial" w:hAnsi="Arial"/>
                <w:sz w:val="14"/>
                <w:szCs w:val="14"/>
                <w:color w:val="auto"/>
              </w:rPr>
              <w:t>5,969</w:t>
            </w:r>
          </w:p>
        </w:tc>
        <w:tc>
          <w:tcPr>
            <w:tcW w:w="100" w:type="dxa"/>
            <w:vAlign w:val="bottom"/>
            <w:tcBorders>
              <w:bottom w:val="single" w:sz="8" w:color="CCFFCC"/>
            </w:tcBorders>
            <w:shd w:val="clear" w:color="auto" w:fill="CCFFCC"/>
          </w:tcPr>
          <w:p>
            <w:pPr>
              <w:spacing w:after="0"/>
              <w:rPr>
                <w:sz w:val="17"/>
                <w:szCs w:val="17"/>
                <w:color w:val="auto"/>
              </w:rPr>
            </w:pPr>
          </w:p>
        </w:tc>
        <w:tc>
          <w:tcPr>
            <w:tcW w:w="720" w:type="dxa"/>
            <w:vAlign w:val="bottom"/>
            <w:tcBorders>
              <w:top w:val="single" w:sz="8" w:color="auto"/>
              <w:bottom w:val="single" w:sz="8" w:color="auto"/>
            </w:tcBorders>
            <w:shd w:val="clear" w:color="auto" w:fill="CCFFCC"/>
          </w:tcPr>
          <w:p>
            <w:pPr>
              <w:jc w:val="right"/>
              <w:spacing w:after="0" w:line="156" w:lineRule="exact"/>
              <w:rPr>
                <w:sz w:val="20"/>
                <w:szCs w:val="20"/>
                <w:color w:val="auto"/>
              </w:rPr>
            </w:pPr>
            <w:r>
              <w:rPr>
                <w:rFonts w:ascii="Arial" w:cs="Arial" w:eastAsia="Arial" w:hAnsi="Arial"/>
                <w:sz w:val="14"/>
                <w:szCs w:val="14"/>
                <w:color w:val="auto"/>
              </w:rPr>
              <w:t>(3,004)</w:t>
            </w:r>
          </w:p>
        </w:tc>
        <w:tc>
          <w:tcPr>
            <w:tcW w:w="100" w:type="dxa"/>
            <w:vAlign w:val="bottom"/>
            <w:tcBorders>
              <w:bottom w:val="single" w:sz="8" w:color="CCFFCC"/>
              <w:right w:val="single" w:sz="8" w:color="CCFFCC"/>
            </w:tcBorders>
            <w:shd w:val="clear" w:color="auto" w:fill="CCFFCC"/>
          </w:tcPr>
          <w:p>
            <w:pPr>
              <w:spacing w:after="0"/>
              <w:rPr>
                <w:sz w:val="17"/>
                <w:szCs w:val="17"/>
                <w:color w:val="auto"/>
              </w:rPr>
            </w:pPr>
          </w:p>
        </w:tc>
        <w:tc>
          <w:tcPr>
            <w:tcW w:w="820" w:type="dxa"/>
            <w:vAlign w:val="bottom"/>
            <w:tcBorders>
              <w:top w:val="single" w:sz="8" w:color="auto"/>
              <w:bottom w:val="single" w:sz="8" w:color="auto"/>
            </w:tcBorders>
            <w:shd w:val="clear" w:color="auto" w:fill="CCFFCC"/>
          </w:tcPr>
          <w:p>
            <w:pPr>
              <w:jc w:val="right"/>
              <w:spacing w:after="0" w:line="156" w:lineRule="exact"/>
              <w:rPr>
                <w:sz w:val="20"/>
                <w:szCs w:val="20"/>
                <w:color w:val="auto"/>
              </w:rPr>
            </w:pPr>
            <w:r>
              <w:rPr>
                <w:rFonts w:ascii="Arial" w:cs="Arial" w:eastAsia="Arial" w:hAnsi="Arial"/>
                <w:sz w:val="14"/>
                <w:szCs w:val="14"/>
                <w:color w:val="auto"/>
              </w:rPr>
              <w:t>1,190</w:t>
            </w:r>
          </w:p>
        </w:tc>
        <w:tc>
          <w:tcPr>
            <w:tcW w:w="100" w:type="dxa"/>
            <w:vAlign w:val="bottom"/>
            <w:tcBorders>
              <w:bottom w:val="single" w:sz="8" w:color="CCFFCC"/>
            </w:tcBorders>
            <w:shd w:val="clear" w:color="auto" w:fill="CCFFCC"/>
          </w:tcPr>
          <w:p>
            <w:pPr>
              <w:spacing w:after="0"/>
              <w:rPr>
                <w:sz w:val="17"/>
                <w:szCs w:val="17"/>
                <w:color w:val="auto"/>
              </w:rPr>
            </w:pPr>
          </w:p>
        </w:tc>
        <w:tc>
          <w:tcPr>
            <w:tcW w:w="900" w:type="dxa"/>
            <w:vAlign w:val="bottom"/>
            <w:tcBorders>
              <w:top w:val="single" w:sz="8" w:color="auto"/>
              <w:bottom w:val="single" w:sz="8" w:color="auto"/>
            </w:tcBorders>
            <w:shd w:val="clear" w:color="auto" w:fill="CCFFCC"/>
          </w:tcPr>
          <w:p>
            <w:pPr>
              <w:jc w:val="right"/>
              <w:spacing w:after="0" w:line="156" w:lineRule="exact"/>
              <w:rPr>
                <w:sz w:val="20"/>
                <w:szCs w:val="20"/>
                <w:color w:val="auto"/>
              </w:rPr>
            </w:pPr>
            <w:r>
              <w:rPr>
                <w:rFonts w:ascii="Arial" w:cs="Arial" w:eastAsia="Arial" w:hAnsi="Arial"/>
                <w:sz w:val="14"/>
                <w:szCs w:val="14"/>
                <w:color w:val="auto"/>
              </w:rPr>
              <w:t>208,675</w:t>
            </w:r>
          </w:p>
        </w:tc>
        <w:tc>
          <w:tcPr>
            <w:tcW w:w="100" w:type="dxa"/>
            <w:vAlign w:val="bottom"/>
            <w:tcBorders>
              <w:bottom w:val="single" w:sz="8" w:color="CCFFCC"/>
            </w:tcBorders>
            <w:shd w:val="clear" w:color="auto" w:fill="CCFFCC"/>
          </w:tcPr>
          <w:p>
            <w:pPr>
              <w:spacing w:after="0"/>
              <w:rPr>
                <w:sz w:val="17"/>
                <w:szCs w:val="17"/>
                <w:color w:val="auto"/>
              </w:rPr>
            </w:pPr>
          </w:p>
        </w:tc>
        <w:tc>
          <w:tcPr>
            <w:tcW w:w="760" w:type="dxa"/>
            <w:vAlign w:val="bottom"/>
            <w:tcBorders>
              <w:top w:val="single" w:sz="8" w:color="auto"/>
              <w:bottom w:val="single" w:sz="8" w:color="auto"/>
            </w:tcBorders>
            <w:shd w:val="clear" w:color="auto" w:fill="CCFFCC"/>
          </w:tcPr>
          <w:p>
            <w:pPr>
              <w:jc w:val="right"/>
              <w:spacing w:after="0" w:line="156" w:lineRule="exact"/>
              <w:rPr>
                <w:sz w:val="20"/>
                <w:szCs w:val="20"/>
                <w:color w:val="auto"/>
              </w:rPr>
            </w:pPr>
            <w:r>
              <w:rPr>
                <w:rFonts w:ascii="Arial" w:cs="Arial" w:eastAsia="Arial" w:hAnsi="Arial"/>
                <w:sz w:val="14"/>
                <w:szCs w:val="14"/>
                <w:color w:val="auto"/>
              </w:rPr>
              <w:t>(229,055)</w:t>
            </w:r>
          </w:p>
        </w:tc>
        <w:tc>
          <w:tcPr>
            <w:tcW w:w="8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top w:val="single" w:sz="8" w:color="auto"/>
              <w:bottom w:val="single" w:sz="8" w:color="auto"/>
            </w:tcBorders>
            <w:shd w:val="clear" w:color="auto" w:fill="CCFFC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2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Accumulated gap</w:t>
            </w:r>
          </w:p>
        </w:tc>
        <w:tc>
          <w:tcPr>
            <w:tcW w:w="100" w:type="dxa"/>
            <w:vAlign w:val="bottom"/>
            <w:shd w:val="clear" w:color="auto" w:fill="CCFFCC"/>
          </w:tcPr>
          <w:p>
            <w:pPr>
              <w:spacing w:after="0"/>
              <w:rPr>
                <w:sz w:val="17"/>
                <w:szCs w:val="17"/>
                <w:color w:val="auto"/>
              </w:rPr>
            </w:pP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16,225</w:t>
            </w:r>
          </w:p>
        </w:tc>
        <w:tc>
          <w:tcPr>
            <w:tcW w:w="8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22,194</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19,190</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20,380</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229,055</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5" w:right="29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6"/>
          </w:tcPr>
          <w:p>
            <w:pPr>
              <w:ind w:left="520"/>
              <w:spacing w:after="0"/>
              <w:rPr>
                <w:sz w:val="20"/>
                <w:szCs w:val="20"/>
                <w:color w:val="auto"/>
              </w:rPr>
            </w:pPr>
            <w:r>
              <w:rPr>
                <w:rFonts w:ascii="Arial" w:cs="Arial" w:eastAsia="Arial" w:hAnsi="Arial"/>
                <w:sz w:val="14"/>
                <w:szCs w:val="14"/>
                <w:b w:val="1"/>
                <w:bCs w:val="1"/>
                <w:color w:val="auto"/>
              </w:rPr>
              <w:t>As of December 31, 2006</w:t>
            </w:r>
          </w:p>
        </w:tc>
        <w:tc>
          <w:tcPr>
            <w:tcW w:w="820" w:type="dxa"/>
            <w:vAlign w:val="bottom"/>
            <w:gridSpan w:val="2"/>
            <w:vMerge w:val="restart"/>
          </w:tcPr>
          <w:p>
            <w:pPr>
              <w:jc w:val="center"/>
              <w:ind w:right="8"/>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Up to 1</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1 to 3</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3 to 12</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More than 5</w:t>
            </w:r>
          </w:p>
        </w:tc>
        <w:tc>
          <w:tcPr>
            <w:tcW w:w="8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0"/>
              </w:rPr>
              <w:t>interest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month</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months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months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1 to 5 years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8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4"/>
              </w:rPr>
              <w:t>bearing</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US$(000)</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820" w:type="dxa"/>
            <w:vAlign w:val="bottom"/>
            <w:gridSpan w:val="2"/>
          </w:tcPr>
          <w:p>
            <w:pPr>
              <w:jc w:val="center"/>
              <w:ind w:right="28"/>
              <w:spacing w:after="0"/>
              <w:rPr>
                <w:sz w:val="20"/>
                <w:szCs w:val="20"/>
                <w:color w:val="auto"/>
              </w:rPr>
            </w:pPr>
            <w:r>
              <w:rPr>
                <w:rFonts w:ascii="Arial" w:cs="Arial" w:eastAsia="Arial" w:hAnsi="Arial"/>
                <w:sz w:val="14"/>
                <w:szCs w:val="14"/>
                <w:color w:val="auto"/>
                <w:w w:val="93"/>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660" w:type="dxa"/>
            <w:vAlign w:val="bottom"/>
          </w:tcPr>
          <w:p>
            <w:pPr>
              <w:jc w:val="right"/>
              <w:spacing w:after="0"/>
              <w:rPr>
                <w:sz w:val="20"/>
                <w:szCs w:val="20"/>
                <w:color w:val="auto"/>
              </w:rPr>
            </w:pPr>
            <w:r>
              <w:rPr>
                <w:rFonts w:ascii="Arial" w:cs="Arial" w:eastAsia="Arial" w:hAnsi="Arial"/>
                <w:sz w:val="14"/>
                <w:szCs w:val="14"/>
                <w:color w:val="auto"/>
              </w:rPr>
              <w:t>18,464</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59,548</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78,012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color w:val="auto"/>
              </w:rPr>
              <w:t>Investments</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3,439</w:t>
            </w:r>
          </w:p>
        </w:tc>
        <w:tc>
          <w:tcPr>
            <w:tcW w:w="8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15,856</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44,392</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102,051</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411,725</w:t>
            </w:r>
          </w:p>
        </w:tc>
        <w:tc>
          <w:tcPr>
            <w:tcW w:w="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143,823</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721,286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Premiums and other policies receivables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61,279</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61,279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color w:val="auto"/>
              </w:rPr>
              <w:t>Accounts receivable from re-insurers and co-</w:t>
            </w:r>
          </w:p>
        </w:tc>
        <w:tc>
          <w:tcPr>
            <w:tcW w:w="6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color w:val="auto"/>
              </w:rPr>
              <w:t>insurers</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35,181</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Other assets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93,629</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93,629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assets</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21,903</w:t>
            </w:r>
          </w:p>
        </w:tc>
        <w:tc>
          <w:tcPr>
            <w:tcW w:w="8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15,856</w:t>
            </w:r>
          </w:p>
        </w:tc>
        <w:tc>
          <w:tcPr>
            <w:tcW w:w="8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44,392</w:t>
            </w:r>
          </w:p>
        </w:tc>
        <w:tc>
          <w:tcPr>
            <w:tcW w:w="10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102,051</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411,725</w:t>
            </w:r>
          </w:p>
        </w:tc>
        <w:tc>
          <w:tcPr>
            <w:tcW w:w="8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393,460</w:t>
            </w:r>
          </w:p>
        </w:tc>
        <w:tc>
          <w:tcPr>
            <w:tcW w:w="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989,387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Liabilities</w:t>
            </w: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Accounts payable to re-insurers and co-insurers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25,134</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25,134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color w:val="auto"/>
                <w:w w:val="97"/>
              </w:rPr>
              <w:t>Technical, insurance claims reserves and reserves</w:t>
            </w:r>
          </w:p>
        </w:tc>
        <w:tc>
          <w:tcPr>
            <w:tcW w:w="6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color w:val="auto"/>
              </w:rPr>
              <w:t>for unearned premiums</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2,149</w:t>
            </w:r>
          </w:p>
        </w:tc>
        <w:tc>
          <w:tcPr>
            <w:tcW w:w="8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4,298</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19,341</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78,611</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274,741</w:t>
            </w:r>
          </w:p>
        </w:tc>
        <w:tc>
          <w:tcPr>
            <w:tcW w:w="82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249,081</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628,221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Other liabilities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46,104</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46,104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Equity</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FFCC"/>
            </w:tcBorders>
            <w:shd w:val="clear" w:color="auto" w:fill="CCFFCC"/>
          </w:tcPr>
          <w:p>
            <w:pPr>
              <w:spacing w:after="0"/>
              <w:rPr>
                <w:sz w:val="15"/>
                <w:szCs w:val="15"/>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FFCC"/>
            </w:tcBorders>
            <w:shd w:val="clear" w:color="auto" w:fill="CCFFCC"/>
          </w:tcPr>
          <w:p>
            <w:pPr>
              <w:spacing w:after="0"/>
              <w:rPr>
                <w:sz w:val="15"/>
                <w:szCs w:val="15"/>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5"/>
                <w:szCs w:val="15"/>
                <w:color w:val="auto"/>
              </w:rPr>
            </w:pPr>
          </w:p>
        </w:tc>
        <w:tc>
          <w:tcPr>
            <w:tcW w:w="8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289,928</w:t>
            </w:r>
          </w:p>
        </w:tc>
        <w:tc>
          <w:tcPr>
            <w:tcW w:w="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289,928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Total liabilities and equity</w:t>
            </w:r>
          </w:p>
        </w:tc>
        <w:tc>
          <w:tcPr>
            <w:tcW w:w="660" w:type="dxa"/>
            <w:vAlign w:val="bottom"/>
          </w:tcPr>
          <w:p>
            <w:pPr>
              <w:jc w:val="right"/>
              <w:spacing w:after="0"/>
              <w:rPr>
                <w:sz w:val="20"/>
                <w:szCs w:val="20"/>
                <w:color w:val="auto"/>
              </w:rPr>
            </w:pPr>
            <w:r>
              <w:rPr>
                <w:rFonts w:ascii="Arial" w:cs="Arial" w:eastAsia="Arial" w:hAnsi="Arial"/>
                <w:sz w:val="14"/>
                <w:szCs w:val="14"/>
                <w:color w:val="auto"/>
              </w:rPr>
              <w:t>2,149</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4,298</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19,341</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78,611</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274,741</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610,247</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989,387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Marginal gap</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19,754</w:t>
            </w:r>
          </w:p>
        </w:tc>
        <w:tc>
          <w:tcPr>
            <w:tcW w:w="8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11,558</w:t>
            </w:r>
          </w:p>
        </w:tc>
        <w:tc>
          <w:tcPr>
            <w:tcW w:w="80" w:type="dxa"/>
            <w:vAlign w:val="bottom"/>
            <w:tcBorders>
              <w:bottom w:val="single" w:sz="8" w:color="CCFFCC"/>
            </w:tcBorders>
            <w:shd w:val="clear" w:color="auto" w:fill="CCFFCC"/>
          </w:tcPr>
          <w:p>
            <w:pPr>
              <w:spacing w:after="0"/>
              <w:rPr>
                <w:sz w:val="17"/>
                <w:szCs w:val="17"/>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25,051</w:t>
            </w:r>
          </w:p>
        </w:tc>
        <w:tc>
          <w:tcPr>
            <w:tcW w:w="100" w:type="dxa"/>
            <w:vAlign w:val="bottom"/>
            <w:tcBorders>
              <w:bottom w:val="single" w:sz="8" w:color="CCFFCC"/>
            </w:tcBorders>
            <w:shd w:val="clear" w:color="auto" w:fill="CCFFCC"/>
          </w:tcPr>
          <w:p>
            <w:pPr>
              <w:spacing w:after="0"/>
              <w:rPr>
                <w:sz w:val="17"/>
                <w:szCs w:val="17"/>
                <w:color w:val="auto"/>
              </w:rPr>
            </w:pPr>
          </w:p>
        </w:tc>
        <w:tc>
          <w:tcPr>
            <w:tcW w:w="8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23,440</w:t>
            </w:r>
          </w:p>
        </w:tc>
        <w:tc>
          <w:tcPr>
            <w:tcW w:w="9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136,984</w:t>
            </w: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(216,787</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w w:val="84"/>
              </w:rPr>
              <w:t>)</w:t>
            </w: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Accumulated gap</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19,754</w:t>
            </w:r>
          </w:p>
        </w:tc>
        <w:tc>
          <w:tcPr>
            <w:tcW w:w="8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31,312</w:t>
            </w:r>
          </w:p>
        </w:tc>
        <w:tc>
          <w:tcPr>
            <w:tcW w:w="8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56,363</w:t>
            </w:r>
          </w:p>
        </w:tc>
        <w:tc>
          <w:tcPr>
            <w:tcW w:w="10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79,803</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216,787</w:t>
            </w:r>
          </w:p>
        </w:tc>
        <w:tc>
          <w:tcPr>
            <w:tcW w:w="82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75" w:right="1440"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280"/>
        <w:spacing w:after="0" w:line="277" w:lineRule="auto"/>
        <w:rPr>
          <w:sz w:val="20"/>
          <w:szCs w:val="20"/>
          <w:color w:val="auto"/>
        </w:rPr>
      </w:pPr>
      <w:r>
        <w:rPr>
          <w:rFonts w:ascii="Arial" w:cs="Arial" w:eastAsia="Arial" w:hAnsi="Arial"/>
          <w:sz w:val="18"/>
          <w:szCs w:val="18"/>
          <w:color w:val="auto"/>
        </w:rPr>
        <w:t>The following tables demonstrate the sensitivity to a reasonably possible change in interest rates, with all other variables held constant, in consolidated income statement and equity of the insurance activity, before income tax:</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December 31, 2007</w:t>
            </w:r>
          </w:p>
        </w:tc>
        <w:tc>
          <w:tcPr>
            <w:tcW w:w="1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Changes in basis</w:t>
            </w:r>
          </w:p>
        </w:tc>
        <w:tc>
          <w:tcPr>
            <w:tcW w:w="540" w:type="dxa"/>
            <w:vAlign w:val="bottom"/>
          </w:tcPr>
          <w:p>
            <w:pPr>
              <w:spacing w:after="0"/>
              <w:rPr>
                <w:sz w:val="13"/>
                <w:szCs w:val="13"/>
                <w:color w:val="auto"/>
              </w:rPr>
            </w:pPr>
          </w:p>
        </w:tc>
        <w:tc>
          <w:tcPr>
            <w:tcW w:w="1560" w:type="dxa"/>
            <w:vAlign w:val="bottom"/>
          </w:tcPr>
          <w:p>
            <w:pPr>
              <w:ind w:left="400"/>
              <w:spacing w:after="0" w:line="160" w:lineRule="exact"/>
              <w:rPr>
                <w:sz w:val="20"/>
                <w:szCs w:val="20"/>
                <w:color w:val="auto"/>
              </w:rPr>
            </w:pPr>
            <w:r>
              <w:rPr>
                <w:rFonts w:ascii="Arial" w:cs="Arial" w:eastAsia="Arial" w:hAnsi="Arial"/>
                <w:sz w:val="14"/>
                <w:szCs w:val="14"/>
                <w:b w:val="1"/>
                <w:bCs w:val="1"/>
                <w:color w:val="auto"/>
              </w:rPr>
              <w:t>Sensitivity of net</w:t>
            </w:r>
          </w:p>
        </w:tc>
        <w:tc>
          <w:tcPr>
            <w:tcW w:w="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ind w:left="760"/>
              <w:spacing w:after="0"/>
              <w:rPr>
                <w:sz w:val="20"/>
                <w:szCs w:val="20"/>
                <w:color w:val="auto"/>
              </w:rPr>
            </w:pPr>
            <w:r>
              <w:rPr>
                <w:rFonts w:ascii="Arial" w:cs="Arial" w:eastAsia="Arial" w:hAnsi="Arial"/>
                <w:sz w:val="14"/>
                <w:szCs w:val="14"/>
                <w:b w:val="1"/>
                <w:bCs w:val="1"/>
                <w:color w:val="auto"/>
              </w:rPr>
              <w:t>Currency</w:t>
            </w:r>
          </w:p>
        </w:tc>
        <w:tc>
          <w:tcPr>
            <w:tcW w:w="1660" w:type="dxa"/>
            <w:vAlign w:val="bottom"/>
          </w:tcPr>
          <w:p>
            <w:pPr>
              <w:jc w:val="right"/>
              <w:ind w:right="388"/>
              <w:spacing w:after="0"/>
              <w:rPr>
                <w:sz w:val="20"/>
                <w:szCs w:val="20"/>
                <w:color w:val="auto"/>
              </w:rPr>
            </w:pPr>
            <w:r>
              <w:rPr>
                <w:rFonts w:ascii="Arial" w:cs="Arial" w:eastAsia="Arial" w:hAnsi="Arial"/>
                <w:sz w:val="14"/>
                <w:szCs w:val="14"/>
                <w:b w:val="1"/>
                <w:bCs w:val="1"/>
                <w:color w:val="auto"/>
              </w:rPr>
              <w:t>points</w:t>
            </w:r>
          </w:p>
        </w:tc>
        <w:tc>
          <w:tcPr>
            <w:tcW w:w="540" w:type="dxa"/>
            <w:vAlign w:val="bottom"/>
          </w:tcPr>
          <w:p>
            <w:pPr>
              <w:spacing w:after="0"/>
              <w:rPr>
                <w:sz w:val="15"/>
                <w:szCs w:val="15"/>
                <w:color w:val="auto"/>
              </w:rPr>
            </w:pPr>
          </w:p>
        </w:tc>
        <w:tc>
          <w:tcPr>
            <w:tcW w:w="1560" w:type="dxa"/>
            <w:vAlign w:val="bottom"/>
          </w:tcPr>
          <w:p>
            <w:pPr>
              <w:ind w:left="680"/>
              <w:spacing w:after="0"/>
              <w:rPr>
                <w:sz w:val="20"/>
                <w:szCs w:val="20"/>
                <w:color w:val="auto"/>
              </w:rPr>
            </w:pPr>
            <w:r>
              <w:rPr>
                <w:rFonts w:ascii="Arial" w:cs="Arial" w:eastAsia="Arial" w:hAnsi="Arial"/>
                <w:sz w:val="14"/>
                <w:szCs w:val="14"/>
                <w:b w:val="1"/>
                <w:bCs w:val="1"/>
                <w:color w:val="auto"/>
              </w:rPr>
              <w:t>income</w:t>
            </w:r>
          </w:p>
        </w:tc>
        <w:tc>
          <w:tcPr>
            <w:tcW w:w="6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Sensitivity of Equity</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tcPr>
          <w:p>
            <w:pPr>
              <w:ind w:left="620"/>
              <w:spacing w:after="0"/>
              <w:rPr>
                <w:sz w:val="20"/>
                <w:szCs w:val="20"/>
                <w:color w:val="auto"/>
              </w:rPr>
            </w:pPr>
            <w:r>
              <w:rPr>
                <w:rFonts w:ascii="Arial" w:cs="Arial" w:eastAsia="Arial" w:hAnsi="Arial"/>
                <w:sz w:val="14"/>
                <w:szCs w:val="14"/>
                <w:color w:val="auto"/>
              </w:rPr>
              <w:t>US$(000)</w:t>
            </w:r>
          </w:p>
        </w:tc>
        <w:tc>
          <w:tcPr>
            <w:tcW w:w="620" w:type="dxa"/>
            <w:vAlign w:val="bottom"/>
          </w:tcPr>
          <w:p>
            <w:pPr>
              <w:spacing w:after="0"/>
              <w:rPr>
                <w:sz w:val="15"/>
                <w:szCs w:val="15"/>
                <w:color w:val="auto"/>
              </w:rPr>
            </w:pP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US$(000)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U.S. Dollar</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50</w:t>
            </w:r>
          </w:p>
        </w:tc>
        <w:tc>
          <w:tcPr>
            <w:tcW w:w="156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129</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9,883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U.S. Dollar</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560" w:type="dxa"/>
            <w:vAlign w:val="bottom"/>
          </w:tcPr>
          <w:p>
            <w:pPr>
              <w:ind w:left="6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194</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14,824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U.S. Dollar</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100</w:t>
            </w:r>
          </w:p>
        </w:tc>
        <w:tc>
          <w:tcPr>
            <w:tcW w:w="156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259</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w w:val="93"/>
              </w:rPr>
              <w:t>19,766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U.S. Dollar</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1560" w:type="dxa"/>
            <w:vAlign w:val="bottom"/>
          </w:tcPr>
          <w:p>
            <w:pPr>
              <w:ind w:left="6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388</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29,649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Peruvian Currency</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50</w:t>
            </w:r>
          </w:p>
        </w:tc>
        <w:tc>
          <w:tcPr>
            <w:tcW w:w="156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50</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Peruvian Currency</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560" w:type="dxa"/>
            <w:vAlign w:val="bottom"/>
          </w:tcPr>
          <w:p>
            <w:pPr>
              <w:ind w:left="6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75</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Peruvian Currency</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100</w:t>
            </w:r>
          </w:p>
        </w:tc>
        <w:tc>
          <w:tcPr>
            <w:tcW w:w="156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101</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3,066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Peruvian Currency</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1560" w:type="dxa"/>
            <w:vAlign w:val="bottom"/>
          </w:tcPr>
          <w:p>
            <w:pPr>
              <w:ind w:left="6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151</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bl>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December 31, 2006</w:t>
            </w:r>
          </w:p>
        </w:tc>
        <w:tc>
          <w:tcPr>
            <w:tcW w:w="1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Changes in basis</w:t>
            </w:r>
          </w:p>
        </w:tc>
        <w:tc>
          <w:tcPr>
            <w:tcW w:w="540" w:type="dxa"/>
            <w:vAlign w:val="bottom"/>
          </w:tcPr>
          <w:p>
            <w:pPr>
              <w:spacing w:after="0"/>
              <w:rPr>
                <w:sz w:val="13"/>
                <w:szCs w:val="13"/>
                <w:color w:val="auto"/>
              </w:rPr>
            </w:pPr>
          </w:p>
        </w:tc>
        <w:tc>
          <w:tcPr>
            <w:tcW w:w="1500" w:type="dxa"/>
            <w:vAlign w:val="bottom"/>
          </w:tcPr>
          <w:p>
            <w:pPr>
              <w:ind w:left="400"/>
              <w:spacing w:after="0" w:line="160" w:lineRule="exact"/>
              <w:rPr>
                <w:sz w:val="20"/>
                <w:szCs w:val="20"/>
                <w:color w:val="auto"/>
              </w:rPr>
            </w:pPr>
            <w:r>
              <w:rPr>
                <w:rFonts w:ascii="Arial" w:cs="Arial" w:eastAsia="Arial" w:hAnsi="Arial"/>
                <w:sz w:val="14"/>
                <w:szCs w:val="14"/>
                <w:b w:val="1"/>
                <w:bCs w:val="1"/>
                <w:color w:val="auto"/>
                <w:w w:val="96"/>
              </w:rPr>
              <w:t>Sensitivity of net</w:t>
            </w:r>
          </w:p>
        </w:tc>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00" w:type="dxa"/>
            <w:vAlign w:val="bottom"/>
          </w:tcPr>
          <w:p>
            <w:pPr>
              <w:ind w:left="760"/>
              <w:spacing w:after="0"/>
              <w:rPr>
                <w:sz w:val="20"/>
                <w:szCs w:val="20"/>
                <w:color w:val="auto"/>
              </w:rPr>
            </w:pPr>
            <w:r>
              <w:rPr>
                <w:rFonts w:ascii="Arial" w:cs="Arial" w:eastAsia="Arial" w:hAnsi="Arial"/>
                <w:sz w:val="14"/>
                <w:szCs w:val="14"/>
                <w:b w:val="1"/>
                <w:bCs w:val="1"/>
                <w:color w:val="auto"/>
              </w:rPr>
              <w:t>Currency</w:t>
            </w:r>
          </w:p>
        </w:tc>
        <w:tc>
          <w:tcPr>
            <w:tcW w:w="1660" w:type="dxa"/>
            <w:vAlign w:val="bottom"/>
          </w:tcPr>
          <w:p>
            <w:pPr>
              <w:jc w:val="right"/>
              <w:ind w:right="388"/>
              <w:spacing w:after="0"/>
              <w:rPr>
                <w:sz w:val="20"/>
                <w:szCs w:val="20"/>
                <w:color w:val="auto"/>
              </w:rPr>
            </w:pPr>
            <w:r>
              <w:rPr>
                <w:rFonts w:ascii="Arial" w:cs="Arial" w:eastAsia="Arial" w:hAnsi="Arial"/>
                <w:sz w:val="14"/>
                <w:szCs w:val="14"/>
                <w:b w:val="1"/>
                <w:bCs w:val="1"/>
                <w:color w:val="auto"/>
              </w:rPr>
              <w:t>points</w:t>
            </w:r>
          </w:p>
        </w:tc>
        <w:tc>
          <w:tcPr>
            <w:tcW w:w="540" w:type="dxa"/>
            <w:vAlign w:val="bottom"/>
          </w:tcPr>
          <w:p>
            <w:pPr>
              <w:spacing w:after="0"/>
              <w:rPr>
                <w:sz w:val="15"/>
                <w:szCs w:val="15"/>
                <w:color w:val="auto"/>
              </w:rPr>
            </w:pPr>
          </w:p>
        </w:tc>
        <w:tc>
          <w:tcPr>
            <w:tcW w:w="1500" w:type="dxa"/>
            <w:vAlign w:val="bottom"/>
          </w:tcPr>
          <w:p>
            <w:pPr>
              <w:ind w:left="680"/>
              <w:spacing w:after="0"/>
              <w:rPr>
                <w:sz w:val="20"/>
                <w:szCs w:val="20"/>
                <w:color w:val="auto"/>
              </w:rPr>
            </w:pPr>
            <w:r>
              <w:rPr>
                <w:rFonts w:ascii="Arial" w:cs="Arial" w:eastAsia="Arial" w:hAnsi="Arial"/>
                <w:sz w:val="14"/>
                <w:szCs w:val="14"/>
                <w:b w:val="1"/>
                <w:bCs w:val="1"/>
                <w:color w:val="auto"/>
              </w:rPr>
              <w:t>income</w:t>
            </w:r>
          </w:p>
        </w:tc>
        <w:tc>
          <w:tcPr>
            <w:tcW w:w="6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Sensitivity of Equity</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ind w:left="620"/>
              <w:spacing w:after="0"/>
              <w:rPr>
                <w:sz w:val="20"/>
                <w:szCs w:val="20"/>
                <w:color w:val="auto"/>
              </w:rPr>
            </w:pPr>
            <w:r>
              <w:rPr>
                <w:rFonts w:ascii="Arial" w:cs="Arial" w:eastAsia="Arial" w:hAnsi="Arial"/>
                <w:sz w:val="14"/>
                <w:szCs w:val="14"/>
                <w:color w:val="auto"/>
              </w:rPr>
              <w:t>US$(000)</w:t>
            </w:r>
          </w:p>
        </w:tc>
        <w:tc>
          <w:tcPr>
            <w:tcW w:w="680" w:type="dxa"/>
            <w:vAlign w:val="bottom"/>
          </w:tcPr>
          <w:p>
            <w:pPr>
              <w:spacing w:after="0"/>
              <w:rPr>
                <w:sz w:val="15"/>
                <w:szCs w:val="15"/>
                <w:color w:val="auto"/>
              </w:rPr>
            </w:pP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US$(000)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U.S. Dollar</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50</w:t>
            </w:r>
          </w:p>
        </w:tc>
        <w:tc>
          <w:tcPr>
            <w:tcW w:w="150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694</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9,863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U.S. Dollar</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500" w:type="dxa"/>
            <w:vAlign w:val="bottom"/>
          </w:tcPr>
          <w:p>
            <w:pPr>
              <w:ind w:left="6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1,040</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14,794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U.S. Dollar</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100</w:t>
            </w:r>
          </w:p>
        </w:tc>
        <w:tc>
          <w:tcPr>
            <w:tcW w:w="150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1,387</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w w:val="93"/>
              </w:rPr>
              <w:t>19,726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U.S. Dollar</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1500" w:type="dxa"/>
            <w:vAlign w:val="bottom"/>
          </w:tcPr>
          <w:p>
            <w:pPr>
              <w:ind w:left="6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2,081</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29,589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Peruvian Currency</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50</w:t>
            </w:r>
          </w:p>
        </w:tc>
        <w:tc>
          <w:tcPr>
            <w:tcW w:w="150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26</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Peruvian Currency</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500" w:type="dxa"/>
            <w:vAlign w:val="bottom"/>
          </w:tcPr>
          <w:p>
            <w:pPr>
              <w:ind w:left="6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38</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4"/>
                <w:szCs w:val="14"/>
                <w:color w:val="auto"/>
              </w:rPr>
              <w:t>Peruvian Currency</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100</w:t>
            </w:r>
          </w:p>
        </w:tc>
        <w:tc>
          <w:tcPr>
            <w:tcW w:w="1500" w:type="dxa"/>
            <w:vAlign w:val="bottom"/>
            <w:shd w:val="clear" w:color="auto" w:fill="CCFFCC"/>
          </w:tcPr>
          <w:p>
            <w:pPr>
              <w:ind w:left="6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rPr>
              <w:t>51</w:t>
            </w:r>
          </w:p>
        </w:tc>
        <w:tc>
          <w:tcPr>
            <w:tcW w:w="152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4"/>
                <w:szCs w:val="14"/>
                <w:color w:val="auto"/>
              </w:rPr>
              <w:t>Peruvian Currency</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1500" w:type="dxa"/>
            <w:vAlign w:val="bottom"/>
          </w:tcPr>
          <w:p>
            <w:pPr>
              <w:ind w:left="6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77</w:t>
            </w:r>
          </w:p>
        </w:tc>
        <w:tc>
          <w:tcPr>
            <w:tcW w:w="152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4,102</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1140"/>
        <w:spacing w:after="0" w:line="312" w:lineRule="auto"/>
        <w:rPr>
          <w:sz w:val="20"/>
          <w:szCs w:val="20"/>
          <w:color w:val="auto"/>
        </w:rPr>
      </w:pPr>
      <w:r>
        <w:rPr>
          <w:rFonts w:ascii="Arial" w:cs="Arial" w:eastAsia="Arial" w:hAnsi="Arial"/>
          <w:sz w:val="16"/>
          <w:szCs w:val="16"/>
          <w:color w:val="auto"/>
        </w:rPr>
        <w:t>The interest rate sensitivities set out in the table above are illustrative only and employ simplified scenarios. It should be note that the effects may not be linear and therefore the results cannot be extrapolated. The sensitivities do not incorporate actions that could be taken by management to mitigate the effect of the interest rate movements, nor do the take account of any resultant changes in policyholder behaviors.</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75" w:right="3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Foreign exchange risk of the insurance activity -</w:t>
      </w:r>
    </w:p>
    <w:p>
      <w:pPr>
        <w:spacing w:after="0" w:line="23" w:lineRule="exact"/>
        <w:rPr>
          <w:rFonts w:ascii="Arial" w:cs="Arial" w:eastAsia="Arial" w:hAnsi="Arial"/>
          <w:sz w:val="18"/>
          <w:szCs w:val="18"/>
          <w:color w:val="auto"/>
        </w:rPr>
      </w:pPr>
    </w:p>
    <w:p>
      <w:pPr>
        <w:ind w:left="1140" w:right="16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2007 and 2006, the insurance activity assets and liabilities by currencies after the eliminations for consolidation were as follows: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Peruvian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 Dollars</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Currency</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800,899</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259,279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1,060,178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Monetary liabilities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(636,170)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(211,013)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(847,183)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monetary position</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164,729</w:t>
            </w:r>
          </w:p>
        </w:tc>
        <w:tc>
          <w:tcPr>
            <w:tcW w:w="180" w:type="dxa"/>
            <w:vAlign w:val="bottom"/>
            <w:tcBorders>
              <w:bottom w:val="single" w:sz="8" w:color="CCFFCC"/>
            </w:tcBorders>
            <w:shd w:val="clear" w:color="auto" w:fill="CCFFCC"/>
          </w:tcPr>
          <w:p>
            <w:pPr>
              <w:spacing w:after="0"/>
              <w:rPr>
                <w:sz w:val="19"/>
                <w:szCs w:val="19"/>
                <w:color w:val="auto"/>
              </w:rPr>
            </w:pPr>
          </w:p>
        </w:tc>
        <w:tc>
          <w:tcPr>
            <w:tcW w:w="14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48,266</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212,995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rPr>
              <w:t>Peruvian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U.S. Dollars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00" w:type="dxa"/>
            <w:vAlign w:val="bottom"/>
            <w:shd w:val="clear" w:color="auto" w:fill="CCFFCC"/>
          </w:tcPr>
          <w:p>
            <w:pPr>
              <w:spacing w:after="0"/>
              <w:rPr>
                <w:sz w:val="23"/>
                <w:szCs w:val="23"/>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US$(000)</w:t>
            </w:r>
          </w:p>
        </w:tc>
        <w:tc>
          <w:tcPr>
            <w:tcW w:w="142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US$(000)</w:t>
            </w:r>
          </w:p>
        </w:tc>
        <w:tc>
          <w:tcPr>
            <w:tcW w:w="13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592,875</w:t>
            </w:r>
          </w:p>
        </w:tc>
        <w:tc>
          <w:tcPr>
            <w:tcW w:w="1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324,363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917,237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Monetary liabilities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(483,995)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(199,777)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(683,772)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monetary position</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108,880</w:t>
            </w:r>
          </w:p>
        </w:tc>
        <w:tc>
          <w:tcPr>
            <w:tcW w:w="180" w:type="dxa"/>
            <w:vAlign w:val="bottom"/>
            <w:tcBorders>
              <w:bottom w:val="single" w:sz="8" w:color="CCFFCC"/>
            </w:tcBorders>
            <w:shd w:val="clear" w:color="auto" w:fill="CCFFCC"/>
          </w:tcPr>
          <w:p>
            <w:pPr>
              <w:spacing w:after="0"/>
              <w:rPr>
                <w:sz w:val="19"/>
                <w:szCs w:val="19"/>
                <w:color w:val="auto"/>
              </w:rPr>
            </w:pPr>
          </w:p>
        </w:tc>
        <w:tc>
          <w:tcPr>
            <w:tcW w:w="14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124,585</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233,465</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100"/>
        <w:spacing w:after="0" w:line="257" w:lineRule="auto"/>
        <w:rPr>
          <w:sz w:val="20"/>
          <w:szCs w:val="20"/>
          <w:color w:val="auto"/>
        </w:rPr>
      </w:pPr>
      <w:r>
        <w:rPr>
          <w:rFonts w:ascii="Arial" w:cs="Arial" w:eastAsia="Arial" w:hAnsi="Arial"/>
          <w:sz w:val="18"/>
          <w:szCs w:val="18"/>
          <w:color w:val="auto"/>
        </w:rPr>
        <w:t>The table below shows the sensitivity analysis of the Peruvian Currency as of 31 December 2007 and 2006 on the insurance activity non-trading monetary assets and liabilities and its forecast cash flows. The analysis calculates the effect of a reasonably possible movement of the currency rate against the U.S. Dollar on the consolidated income statement, with all other variables held constant, before income tax. A negative amount in the table reflects a potential net reduction in consolidated income statement, while a positive amount reflects a net potential increase.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3180" w:type="dxa"/>
            <w:vAlign w:val="bottom"/>
          </w:tcPr>
          <w:p>
            <w:pPr>
              <w:jc w:val="right"/>
              <w:ind w:right="530"/>
              <w:spacing w:after="0"/>
              <w:rPr>
                <w:sz w:val="20"/>
                <w:szCs w:val="20"/>
                <w:color w:val="auto"/>
              </w:rPr>
            </w:pPr>
            <w:r>
              <w:rPr>
                <w:rFonts w:ascii="Arial" w:cs="Arial" w:eastAsia="Arial" w:hAnsi="Arial"/>
                <w:sz w:val="18"/>
                <w:szCs w:val="18"/>
                <w:b w:val="1"/>
                <w:bCs w:val="1"/>
                <w:color w:val="auto"/>
              </w:rPr>
              <w:t>Change in</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Sensitivity Analysis</w:t>
            </w:r>
          </w:p>
        </w:tc>
        <w:tc>
          <w:tcPr>
            <w:tcW w:w="3180" w:type="dxa"/>
            <w:vAlign w:val="bottom"/>
          </w:tcPr>
          <w:p>
            <w:pPr>
              <w:jc w:val="right"/>
              <w:ind w:right="370"/>
              <w:spacing w:after="0"/>
              <w:rPr>
                <w:sz w:val="20"/>
                <w:szCs w:val="20"/>
                <w:color w:val="auto"/>
              </w:rPr>
            </w:pPr>
            <w:r>
              <w:rPr>
                <w:rFonts w:ascii="Arial" w:cs="Arial" w:eastAsia="Arial" w:hAnsi="Arial"/>
                <w:sz w:val="18"/>
                <w:szCs w:val="18"/>
                <w:b w:val="1"/>
                <w:bCs w:val="1"/>
                <w:color w:val="auto"/>
              </w:rPr>
              <w:t>currency rates</w:t>
            </w: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2007</w:t>
            </w: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2006</w:t>
            </w:r>
          </w:p>
        </w:tc>
        <w:tc>
          <w:tcPr>
            <w:tcW w:w="2280" w:type="dxa"/>
            <w:vAlign w:val="bottom"/>
          </w:tcPr>
          <w:p>
            <w:pPr>
              <w:spacing w:after="0"/>
              <w:rPr>
                <w:sz w:val="20"/>
                <w:szCs w:val="20"/>
                <w:color w:val="auto"/>
              </w:rPr>
            </w:pPr>
          </w:p>
        </w:tc>
      </w:tr>
      <w:tr>
        <w:trPr>
          <w:trHeight w:val="243"/>
        </w:trPr>
        <w:tc>
          <w:tcPr>
            <w:tcW w:w="2980" w:type="dxa"/>
            <w:vAlign w:val="bottom"/>
          </w:tcPr>
          <w:p>
            <w:pPr>
              <w:spacing w:after="0"/>
              <w:rPr>
                <w:sz w:val="21"/>
                <w:szCs w:val="21"/>
                <w:color w:val="auto"/>
              </w:rPr>
            </w:pPr>
          </w:p>
        </w:tc>
        <w:tc>
          <w:tcPr>
            <w:tcW w:w="318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US$(000)</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US$(000)</w:t>
            </w:r>
          </w:p>
        </w:tc>
        <w:tc>
          <w:tcPr>
            <w:tcW w:w="2280" w:type="dxa"/>
            <w:vAlign w:val="bottom"/>
          </w:tcPr>
          <w:p>
            <w:pPr>
              <w:spacing w:after="0"/>
              <w:rPr>
                <w:sz w:val="21"/>
                <w:szCs w:val="21"/>
                <w:color w:val="auto"/>
              </w:rPr>
            </w:pPr>
          </w:p>
        </w:tc>
      </w:tr>
      <w:tr>
        <w:trPr>
          <w:trHeight w:val="243"/>
        </w:trPr>
        <w:tc>
          <w:tcPr>
            <w:tcW w:w="29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3180" w:type="dxa"/>
            <w:vAlign w:val="bottom"/>
            <w:shd w:val="clear" w:color="auto" w:fill="CCFFCC"/>
          </w:tcPr>
          <w:p>
            <w:pPr>
              <w:spacing w:after="0"/>
              <w:rPr>
                <w:sz w:val="21"/>
                <w:szCs w:val="21"/>
                <w:color w:val="auto"/>
              </w:rPr>
            </w:pPr>
          </w:p>
        </w:tc>
        <w:tc>
          <w:tcPr>
            <w:tcW w:w="158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Peruvian Currency</w:t>
            </w:r>
          </w:p>
        </w:tc>
        <w:tc>
          <w:tcPr>
            <w:tcW w:w="318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(2,540)</w:t>
            </w:r>
          </w:p>
        </w:tc>
        <w:tc>
          <w:tcPr>
            <w:tcW w:w="1400" w:type="dxa"/>
            <w:vAlign w:val="bottom"/>
          </w:tcPr>
          <w:p>
            <w:pPr>
              <w:jc w:val="right"/>
              <w:spacing w:after="0"/>
              <w:rPr>
                <w:sz w:val="20"/>
                <w:szCs w:val="20"/>
                <w:color w:val="auto"/>
              </w:rPr>
            </w:pPr>
            <w:r>
              <w:rPr>
                <w:rFonts w:ascii="Arial" w:cs="Arial" w:eastAsia="Arial" w:hAnsi="Arial"/>
                <w:sz w:val="18"/>
                <w:szCs w:val="18"/>
                <w:color w:val="auto"/>
              </w:rPr>
              <w:t>(6,557)</w:t>
            </w:r>
          </w:p>
        </w:tc>
        <w:tc>
          <w:tcPr>
            <w:tcW w:w="2280" w:type="dxa"/>
            <w:vAlign w:val="bottom"/>
          </w:tcPr>
          <w:p>
            <w:pPr>
              <w:spacing w:after="0"/>
              <w:rPr>
                <w:sz w:val="21"/>
                <w:szCs w:val="21"/>
                <w:color w:val="auto"/>
              </w:rPr>
            </w:pP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1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w:t>
            </w:r>
          </w:p>
        </w:tc>
        <w:tc>
          <w:tcPr>
            <w:tcW w:w="15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(5,363)</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(13,843)</w:t>
            </w:r>
          </w:p>
        </w:tc>
        <w:tc>
          <w:tcPr>
            <w:tcW w:w="2280" w:type="dxa"/>
            <w:vAlign w:val="bottom"/>
          </w:tcPr>
          <w:p>
            <w:pPr>
              <w:spacing w:after="0"/>
              <w:rPr>
                <w:sz w:val="21"/>
                <w:szCs w:val="21"/>
                <w:color w:val="auto"/>
              </w:rPr>
            </w:pPr>
          </w:p>
        </w:tc>
      </w:tr>
      <w:tr>
        <w:trPr>
          <w:trHeight w:val="243"/>
        </w:trPr>
        <w:tc>
          <w:tcPr>
            <w:tcW w:w="29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3180" w:type="dxa"/>
            <w:vAlign w:val="bottom"/>
            <w:shd w:val="clear" w:color="auto" w:fill="CCFFCC"/>
          </w:tcPr>
          <w:p>
            <w:pPr>
              <w:spacing w:after="0"/>
              <w:rPr>
                <w:sz w:val="21"/>
                <w:szCs w:val="21"/>
                <w:color w:val="auto"/>
              </w:rPr>
            </w:pPr>
          </w:p>
        </w:tc>
        <w:tc>
          <w:tcPr>
            <w:tcW w:w="158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2280" w:type="dxa"/>
            <w:vAlign w:val="bottom"/>
          </w:tcPr>
          <w:p>
            <w:pPr>
              <w:spacing w:after="0"/>
              <w:rPr>
                <w:sz w:val="21"/>
                <w:szCs w:val="2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Peruvian Currency</w:t>
            </w:r>
          </w:p>
        </w:tc>
        <w:tc>
          <w:tcPr>
            <w:tcW w:w="318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2,298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5,933</w:t>
            </w:r>
          </w:p>
        </w:tc>
        <w:tc>
          <w:tcPr>
            <w:tcW w:w="2280" w:type="dxa"/>
            <w:vAlign w:val="bottom"/>
          </w:tcPr>
          <w:p>
            <w:pPr>
              <w:spacing w:after="0"/>
              <w:rPr>
                <w:sz w:val="21"/>
                <w:szCs w:val="21"/>
                <w:color w:val="auto"/>
              </w:rPr>
            </w:pPr>
          </w:p>
        </w:tc>
      </w:tr>
      <w:tr>
        <w:trPr>
          <w:trHeight w:val="243"/>
        </w:trPr>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1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w:t>
            </w:r>
          </w:p>
        </w:tc>
        <w:tc>
          <w:tcPr>
            <w:tcW w:w="158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4,388</w:t>
            </w:r>
          </w:p>
        </w:tc>
        <w:tc>
          <w:tcPr>
            <w:tcW w:w="1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11,326</w:t>
            </w:r>
          </w:p>
        </w:tc>
        <w:tc>
          <w:tcPr>
            <w:tcW w:w="2280" w:type="dxa"/>
            <w:vAlign w:val="bottom"/>
          </w:tcPr>
          <w:p>
            <w:pPr>
              <w:spacing w:after="0"/>
              <w:rPr>
                <w:sz w:val="21"/>
                <w:szCs w:val="21"/>
                <w:color w:val="auto"/>
              </w:rPr>
            </w:pPr>
          </w:p>
        </w:tc>
      </w:tr>
      <w:tr>
        <w:trPr>
          <w:trHeight w:val="486"/>
        </w:trPr>
        <w:tc>
          <w:tcPr>
            <w:tcW w:w="2980" w:type="dxa"/>
            <w:vAlign w:val="bottom"/>
          </w:tcPr>
          <w:p>
            <w:pPr>
              <w:spacing w:after="0"/>
              <w:rPr>
                <w:sz w:val="24"/>
                <w:szCs w:val="24"/>
                <w:color w:val="auto"/>
              </w:rPr>
            </w:pPr>
          </w:p>
        </w:tc>
        <w:tc>
          <w:tcPr>
            <w:tcW w:w="3180" w:type="dxa"/>
            <w:vAlign w:val="bottom"/>
          </w:tcPr>
          <w:p>
            <w:pPr>
              <w:jc w:val="right"/>
              <w:ind w:right="150"/>
              <w:spacing w:after="0"/>
              <w:rPr>
                <w:sz w:val="20"/>
                <w:szCs w:val="20"/>
                <w:color w:val="auto"/>
              </w:rPr>
            </w:pPr>
            <w:r>
              <w:rPr>
                <w:rFonts w:ascii="Arial" w:cs="Arial" w:eastAsia="Arial" w:hAnsi="Arial"/>
                <w:sz w:val="18"/>
                <w:szCs w:val="18"/>
                <w:color w:val="auto"/>
              </w:rPr>
              <w:t>F-130</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98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79" w:lineRule="exact"/>
        <w:rPr>
          <w:rFonts w:ascii="Arial" w:cs="Arial" w:eastAsia="Arial" w:hAnsi="Arial"/>
          <w:sz w:val="18"/>
          <w:szCs w:val="18"/>
          <w:color w:val="auto"/>
        </w:rPr>
      </w:pPr>
    </w:p>
    <w:p>
      <w:pPr>
        <w:ind w:left="1140"/>
        <w:spacing w:after="0" w:line="264" w:lineRule="auto"/>
        <w:rPr>
          <w:rFonts w:ascii="Arial" w:cs="Arial" w:eastAsia="Arial" w:hAnsi="Arial"/>
          <w:sz w:val="18"/>
          <w:szCs w:val="18"/>
          <w:color w:val="auto"/>
        </w:rPr>
      </w:pPr>
      <w:r>
        <w:rPr>
          <w:rFonts w:ascii="Arial" w:cs="Arial" w:eastAsia="Arial" w:hAnsi="Arial"/>
          <w:sz w:val="18"/>
          <w:szCs w:val="18"/>
          <w:color w:val="auto"/>
        </w:rPr>
        <w:t>The insurance companies of the Group are exposed to requirements of cash available, mainly for contracts of insurance claims of short term. The liquidity risk is the risk that the cash may not be available to pay obligations at their maturity at a reasonable cost. The Group holds the available funds for covering its liabilities according to their maturity and unexpected claims.</w:t>
      </w:r>
    </w:p>
    <w:p>
      <w:pPr>
        <w:spacing w:after="0" w:line="235" w:lineRule="exact"/>
        <w:rPr>
          <w:sz w:val="20"/>
          <w:szCs w:val="20"/>
          <w:color w:val="auto"/>
        </w:rPr>
      </w:pPr>
    </w:p>
    <w:p>
      <w:pPr>
        <w:ind w:left="1140" w:right="40"/>
        <w:spacing w:after="0" w:line="264" w:lineRule="auto"/>
        <w:rPr>
          <w:sz w:val="20"/>
          <w:szCs w:val="20"/>
          <w:color w:val="auto"/>
        </w:rPr>
      </w:pPr>
      <w:r>
        <w:rPr>
          <w:rFonts w:ascii="Arial" w:cs="Arial" w:eastAsia="Arial" w:hAnsi="Arial"/>
          <w:sz w:val="18"/>
          <w:szCs w:val="18"/>
          <w:color w:val="auto"/>
        </w:rPr>
        <w:t>The insurance companies of the Group control the liquidity risk through the exposure of the maturity of their liabilities. Therefore, the investment plan has been structured according the maturities in order to manage the risk of fund requirements to cover insurance claims and others, in addition to the Group support.</w:t>
      </w: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75" w:right="39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The table below presents the cash flows payable by the Group under non-derivative financial liabilities by remaining contractual maturities at the consolidated balance sheets dates. The amounts disclosed in the table are the contractual undiscounted cash flows and include the interest raisen:</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w w:val="95"/>
              </w:rPr>
              <w:t>As of December 31, 2007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4"/>
          </w:tcPr>
          <w:p>
            <w:pPr>
              <w:ind w:left="140"/>
              <w:spacing w:after="0"/>
              <w:rPr>
                <w:sz w:val="20"/>
                <w:szCs w:val="20"/>
                <w:color w:val="auto"/>
              </w:rPr>
            </w:pPr>
            <w:r>
              <w:rPr>
                <w:rFonts w:ascii="Arial" w:cs="Arial" w:eastAsia="Arial" w:hAnsi="Arial"/>
                <w:sz w:val="11"/>
                <w:szCs w:val="11"/>
                <w:b w:val="1"/>
                <w:bCs w:val="1"/>
                <w:color w:val="auto"/>
              </w:rPr>
              <w:t>As of December 31, 2006</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60" w:type="dxa"/>
            <w:vAlign w:val="bottom"/>
            <w:gridSpan w:val="24"/>
          </w:tcPr>
          <w:p>
            <w:pPr>
              <w:jc w:val="right"/>
              <w:spacing w:after="0"/>
              <w:rPr>
                <w:sz w:val="20"/>
                <w:szCs w:val="20"/>
                <w:color w:val="auto"/>
              </w:rPr>
            </w:pPr>
            <w:r>
              <w:rPr>
                <w:rFonts w:ascii="Arial" w:cs="Arial" w:eastAsia="Arial" w:hAnsi="Arial"/>
                <w:sz w:val="11"/>
                <w:szCs w:val="11"/>
                <w:b w:val="1"/>
                <w:bCs w:val="1"/>
                <w:color w:val="auto"/>
                <w:w w:val="87"/>
              </w:rPr>
              <w:t>________________________________________________________________________________________________________________________________________________________________________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1"/>
              </w:rPr>
              <w:t>Up to a</w:t>
            </w:r>
          </w:p>
        </w:tc>
        <w:tc>
          <w:tcPr>
            <w:tcW w:w="12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From 1 to 3</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From 3 to 12</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From 1 to 5</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Up to a</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From 1 to 3</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From 3 to 12</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From 1 to 5</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9"/>
              </w:rPr>
              <w:t>month</w:t>
            </w: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years</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0"/>
              </w:rPr>
              <w:t>Over 5 years</w:t>
            </w: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month</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months</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months</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years</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Over 5 years</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2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60"/>
              <w:spacing w:after="0"/>
              <w:rPr>
                <w:sz w:val="20"/>
                <w:szCs w:val="20"/>
                <w:color w:val="auto"/>
              </w:rPr>
            </w:pPr>
            <w:r>
              <w:rPr>
                <w:rFonts w:ascii="Arial" w:cs="Arial" w:eastAsia="Arial" w:hAnsi="Arial"/>
                <w:sz w:val="11"/>
                <w:szCs w:val="11"/>
                <w:color w:val="auto"/>
                <w:w w:val="93"/>
              </w:rPr>
              <w:t>US$(000)</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860" w:type="dxa"/>
            <w:vAlign w:val="bottom"/>
            <w:shd w:val="clear" w:color="auto" w:fill="CCFFCC"/>
          </w:tcPr>
          <w:p>
            <w:pPr>
              <w:spacing w:after="0" w:line="125" w:lineRule="exact"/>
              <w:rPr>
                <w:sz w:val="20"/>
                <w:szCs w:val="20"/>
                <w:color w:val="auto"/>
              </w:rPr>
            </w:pPr>
            <w:r>
              <w:rPr>
                <w:rFonts w:ascii="Arial" w:cs="Arial" w:eastAsia="Arial" w:hAnsi="Arial"/>
                <w:sz w:val="11"/>
                <w:szCs w:val="11"/>
                <w:color w:val="auto"/>
              </w:rPr>
              <w:t>Due to bank and</w:t>
            </w: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tcBorders>
              <w:right w:val="single" w:sz="8" w:color="CCFFCC"/>
            </w:tcBorders>
            <w:shd w:val="clear" w:color="auto" w:fill="CCFFCC"/>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w w:val="92"/>
              </w:rPr>
              <w:t>correspondents</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and Borrowed</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funds</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2,973</w:t>
            </w:r>
          </w:p>
        </w:tc>
        <w:tc>
          <w:tcPr>
            <w:tcW w:w="8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2,973</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color w:val="auto"/>
                <w:w w:val="96"/>
              </w:rPr>
              <w:t>Accounts payable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Pr>
          <w:p>
            <w:pPr>
              <w:ind w:left="140"/>
              <w:spacing w:after="0"/>
              <w:rPr>
                <w:sz w:val="20"/>
                <w:szCs w:val="20"/>
                <w:color w:val="auto"/>
              </w:rPr>
            </w:pPr>
            <w:r>
              <w:rPr>
                <w:rFonts w:ascii="Arial" w:cs="Arial" w:eastAsia="Arial" w:hAnsi="Arial"/>
                <w:sz w:val="11"/>
                <w:szCs w:val="11"/>
                <w:color w:val="auto"/>
              </w:rPr>
              <w:t>to re-insurer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Pr>
          <w:p>
            <w:pPr>
              <w:ind w:left="140"/>
              <w:spacing w:after="0"/>
              <w:rPr>
                <w:sz w:val="20"/>
                <w:szCs w:val="20"/>
                <w:color w:val="auto"/>
              </w:rPr>
            </w:pPr>
            <w:r>
              <w:rPr>
                <w:rFonts w:ascii="Arial" w:cs="Arial" w:eastAsia="Arial" w:hAnsi="Arial"/>
                <w:sz w:val="11"/>
                <w:szCs w:val="11"/>
                <w:color w:val="auto"/>
              </w:rPr>
              <w:t>and co-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0" w:type="dxa"/>
            <w:vAlign w:val="bottom"/>
          </w:tcPr>
          <w:p>
            <w:pPr>
              <w:ind w:left="140"/>
              <w:spacing w:after="0"/>
              <w:rPr>
                <w:sz w:val="20"/>
                <w:szCs w:val="20"/>
                <w:color w:val="auto"/>
              </w:rPr>
            </w:pPr>
            <w:r>
              <w:rPr>
                <w:rFonts w:ascii="Arial" w:cs="Arial" w:eastAsia="Arial" w:hAnsi="Arial"/>
                <w:sz w:val="11"/>
                <w:szCs w:val="11"/>
                <w:color w:val="auto"/>
              </w:rPr>
              <w:t>insurers</w:t>
            </w:r>
          </w:p>
        </w:tc>
        <w:tc>
          <w:tcPr>
            <w:tcW w:w="640" w:type="dxa"/>
            <w:vAlign w:val="bottom"/>
          </w:tcPr>
          <w:p>
            <w:pPr>
              <w:jc w:val="right"/>
              <w:spacing w:after="0"/>
              <w:rPr>
                <w:sz w:val="20"/>
                <w:szCs w:val="20"/>
                <w:color w:val="auto"/>
              </w:rPr>
            </w:pPr>
            <w:r>
              <w:rPr>
                <w:rFonts w:ascii="Arial" w:cs="Arial" w:eastAsia="Arial" w:hAnsi="Arial"/>
                <w:sz w:val="11"/>
                <w:szCs w:val="11"/>
                <w:color w:val="auto"/>
              </w:rPr>
              <w:t>3,507</w:t>
            </w:r>
          </w:p>
        </w:tc>
        <w:tc>
          <w:tcPr>
            <w:tcW w:w="880" w:type="dxa"/>
            <w:vAlign w:val="bottom"/>
            <w:gridSpan w:val="3"/>
          </w:tcPr>
          <w:p>
            <w:pPr>
              <w:jc w:val="right"/>
              <w:ind w:right="120"/>
              <w:spacing w:after="0"/>
              <w:rPr>
                <w:sz w:val="20"/>
                <w:szCs w:val="20"/>
                <w:color w:val="auto"/>
              </w:rPr>
            </w:pPr>
            <w:r>
              <w:rPr>
                <w:rFonts w:ascii="Arial" w:cs="Arial" w:eastAsia="Arial" w:hAnsi="Arial"/>
                <w:sz w:val="11"/>
                <w:szCs w:val="11"/>
                <w:color w:val="auto"/>
              </w:rPr>
              <w:t>10,840</w:t>
            </w:r>
          </w:p>
        </w:tc>
        <w:tc>
          <w:tcPr>
            <w:tcW w:w="620" w:type="dxa"/>
            <w:vAlign w:val="bottom"/>
          </w:tcPr>
          <w:p>
            <w:pPr>
              <w:jc w:val="right"/>
              <w:spacing w:after="0"/>
              <w:rPr>
                <w:sz w:val="20"/>
                <w:szCs w:val="20"/>
                <w:color w:val="auto"/>
              </w:rPr>
            </w:pPr>
            <w:r>
              <w:rPr>
                <w:rFonts w:ascii="Arial" w:cs="Arial" w:eastAsia="Arial" w:hAnsi="Arial"/>
                <w:sz w:val="11"/>
                <w:szCs w:val="11"/>
                <w:color w:val="auto"/>
              </w:rPr>
              <w:t>7,412</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21,914</w:t>
            </w:r>
          </w:p>
        </w:tc>
        <w:tc>
          <w:tcPr>
            <w:tcW w:w="620" w:type="dxa"/>
            <w:vAlign w:val="bottom"/>
          </w:tcPr>
          <w:p>
            <w:pPr>
              <w:jc w:val="right"/>
              <w:spacing w:after="0"/>
              <w:rPr>
                <w:sz w:val="20"/>
                <w:szCs w:val="20"/>
                <w:color w:val="auto"/>
              </w:rPr>
            </w:pPr>
            <w:r>
              <w:rPr>
                <w:rFonts w:ascii="Arial" w:cs="Arial" w:eastAsia="Arial" w:hAnsi="Arial"/>
                <w:sz w:val="11"/>
                <w:szCs w:val="11"/>
                <w:color w:val="auto"/>
              </w:rPr>
              <w:t>9,395</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6,022</w:t>
            </w:r>
          </w:p>
        </w:tc>
        <w:tc>
          <w:tcPr>
            <w:tcW w:w="640" w:type="dxa"/>
            <w:vAlign w:val="bottom"/>
          </w:tcPr>
          <w:p>
            <w:pPr>
              <w:jc w:val="right"/>
              <w:spacing w:after="0"/>
              <w:rPr>
                <w:sz w:val="20"/>
                <w:szCs w:val="20"/>
                <w:color w:val="auto"/>
              </w:rPr>
            </w:pPr>
            <w:r>
              <w:rPr>
                <w:rFonts w:ascii="Arial" w:cs="Arial" w:eastAsia="Arial" w:hAnsi="Arial"/>
                <w:sz w:val="11"/>
                <w:szCs w:val="11"/>
                <w:color w:val="auto"/>
              </w:rPr>
              <w:t>8,927</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790</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25,134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shd w:val="clear" w:color="auto" w:fill="CCFFCC"/>
          </w:tcPr>
          <w:p>
            <w:pPr>
              <w:spacing w:after="0"/>
              <w:rPr>
                <w:sz w:val="20"/>
                <w:szCs w:val="20"/>
                <w:color w:val="auto"/>
              </w:rPr>
            </w:pPr>
            <w:r>
              <w:rPr>
                <w:rFonts w:ascii="Arial" w:cs="Arial" w:eastAsia="Arial" w:hAnsi="Arial"/>
                <w:sz w:val="11"/>
                <w:szCs w:val="11"/>
                <w:color w:val="auto"/>
              </w:rPr>
              <w:t>Technical,</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insurance</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claims</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reserves and</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reserves for</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unearned</w:t>
            </w: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tcBorders>
              <w:right w:val="single" w:sz="8" w:color="CCFFCC"/>
            </w:tcBorders>
            <w:shd w:val="clear" w:color="auto" w:fill="CCFFCC"/>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60" w:type="dxa"/>
            <w:vAlign w:val="bottom"/>
            <w:shd w:val="clear" w:color="auto" w:fill="CCFFCC"/>
          </w:tcPr>
          <w:p>
            <w:pPr>
              <w:ind w:left="140"/>
              <w:spacing w:after="0"/>
              <w:rPr>
                <w:sz w:val="20"/>
                <w:szCs w:val="20"/>
                <w:color w:val="auto"/>
              </w:rPr>
            </w:pPr>
            <w:r>
              <w:rPr>
                <w:rFonts w:ascii="Arial" w:cs="Arial" w:eastAsia="Arial" w:hAnsi="Arial"/>
                <w:sz w:val="11"/>
                <w:szCs w:val="11"/>
                <w:color w:val="auto"/>
              </w:rPr>
              <w:t>premiums</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77,047</w:t>
            </w:r>
          </w:p>
        </w:tc>
        <w:tc>
          <w:tcPr>
            <w:tcW w:w="88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100,991</w:t>
            </w: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184,769</w:t>
            </w:r>
          </w:p>
        </w:tc>
        <w:tc>
          <w:tcPr>
            <w:tcW w:w="1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165,095</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558,301</w:t>
            </w:r>
          </w:p>
        </w:tc>
        <w:tc>
          <w:tcPr>
            <w:tcW w:w="1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1,086,203</w:t>
            </w:r>
          </w:p>
        </w:tc>
        <w:tc>
          <w:tcPr>
            <w:tcW w:w="6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168,181</w:t>
            </w:r>
          </w:p>
        </w:tc>
        <w:tc>
          <w:tcPr>
            <w:tcW w:w="1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13,169</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60,065</w:t>
            </w:r>
          </w:p>
        </w:tc>
        <w:tc>
          <w:tcPr>
            <w:tcW w:w="1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128,492</w:t>
            </w:r>
          </w:p>
        </w:tc>
        <w:tc>
          <w:tcPr>
            <w:tcW w:w="6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510,284</w:t>
            </w:r>
          </w:p>
        </w:tc>
        <w:tc>
          <w:tcPr>
            <w:tcW w:w="120" w:type="dxa"/>
            <w:vAlign w:val="bottom"/>
            <w:shd w:val="clear" w:color="auto" w:fill="CCFFCC"/>
          </w:tcPr>
          <w:p>
            <w:pPr>
              <w:spacing w:after="0"/>
              <w:rPr>
                <w:sz w:val="12"/>
                <w:szCs w:val="12"/>
                <w:color w:val="auto"/>
              </w:rPr>
            </w:pPr>
          </w:p>
        </w:tc>
        <w:tc>
          <w:tcPr>
            <w:tcW w:w="6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880,191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880" w:type="dxa"/>
            <w:vAlign w:val="bottom"/>
            <w:gridSpan w:val="2"/>
          </w:tcPr>
          <w:p>
            <w:pPr>
              <w:spacing w:after="0"/>
              <w:rPr>
                <w:sz w:val="20"/>
                <w:szCs w:val="20"/>
                <w:color w:val="auto"/>
              </w:rPr>
            </w:pPr>
            <w:r>
              <w:rPr>
                <w:rFonts w:ascii="Arial" w:cs="Arial" w:eastAsia="Arial" w:hAnsi="Arial"/>
                <w:sz w:val="11"/>
                <w:szCs w:val="11"/>
                <w:color w:val="auto"/>
              </w:rPr>
              <w:t>Other liabilities</w:t>
            </w:r>
          </w:p>
        </w:tc>
        <w:tc>
          <w:tcPr>
            <w:tcW w:w="640" w:type="dxa"/>
            <w:vAlign w:val="bottom"/>
          </w:tcPr>
          <w:p>
            <w:pPr>
              <w:jc w:val="right"/>
              <w:spacing w:after="0"/>
              <w:rPr>
                <w:sz w:val="20"/>
                <w:szCs w:val="20"/>
                <w:color w:val="auto"/>
              </w:rPr>
            </w:pPr>
            <w:r>
              <w:rPr>
                <w:rFonts w:ascii="Arial" w:cs="Arial" w:eastAsia="Arial" w:hAnsi="Arial"/>
                <w:sz w:val="11"/>
                <w:szCs w:val="11"/>
                <w:color w:val="auto"/>
              </w:rPr>
              <w:t>9,974</w:t>
            </w:r>
          </w:p>
        </w:tc>
        <w:tc>
          <w:tcPr>
            <w:tcW w:w="880" w:type="dxa"/>
            <w:vAlign w:val="bottom"/>
            <w:gridSpan w:val="3"/>
          </w:tcPr>
          <w:p>
            <w:pPr>
              <w:jc w:val="right"/>
              <w:ind w:right="120"/>
              <w:spacing w:after="0"/>
              <w:rPr>
                <w:sz w:val="20"/>
                <w:szCs w:val="20"/>
                <w:color w:val="auto"/>
              </w:rPr>
            </w:pPr>
            <w:r>
              <w:rPr>
                <w:rFonts w:ascii="Arial" w:cs="Arial" w:eastAsia="Arial" w:hAnsi="Arial"/>
                <w:sz w:val="11"/>
                <w:szCs w:val="11"/>
                <w:color w:val="auto"/>
              </w:rPr>
              <w:t>7,594</w:t>
            </w:r>
          </w:p>
        </w:tc>
        <w:tc>
          <w:tcPr>
            <w:tcW w:w="620" w:type="dxa"/>
            <w:vAlign w:val="bottom"/>
          </w:tcPr>
          <w:p>
            <w:pPr>
              <w:jc w:val="right"/>
              <w:spacing w:after="0"/>
              <w:rPr>
                <w:sz w:val="20"/>
                <w:szCs w:val="20"/>
                <w:color w:val="auto"/>
              </w:rPr>
            </w:pPr>
            <w:r>
              <w:rPr>
                <w:rFonts w:ascii="Arial" w:cs="Arial" w:eastAsia="Arial" w:hAnsi="Arial"/>
                <w:sz w:val="11"/>
                <w:szCs w:val="11"/>
                <w:color w:val="auto"/>
              </w:rPr>
              <w:t>847</w:t>
            </w:r>
          </w:p>
        </w:tc>
        <w:tc>
          <w:tcPr>
            <w:tcW w:w="12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280</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18,695</w:t>
            </w:r>
          </w:p>
        </w:tc>
        <w:tc>
          <w:tcPr>
            <w:tcW w:w="620" w:type="dxa"/>
            <w:vAlign w:val="bottom"/>
          </w:tcPr>
          <w:p>
            <w:pPr>
              <w:jc w:val="right"/>
              <w:spacing w:after="0"/>
              <w:rPr>
                <w:sz w:val="20"/>
                <w:szCs w:val="20"/>
                <w:color w:val="auto"/>
              </w:rPr>
            </w:pPr>
            <w:r>
              <w:rPr>
                <w:rFonts w:ascii="Arial" w:cs="Arial" w:eastAsia="Arial" w:hAnsi="Arial"/>
                <w:sz w:val="11"/>
                <w:szCs w:val="11"/>
                <w:color w:val="auto"/>
              </w:rPr>
              <w:t>31,772</w:t>
            </w:r>
          </w:p>
        </w:tc>
        <w:tc>
          <w:tcPr>
            <w:tcW w:w="12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440</w:t>
            </w:r>
          </w:p>
        </w:tc>
        <w:tc>
          <w:tcPr>
            <w:tcW w:w="640" w:type="dxa"/>
            <w:vAlign w:val="bottom"/>
          </w:tcPr>
          <w:p>
            <w:pPr>
              <w:jc w:val="right"/>
              <w:spacing w:after="0"/>
              <w:rPr>
                <w:sz w:val="20"/>
                <w:szCs w:val="20"/>
                <w:color w:val="auto"/>
              </w:rPr>
            </w:pPr>
            <w:r>
              <w:rPr>
                <w:rFonts w:ascii="Arial" w:cs="Arial" w:eastAsia="Arial" w:hAnsi="Arial"/>
                <w:sz w:val="11"/>
                <w:szCs w:val="11"/>
                <w:color w:val="auto"/>
              </w:rPr>
              <w:t>546</w:t>
            </w:r>
          </w:p>
        </w:tc>
        <w:tc>
          <w:tcPr>
            <w:tcW w:w="12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32,758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tcBorders>
              <w:top w:val="single" w:sz="8" w:color="auto"/>
              <w:right w:val="single" w:sz="8" w:color="CCFFCC"/>
            </w:tcBorders>
            <w:shd w:val="clear" w:color="auto" w:fill="CCFFCC"/>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Total liabilities</w:t>
            </w:r>
          </w:p>
        </w:tc>
        <w:tc>
          <w:tcPr>
            <w:tcW w:w="640" w:type="dxa"/>
            <w:vAlign w:val="bottom"/>
          </w:tcPr>
          <w:p>
            <w:pPr>
              <w:jc w:val="right"/>
              <w:spacing w:after="0"/>
              <w:rPr>
                <w:sz w:val="20"/>
                <w:szCs w:val="20"/>
                <w:color w:val="auto"/>
              </w:rPr>
            </w:pPr>
            <w:r>
              <w:rPr>
                <w:rFonts w:ascii="Arial" w:cs="Arial" w:eastAsia="Arial" w:hAnsi="Arial"/>
                <w:sz w:val="11"/>
                <w:szCs w:val="11"/>
                <w:color w:val="auto"/>
              </w:rPr>
              <w:t>93,501</w:t>
            </w:r>
          </w:p>
        </w:tc>
        <w:tc>
          <w:tcPr>
            <w:tcW w:w="880" w:type="dxa"/>
            <w:vAlign w:val="bottom"/>
            <w:gridSpan w:val="3"/>
          </w:tcPr>
          <w:p>
            <w:pPr>
              <w:jc w:val="right"/>
              <w:ind w:right="120"/>
              <w:spacing w:after="0"/>
              <w:rPr>
                <w:sz w:val="20"/>
                <w:szCs w:val="20"/>
                <w:color w:val="auto"/>
              </w:rPr>
            </w:pPr>
            <w:r>
              <w:rPr>
                <w:rFonts w:ascii="Arial" w:cs="Arial" w:eastAsia="Arial" w:hAnsi="Arial"/>
                <w:sz w:val="11"/>
                <w:szCs w:val="11"/>
                <w:color w:val="auto"/>
              </w:rPr>
              <w:t>119,425</w:t>
            </w:r>
          </w:p>
        </w:tc>
        <w:tc>
          <w:tcPr>
            <w:tcW w:w="620" w:type="dxa"/>
            <w:vAlign w:val="bottom"/>
          </w:tcPr>
          <w:p>
            <w:pPr>
              <w:jc w:val="right"/>
              <w:spacing w:after="0"/>
              <w:rPr>
                <w:sz w:val="20"/>
                <w:szCs w:val="20"/>
                <w:color w:val="auto"/>
              </w:rPr>
            </w:pPr>
            <w:r>
              <w:rPr>
                <w:rFonts w:ascii="Arial" w:cs="Arial" w:eastAsia="Arial" w:hAnsi="Arial"/>
                <w:sz w:val="11"/>
                <w:szCs w:val="11"/>
                <w:color w:val="auto"/>
              </w:rPr>
              <w:t>193,028</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165,530</w:t>
            </w:r>
          </w:p>
        </w:tc>
        <w:tc>
          <w:tcPr>
            <w:tcW w:w="640" w:type="dxa"/>
            <w:vAlign w:val="bottom"/>
          </w:tcPr>
          <w:p>
            <w:pPr>
              <w:jc w:val="right"/>
              <w:spacing w:after="0"/>
              <w:rPr>
                <w:sz w:val="20"/>
                <w:szCs w:val="20"/>
                <w:color w:val="auto"/>
              </w:rPr>
            </w:pPr>
            <w:r>
              <w:rPr>
                <w:rFonts w:ascii="Arial" w:cs="Arial" w:eastAsia="Arial" w:hAnsi="Arial"/>
                <w:sz w:val="11"/>
                <w:szCs w:val="11"/>
                <w:color w:val="auto"/>
              </w:rPr>
              <w:t>558,301</w:t>
            </w: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1,129,785</w:t>
            </w:r>
          </w:p>
        </w:tc>
        <w:tc>
          <w:tcPr>
            <w:tcW w:w="620" w:type="dxa"/>
            <w:vAlign w:val="bottom"/>
          </w:tcPr>
          <w:p>
            <w:pPr>
              <w:jc w:val="right"/>
              <w:spacing w:after="0"/>
              <w:rPr>
                <w:sz w:val="20"/>
                <w:szCs w:val="20"/>
                <w:color w:val="auto"/>
              </w:rPr>
            </w:pPr>
            <w:r>
              <w:rPr>
                <w:rFonts w:ascii="Arial" w:cs="Arial" w:eastAsia="Arial" w:hAnsi="Arial"/>
                <w:sz w:val="11"/>
                <w:szCs w:val="11"/>
                <w:color w:val="auto"/>
              </w:rPr>
              <w:t>209,348</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19,631</w:t>
            </w:r>
          </w:p>
        </w:tc>
        <w:tc>
          <w:tcPr>
            <w:tcW w:w="640" w:type="dxa"/>
            <w:vAlign w:val="bottom"/>
          </w:tcPr>
          <w:p>
            <w:pPr>
              <w:jc w:val="right"/>
              <w:spacing w:after="0"/>
              <w:rPr>
                <w:sz w:val="20"/>
                <w:szCs w:val="20"/>
                <w:color w:val="auto"/>
              </w:rPr>
            </w:pPr>
            <w:r>
              <w:rPr>
                <w:rFonts w:ascii="Arial" w:cs="Arial" w:eastAsia="Arial" w:hAnsi="Arial"/>
                <w:sz w:val="11"/>
                <w:szCs w:val="11"/>
                <w:color w:val="auto"/>
              </w:rPr>
              <w:t>69,538</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129,282</w:t>
            </w:r>
          </w:p>
        </w:tc>
        <w:tc>
          <w:tcPr>
            <w:tcW w:w="640" w:type="dxa"/>
            <w:vAlign w:val="bottom"/>
          </w:tcPr>
          <w:p>
            <w:pPr>
              <w:jc w:val="right"/>
              <w:spacing w:after="0"/>
              <w:rPr>
                <w:sz w:val="20"/>
                <w:szCs w:val="20"/>
                <w:color w:val="auto"/>
              </w:rPr>
            </w:pPr>
            <w:r>
              <w:rPr>
                <w:rFonts w:ascii="Arial" w:cs="Arial" w:eastAsia="Arial" w:hAnsi="Arial"/>
                <w:sz w:val="11"/>
                <w:szCs w:val="11"/>
                <w:color w:val="auto"/>
              </w:rPr>
              <w:t>510,284</w:t>
            </w:r>
          </w:p>
        </w:tc>
        <w:tc>
          <w:tcPr>
            <w:tcW w:w="120" w:type="dxa"/>
            <w:vAlign w:val="bottom"/>
          </w:tcPr>
          <w:p>
            <w:pPr>
              <w:spacing w:after="0"/>
              <w:rPr>
                <w:sz w:val="20"/>
                <w:szCs w:val="20"/>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938,083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02" w:right="319"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67" w:lineRule="exact"/>
        <w:rPr>
          <w:sz w:val="20"/>
          <w:szCs w:val="20"/>
          <w:color w:val="auto"/>
        </w:rPr>
      </w:pPr>
    </w:p>
    <w:p>
      <w:pPr>
        <w:ind w:left="1140" w:hanging="484"/>
        <w:spacing w:after="0"/>
        <w:tabs>
          <w:tab w:leader="none" w:pos="1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3" w:lineRule="exact"/>
        <w:rPr>
          <w:rFonts w:ascii="Arial" w:cs="Arial" w:eastAsia="Arial" w:hAnsi="Arial"/>
          <w:sz w:val="18"/>
          <w:szCs w:val="18"/>
          <w:color w:val="auto"/>
        </w:rPr>
      </w:pPr>
    </w:p>
    <w:p>
      <w:pPr>
        <w:ind w:left="1140" w:right="40"/>
        <w:spacing w:after="0" w:line="555" w:lineRule="auto"/>
        <w:rPr>
          <w:rFonts w:ascii="Arial" w:cs="Arial" w:eastAsia="Arial" w:hAnsi="Arial"/>
          <w:sz w:val="18"/>
          <w:szCs w:val="18"/>
          <w:color w:val="auto"/>
        </w:rPr>
      </w:pPr>
      <w:r>
        <w:rPr>
          <w:rFonts w:ascii="Arial" w:cs="Arial" w:eastAsia="Arial" w:hAnsi="Arial"/>
          <w:sz w:val="18"/>
          <w:szCs w:val="18"/>
          <w:color w:val="auto"/>
        </w:rPr>
        <w:t>Credit risk is the risk that one party to a financial instrument will cause a financial loss to the other party by failing to discharge an obligation. The following policies and procedures are in place to mitigate the Group’s exposure to credit risk:</w:t>
      </w:r>
    </w:p>
    <w:p>
      <w:pPr>
        <w:ind w:left="1620" w:right="340" w:hanging="478"/>
        <w:spacing w:after="0" w:line="277" w:lineRule="auto"/>
        <w:tabs>
          <w:tab w:leader="none" w:pos="16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224" w:lineRule="exact"/>
        <w:rPr>
          <w:rFonts w:ascii="Arial" w:cs="Arial" w:eastAsia="Arial" w:hAnsi="Arial"/>
          <w:sz w:val="18"/>
          <w:szCs w:val="18"/>
          <w:color w:val="auto"/>
        </w:rPr>
      </w:pPr>
    </w:p>
    <w:p>
      <w:pPr>
        <w:ind w:left="1620" w:right="220" w:hanging="478"/>
        <w:spacing w:after="0" w:line="286" w:lineRule="auto"/>
        <w:tabs>
          <w:tab w:leader="none" w:pos="162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The credit risk in respect of customer balances, incurred on non-payment of premiums or contributions will only persist during the grace period specified in the policy document or trust deed until expiry, when the policy is either paid up or terminated. Commission paid to intermediaries is netted off against amounts receivable from them to reduce the risk of doubtful debts.</w:t>
      </w:r>
    </w:p>
    <w:p>
      <w:pPr>
        <w:spacing w:after="0" w:line="219" w:lineRule="exact"/>
        <w:rPr>
          <w:rFonts w:ascii="Arial" w:cs="Arial" w:eastAsia="Arial" w:hAnsi="Arial"/>
          <w:sz w:val="17"/>
          <w:szCs w:val="17"/>
          <w:color w:val="auto"/>
        </w:rPr>
      </w:pPr>
    </w:p>
    <w:p>
      <w:pPr>
        <w:ind w:left="1620" w:right="40" w:hanging="478"/>
        <w:spacing w:after="0" w:line="259" w:lineRule="auto"/>
        <w:tabs>
          <w:tab w:leader="none" w:pos="16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policy guidelines in respect of counterparties’ limits that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240" w:lineRule="exact"/>
        <w:rPr>
          <w:rFonts w:ascii="Arial" w:cs="Arial" w:eastAsia="Arial" w:hAnsi="Arial"/>
          <w:sz w:val="18"/>
          <w:szCs w:val="18"/>
          <w:color w:val="auto"/>
        </w:rPr>
      </w:pPr>
    </w:p>
    <w:p>
      <w:pPr>
        <w:jc w:val="both"/>
        <w:ind w:left="1620" w:right="40" w:hanging="478"/>
        <w:spacing w:after="0" w:line="264" w:lineRule="auto"/>
        <w:tabs>
          <w:tab w:leader="none" w:pos="16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Compliance with the policy is monitored and exposures and breaches are reported to the Group risk committee. The policy is regularly reviewed for pertinence and for changes in the risk environment.</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Capital management</w:t>
      </w:r>
    </w:p>
    <w:p>
      <w:pPr>
        <w:spacing w:after="0" w:line="27"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The Group maintains an actively managed capital base to cover risks inherent in its business. The adequacy of the Group’s capital is monitored using, among other measures, the rules and ratios established by the Superintendencia de Banca, Seguros y AFP (SBS), the supervising authority of its major subsidiaries and for consolidation purposes.</w:t>
      </w:r>
    </w:p>
    <w:p>
      <w:pPr>
        <w:spacing w:after="0" w:line="24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Group’s objectives when managing capital, which is a broader concept than the “Equity” on the face of the consolidated balance sheets, are: (i) to comply with the capital requirements set by the regulators of the banking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180"/>
        <w:spacing w:after="0" w:line="255" w:lineRule="auto"/>
        <w:rPr>
          <w:sz w:val="20"/>
          <w:szCs w:val="20"/>
          <w:color w:val="auto"/>
        </w:rPr>
      </w:pPr>
      <w:r>
        <w:rPr>
          <w:rFonts w:ascii="Arial" w:cs="Arial" w:eastAsia="Arial" w:hAnsi="Arial"/>
          <w:sz w:val="18"/>
          <w:szCs w:val="18"/>
          <w:color w:val="auto"/>
        </w:rPr>
        <w:t>Capital adequacy and the use of regulatory capital are monitored daily by the Group’s management, employing techniques based on the guidelines developed by the Basel Committee, as implemented by the SBS for supervisory purposes. The required information is filed with the SBS on a quarterly basis. The SBS requires each bank or banking group to: (a) hold the minimum level of the regulatory capital, and (b) maintain a ratio of total regulatory capital to the risk-weighted asset at maximum level of 11. In addition, those individual banking subsidiaries or similar financial institutions not incorporated in Peru are directly regulated and supervised by their local banking supervisor, which may differ from country to country.</w:t>
      </w:r>
    </w:p>
    <w:p>
      <w:pPr>
        <w:spacing w:after="0" w:line="247" w:lineRule="exact"/>
        <w:rPr>
          <w:sz w:val="20"/>
          <w:szCs w:val="20"/>
          <w:color w:val="auto"/>
        </w:rPr>
      </w:pPr>
    </w:p>
    <w:p>
      <w:pPr>
        <w:ind w:left="660" w:right="220"/>
        <w:spacing w:after="0" w:line="312" w:lineRule="auto"/>
        <w:rPr>
          <w:sz w:val="20"/>
          <w:szCs w:val="20"/>
          <w:color w:val="auto"/>
        </w:rPr>
      </w:pPr>
      <w:r>
        <w:rPr>
          <w:rFonts w:ascii="Arial" w:cs="Arial" w:eastAsia="Arial" w:hAnsi="Arial"/>
          <w:sz w:val="16"/>
          <w:szCs w:val="16"/>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2007 and 2006, the regulatory capital for the subsidiaries engaged in financial and insurance activities amounted to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US$1,420.2 and US$1,008.0 million, respectively. This regulatory capital has been determined in accordance with 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Superintendencia de Banca, Seguros y AFP (SBS) regulations in force as of such dates. According to the Superintendencia de Banca, Seguros y AFP</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(SBS) and the Administradoras Privadas de Fondos de Pensiones (AFP) regulations, the Group’s regulatory capital exceeds in approximately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US$350.4 million the minimum regulatory capital required as of December 31, 2007 (approximately US$157.0 million as of December 31, 2006).</w:t>
      </w:r>
    </w:p>
    <w:p>
      <w:pPr>
        <w:spacing w:after="0" w:line="2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Fair value</w:t>
      </w:r>
    </w:p>
    <w:p>
      <w:pPr>
        <w:spacing w:after="0" w:line="27" w:lineRule="exact"/>
        <w:rPr>
          <w:sz w:val="20"/>
          <w:szCs w:val="20"/>
          <w:color w:val="auto"/>
        </w:rPr>
      </w:pPr>
    </w:p>
    <w:p>
      <w:pPr>
        <w:ind w:left="660" w:right="140"/>
        <w:spacing w:after="0" w:line="261" w:lineRule="auto"/>
        <w:rPr>
          <w:sz w:val="20"/>
          <w:szCs w:val="20"/>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38"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224" w:lineRule="exact"/>
        <w:rPr>
          <w:sz w:val="20"/>
          <w:szCs w:val="20"/>
          <w:color w:val="auto"/>
        </w:rPr>
      </w:pPr>
    </w:p>
    <w:p>
      <w:pPr>
        <w:jc w:val="both"/>
        <w:ind w:left="1140" w:right="240" w:hanging="484"/>
        <w:spacing w:after="0" w:line="286" w:lineRule="auto"/>
        <w:tabs>
          <w:tab w:leader="none" w:pos="11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219" w:lineRule="exact"/>
        <w:rPr>
          <w:rFonts w:ascii="Arial" w:cs="Arial" w:eastAsia="Arial" w:hAnsi="Arial"/>
          <w:sz w:val="17"/>
          <w:szCs w:val="17"/>
          <w:color w:val="auto"/>
        </w:rPr>
      </w:pPr>
    </w:p>
    <w:p>
      <w:pPr>
        <w:ind w:left="1140" w:hanging="484"/>
        <w:spacing w:after="0" w:line="255" w:lineRule="auto"/>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247" w:lineRule="exact"/>
        <w:rPr>
          <w:rFonts w:ascii="Arial" w:cs="Arial" w:eastAsia="Arial" w:hAnsi="Arial"/>
          <w:sz w:val="18"/>
          <w:szCs w:val="18"/>
          <w:color w:val="auto"/>
        </w:rPr>
      </w:pPr>
    </w:p>
    <w:p>
      <w:pPr>
        <w:ind w:left="1140" w:right="140" w:hanging="484"/>
        <w:spacing w:after="0" w:line="257" w:lineRule="auto"/>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Financial instrument recorded at fair value - The fair value for financial instruments traded in active markets at the consolidated balance sheets dates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line="342" w:lineRule="auto"/>
        <w:rPr>
          <w:sz w:val="20"/>
          <w:szCs w:val="20"/>
          <w:color w:val="auto"/>
        </w:rPr>
      </w:pPr>
      <w:r>
        <w:rPr>
          <w:rFonts w:ascii="Arial" w:cs="Arial" w:eastAsia="Arial" w:hAnsi="Arial"/>
          <w:sz w:val="16"/>
          <w:szCs w:val="16"/>
          <w:color w:val="auto"/>
        </w:rPr>
        <w:t>Based in the aforementioned, set out below is a comparison of the carrying amounts and fair values of the Group’s financial instruments that are carried in the consolidated balance sheets. The table does not include the fair values of non-financial assets and non-financial liabilities: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740" w:type="dxa"/>
            <w:vAlign w:val="bottom"/>
          </w:tcPr>
          <w:p>
            <w:pPr>
              <w:spacing w:after="0"/>
              <w:rPr>
                <w:sz w:val="13"/>
                <w:szCs w:val="13"/>
                <w:color w:val="auto"/>
              </w:rPr>
            </w:pPr>
          </w:p>
        </w:tc>
        <w:tc>
          <w:tcPr>
            <w:tcW w:w="1700" w:type="dxa"/>
            <w:vAlign w:val="bottom"/>
          </w:tcPr>
          <w:p>
            <w:pPr>
              <w:jc w:val="center"/>
              <w:ind w:right="348"/>
              <w:spacing w:after="0" w:line="160" w:lineRule="exact"/>
              <w:rPr>
                <w:sz w:val="20"/>
                <w:szCs w:val="20"/>
                <w:color w:val="auto"/>
              </w:rPr>
            </w:pPr>
            <w:r>
              <w:rPr>
                <w:rFonts w:ascii="Arial" w:cs="Arial" w:eastAsia="Arial" w:hAnsi="Arial"/>
                <w:sz w:val="14"/>
                <w:szCs w:val="14"/>
                <w:b w:val="1"/>
                <w:bCs w:val="1"/>
                <w:color w:val="auto"/>
                <w:w w:val="91"/>
              </w:rPr>
              <w:t>Book</w:t>
            </w:r>
          </w:p>
        </w:tc>
        <w:tc>
          <w:tcPr>
            <w:tcW w:w="1100" w:type="dxa"/>
            <w:vAlign w:val="bottom"/>
          </w:tcPr>
          <w:p>
            <w:pPr>
              <w:jc w:val="center"/>
              <w:ind w:right="128"/>
              <w:spacing w:after="0" w:line="160"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760" w:type="dxa"/>
            <w:vAlign w:val="bottom"/>
          </w:tcPr>
          <w:p>
            <w:pPr>
              <w:jc w:val="center"/>
              <w:ind w:right="368"/>
              <w:spacing w:after="0" w:line="160" w:lineRule="exact"/>
              <w:rPr>
                <w:sz w:val="20"/>
                <w:szCs w:val="20"/>
                <w:color w:val="auto"/>
              </w:rPr>
            </w:pPr>
            <w:r>
              <w:rPr>
                <w:rFonts w:ascii="Arial" w:cs="Arial" w:eastAsia="Arial" w:hAnsi="Arial"/>
                <w:sz w:val="14"/>
                <w:szCs w:val="14"/>
                <w:b w:val="1"/>
                <w:bCs w:val="1"/>
                <w:color w:val="auto"/>
                <w:w w:val="91"/>
              </w:rPr>
              <w:t>Book</w:t>
            </w:r>
          </w:p>
        </w:tc>
        <w:tc>
          <w:tcPr>
            <w:tcW w:w="1120" w:type="dxa"/>
            <w:vAlign w:val="bottom"/>
          </w:tcPr>
          <w:p>
            <w:pPr>
              <w:jc w:val="center"/>
              <w:ind w:right="148"/>
              <w:spacing w:after="0" w:line="160"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r>
      <w:tr>
        <w:trPr>
          <w:trHeight w:val="180"/>
        </w:trPr>
        <w:tc>
          <w:tcPr>
            <w:tcW w:w="2740" w:type="dxa"/>
            <w:vAlign w:val="bottom"/>
          </w:tcPr>
          <w:p>
            <w:pPr>
              <w:spacing w:after="0"/>
              <w:rPr>
                <w:sz w:val="15"/>
                <w:szCs w:val="15"/>
                <w:color w:val="auto"/>
              </w:rPr>
            </w:pPr>
          </w:p>
        </w:tc>
        <w:tc>
          <w:tcPr>
            <w:tcW w:w="1700" w:type="dxa"/>
            <w:vAlign w:val="bottom"/>
          </w:tcPr>
          <w:p>
            <w:pPr>
              <w:jc w:val="center"/>
              <w:ind w:right="348"/>
              <w:spacing w:after="0"/>
              <w:rPr>
                <w:sz w:val="20"/>
                <w:szCs w:val="20"/>
                <w:color w:val="auto"/>
              </w:rPr>
            </w:pPr>
            <w:r>
              <w:rPr>
                <w:rFonts w:ascii="Arial" w:cs="Arial" w:eastAsia="Arial" w:hAnsi="Arial"/>
                <w:sz w:val="14"/>
                <w:szCs w:val="14"/>
                <w:b w:val="1"/>
                <w:bCs w:val="1"/>
                <w:color w:val="auto"/>
                <w:w w:val="89"/>
              </w:rPr>
              <w:t>value</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value</w:t>
            </w:r>
          </w:p>
        </w:tc>
        <w:tc>
          <w:tcPr>
            <w:tcW w:w="1760" w:type="dxa"/>
            <w:vAlign w:val="bottom"/>
          </w:tcPr>
          <w:p>
            <w:pPr>
              <w:jc w:val="center"/>
              <w:ind w:right="368"/>
              <w:spacing w:after="0"/>
              <w:rPr>
                <w:sz w:val="20"/>
                <w:szCs w:val="20"/>
                <w:color w:val="auto"/>
              </w:rPr>
            </w:pPr>
            <w:r>
              <w:rPr>
                <w:rFonts w:ascii="Arial" w:cs="Arial" w:eastAsia="Arial" w:hAnsi="Arial"/>
                <w:sz w:val="14"/>
                <w:szCs w:val="14"/>
                <w:b w:val="1"/>
                <w:bCs w:val="1"/>
                <w:color w:val="auto"/>
                <w:w w:val="89"/>
              </w:rPr>
              <w:t>value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value</w:t>
            </w:r>
          </w:p>
        </w:tc>
      </w:tr>
      <w:tr>
        <w:trPr>
          <w:trHeight w:val="176"/>
        </w:trPr>
        <w:tc>
          <w:tcPr>
            <w:tcW w:w="2740" w:type="dxa"/>
            <w:vAlign w:val="bottom"/>
          </w:tcPr>
          <w:p>
            <w:pPr>
              <w:spacing w:after="0"/>
              <w:rPr>
                <w:sz w:val="15"/>
                <w:szCs w:val="15"/>
                <w:color w:val="auto"/>
              </w:rPr>
            </w:pPr>
          </w:p>
        </w:tc>
        <w:tc>
          <w:tcPr>
            <w:tcW w:w="1700" w:type="dxa"/>
            <w:vAlign w:val="bottom"/>
          </w:tcPr>
          <w:p>
            <w:pPr>
              <w:jc w:val="center"/>
              <w:ind w:right="348"/>
              <w:spacing w:after="0"/>
              <w:rPr>
                <w:sz w:val="20"/>
                <w:szCs w:val="20"/>
                <w:color w:val="auto"/>
              </w:rPr>
            </w:pPr>
            <w:r>
              <w:rPr>
                <w:rFonts w:ascii="Arial" w:cs="Arial" w:eastAsia="Arial" w:hAnsi="Arial"/>
                <w:sz w:val="14"/>
                <w:szCs w:val="14"/>
                <w:color w:val="auto"/>
                <w:w w:val="93"/>
              </w:rPr>
              <w:t>US$(000)</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US$(000)</w:t>
            </w:r>
          </w:p>
        </w:tc>
        <w:tc>
          <w:tcPr>
            <w:tcW w:w="1760" w:type="dxa"/>
            <w:vAlign w:val="bottom"/>
          </w:tcPr>
          <w:p>
            <w:pPr>
              <w:jc w:val="center"/>
              <w:ind w:right="368"/>
              <w:spacing w:after="0"/>
              <w:rPr>
                <w:sz w:val="20"/>
                <w:szCs w:val="20"/>
                <w:color w:val="auto"/>
              </w:rPr>
            </w:pPr>
            <w:r>
              <w:rPr>
                <w:rFonts w:ascii="Arial" w:cs="Arial" w:eastAsia="Arial" w:hAnsi="Arial"/>
                <w:sz w:val="14"/>
                <w:szCs w:val="14"/>
                <w:color w:val="auto"/>
                <w:w w:val="93"/>
              </w:rPr>
              <w:t>US$(000)</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US$(000)</w:t>
            </w:r>
          </w:p>
        </w:tc>
      </w:tr>
      <w:tr>
        <w:trPr>
          <w:trHeight w:val="181"/>
        </w:trPr>
        <w:tc>
          <w:tcPr>
            <w:tcW w:w="2740" w:type="dxa"/>
            <w:vAlign w:val="bottom"/>
          </w:tcPr>
          <w:p>
            <w:pPr>
              <w:ind w:left="2400"/>
              <w:spacing w:after="0"/>
              <w:rPr>
                <w:sz w:val="20"/>
                <w:szCs w:val="20"/>
                <w:color w:val="auto"/>
              </w:rPr>
            </w:pPr>
            <w:r>
              <w:rPr>
                <w:rFonts w:ascii="Arial" w:cs="Arial" w:eastAsia="Arial" w:hAnsi="Arial"/>
                <w:sz w:val="14"/>
                <w:szCs w:val="14"/>
                <w:color w:val="auto"/>
              </w:rPr>
              <w:t>18.</w:t>
            </w:r>
          </w:p>
        </w:tc>
        <w:tc>
          <w:tcPr>
            <w:tcW w:w="1700" w:type="dxa"/>
            <w:vAlign w:val="bottom"/>
          </w:tcPr>
          <w:p>
            <w:pPr>
              <w:jc w:val="right"/>
              <w:ind w:right="288"/>
              <w:spacing w:after="0"/>
              <w:rPr>
                <w:sz w:val="20"/>
                <w:szCs w:val="20"/>
                <w:color w:val="auto"/>
              </w:rPr>
            </w:pPr>
            <w:r>
              <w:rPr>
                <w:rFonts w:ascii="Arial" w:cs="Arial" w:eastAsia="Arial" w:hAnsi="Arial"/>
                <w:sz w:val="14"/>
                <w:szCs w:val="14"/>
                <w:color w:val="auto"/>
              </w:rPr>
              <w:t>19.</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20.</w:t>
            </w:r>
          </w:p>
        </w:tc>
        <w:tc>
          <w:tcPr>
            <w:tcW w:w="1760" w:type="dxa"/>
            <w:vAlign w:val="bottom"/>
          </w:tcPr>
          <w:p>
            <w:pPr>
              <w:jc w:val="right"/>
              <w:ind w:right="308"/>
              <w:spacing w:after="0"/>
              <w:rPr>
                <w:sz w:val="20"/>
                <w:szCs w:val="20"/>
                <w:color w:val="auto"/>
              </w:rPr>
            </w:pPr>
            <w:r>
              <w:rPr>
                <w:rFonts w:ascii="Arial" w:cs="Arial" w:eastAsia="Arial" w:hAnsi="Arial"/>
                <w:sz w:val="14"/>
                <w:szCs w:val="14"/>
                <w:color w:val="auto"/>
              </w:rPr>
              <w:t>21.</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0"/>
        </w:trPr>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1700" w:type="dxa"/>
            <w:vAlign w:val="bottom"/>
            <w:shd w:val="clear" w:color="auto" w:fill="CCFFCC"/>
          </w:tcPr>
          <w:p>
            <w:pPr>
              <w:spacing w:after="0"/>
              <w:rPr>
                <w:sz w:val="23"/>
                <w:szCs w:val="23"/>
                <w:color w:val="auto"/>
              </w:rPr>
            </w:pPr>
          </w:p>
        </w:tc>
        <w:tc>
          <w:tcPr>
            <w:tcW w:w="1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7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3,073,865</w:t>
            </w:r>
          </w:p>
        </w:tc>
        <w:tc>
          <w:tcPr>
            <w:tcW w:w="1100" w:type="dxa"/>
            <w:vAlign w:val="bottom"/>
          </w:tcPr>
          <w:p>
            <w:pPr>
              <w:jc w:val="right"/>
              <w:spacing w:after="0"/>
              <w:rPr>
                <w:sz w:val="20"/>
                <w:szCs w:val="20"/>
                <w:color w:val="auto"/>
              </w:rPr>
            </w:pPr>
            <w:r>
              <w:rPr>
                <w:rFonts w:ascii="Arial" w:cs="Arial" w:eastAsia="Arial" w:hAnsi="Arial"/>
                <w:sz w:val="14"/>
                <w:szCs w:val="14"/>
                <w:color w:val="auto"/>
              </w:rPr>
              <w:t>3,073,865</w:t>
            </w:r>
          </w:p>
        </w:tc>
        <w:tc>
          <w:tcPr>
            <w:tcW w:w="200" w:type="dxa"/>
            <w:vAlign w:val="bottom"/>
          </w:tcPr>
          <w:p>
            <w:pPr>
              <w:spacing w:after="0"/>
              <w:rPr>
                <w:sz w:val="15"/>
                <w:szCs w:val="15"/>
                <w:color w:val="auto"/>
              </w:rPr>
            </w:pP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2,733,530</w:t>
            </w:r>
          </w:p>
        </w:tc>
        <w:tc>
          <w:tcPr>
            <w:tcW w:w="1120" w:type="dxa"/>
            <w:vAlign w:val="bottom"/>
          </w:tcPr>
          <w:p>
            <w:pPr>
              <w:jc w:val="right"/>
              <w:spacing w:after="0"/>
              <w:rPr>
                <w:sz w:val="20"/>
                <w:szCs w:val="20"/>
                <w:color w:val="auto"/>
              </w:rPr>
            </w:pPr>
            <w:r>
              <w:rPr>
                <w:rFonts w:ascii="Arial" w:cs="Arial" w:eastAsia="Arial" w:hAnsi="Arial"/>
                <w:sz w:val="14"/>
                <w:szCs w:val="14"/>
                <w:color w:val="auto"/>
              </w:rPr>
              <w:t>2,733,530</w:t>
            </w:r>
          </w:p>
        </w:tc>
        <w:tc>
          <w:tcPr>
            <w:tcW w:w="100" w:type="dxa"/>
            <w:vAlign w:val="bottom"/>
          </w:tcPr>
          <w:p>
            <w:pPr>
              <w:spacing w:after="0"/>
              <w:rPr>
                <w:sz w:val="15"/>
                <w:szCs w:val="15"/>
                <w:color w:val="auto"/>
              </w:rPr>
            </w:pPr>
          </w:p>
        </w:tc>
      </w:tr>
      <w:tr>
        <w:trPr>
          <w:trHeight w:val="176"/>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Trading securities</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50,995</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50,995</w:t>
            </w: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45,136</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45,136</w:t>
            </w: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Investments available-for-sale</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5,228,641</w:t>
            </w:r>
          </w:p>
        </w:tc>
        <w:tc>
          <w:tcPr>
            <w:tcW w:w="1100" w:type="dxa"/>
            <w:vAlign w:val="bottom"/>
          </w:tcPr>
          <w:p>
            <w:pPr>
              <w:jc w:val="right"/>
              <w:spacing w:after="0"/>
              <w:rPr>
                <w:sz w:val="20"/>
                <w:szCs w:val="20"/>
                <w:color w:val="auto"/>
              </w:rPr>
            </w:pPr>
            <w:r>
              <w:rPr>
                <w:rFonts w:ascii="Arial" w:cs="Arial" w:eastAsia="Arial" w:hAnsi="Arial"/>
                <w:sz w:val="14"/>
                <w:szCs w:val="14"/>
                <w:color w:val="auto"/>
              </w:rPr>
              <w:t>5,228,641</w:t>
            </w:r>
          </w:p>
        </w:tc>
        <w:tc>
          <w:tcPr>
            <w:tcW w:w="200" w:type="dxa"/>
            <w:vAlign w:val="bottom"/>
          </w:tcPr>
          <w:p>
            <w:pPr>
              <w:spacing w:after="0"/>
              <w:rPr>
                <w:sz w:val="15"/>
                <w:szCs w:val="15"/>
                <w:color w:val="auto"/>
              </w:rPr>
            </w:pP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3,450,711</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3,450,711</w:t>
            </w:r>
          </w:p>
        </w:tc>
      </w:tr>
      <w:tr>
        <w:trPr>
          <w:trHeight w:val="176"/>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Loans, net</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8,039,500</w:t>
            </w: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8,056,106</w:t>
            </w:r>
          </w:p>
        </w:tc>
        <w:tc>
          <w:tcPr>
            <w:tcW w:w="200" w:type="dxa"/>
            <w:vAlign w:val="bottom"/>
            <w:shd w:val="clear" w:color="auto" w:fill="CCFFCC"/>
          </w:tcPr>
          <w:p>
            <w:pPr>
              <w:spacing w:after="0"/>
              <w:rPr>
                <w:sz w:val="15"/>
                <w:szCs w:val="15"/>
                <w:color w:val="auto"/>
              </w:rPr>
            </w:pP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5,736,823</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5,731,285</w:t>
            </w:r>
          </w:p>
        </w:tc>
        <w:tc>
          <w:tcPr>
            <w:tcW w:w="100" w:type="dxa"/>
            <w:vAlign w:val="bottom"/>
            <w:shd w:val="clear" w:color="auto" w:fill="CCFFCC"/>
          </w:tcPr>
          <w:p>
            <w:pPr>
              <w:spacing w:after="0"/>
              <w:rPr>
                <w:sz w:val="15"/>
                <w:szCs w:val="15"/>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Financial assets designated at fair value</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2740" w:type="dxa"/>
            <w:vAlign w:val="bottom"/>
          </w:tcPr>
          <w:p>
            <w:pPr>
              <w:spacing w:after="0"/>
              <w:rPr>
                <w:sz w:val="20"/>
                <w:szCs w:val="20"/>
                <w:color w:val="auto"/>
              </w:rPr>
            </w:pPr>
            <w:r>
              <w:rPr>
                <w:rFonts w:ascii="Arial" w:cs="Arial" w:eastAsia="Arial" w:hAnsi="Arial"/>
                <w:sz w:val="14"/>
                <w:szCs w:val="14"/>
                <w:color w:val="auto"/>
              </w:rPr>
              <w:t>through profit and loss</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213,153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213,153</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53,116</w:t>
            </w:r>
          </w:p>
        </w:tc>
        <w:tc>
          <w:tcPr>
            <w:tcW w:w="1120" w:type="dxa"/>
            <w:vAlign w:val="bottom"/>
          </w:tcPr>
          <w:p>
            <w:pPr>
              <w:jc w:val="right"/>
              <w:spacing w:after="0"/>
              <w:rPr>
                <w:sz w:val="20"/>
                <w:szCs w:val="20"/>
                <w:color w:val="auto"/>
              </w:rPr>
            </w:pPr>
            <w:r>
              <w:rPr>
                <w:rFonts w:ascii="Arial" w:cs="Arial" w:eastAsia="Arial" w:hAnsi="Arial"/>
                <w:sz w:val="14"/>
                <w:szCs w:val="14"/>
                <w:color w:val="auto"/>
              </w:rPr>
              <w:t>53,116</w:t>
            </w:r>
          </w:p>
        </w:tc>
        <w:tc>
          <w:tcPr>
            <w:tcW w:w="100" w:type="dxa"/>
            <w:vAlign w:val="bottom"/>
          </w:tcPr>
          <w:p>
            <w:pPr>
              <w:spacing w:after="0"/>
              <w:rPr>
                <w:sz w:val="15"/>
                <w:szCs w:val="15"/>
                <w:color w:val="auto"/>
              </w:rPr>
            </w:pPr>
          </w:p>
        </w:tc>
      </w:tr>
      <w:tr>
        <w:trPr>
          <w:trHeight w:val="176"/>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Premiums and other policies receivable</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85,495</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85,495</w:t>
            </w: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61,279</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61,279</w:t>
            </w:r>
          </w:p>
        </w:tc>
      </w:tr>
      <w:tr>
        <w:trPr>
          <w:trHeight w:val="270"/>
        </w:trPr>
        <w:tc>
          <w:tcPr>
            <w:tcW w:w="2740" w:type="dxa"/>
            <w:vAlign w:val="bottom"/>
          </w:tcPr>
          <w:p>
            <w:pPr>
              <w:spacing w:after="0"/>
              <w:rPr>
                <w:sz w:val="20"/>
                <w:szCs w:val="20"/>
                <w:color w:val="auto"/>
              </w:rPr>
            </w:pPr>
            <w:r>
              <w:rPr>
                <w:rFonts w:ascii="Arial" w:cs="Arial" w:eastAsia="Arial" w:hAnsi="Arial"/>
                <w:sz w:val="14"/>
                <w:szCs w:val="14"/>
                <w:color w:val="auto"/>
              </w:rPr>
              <w:t>Accounts receivable from re-insurers</w:t>
            </w: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70"/>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Accounts receivable from re-insurers and</w:t>
            </w:r>
          </w:p>
        </w:tc>
        <w:tc>
          <w:tcPr>
            <w:tcW w:w="170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76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81"/>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co-insurers</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116,141</w:t>
            </w: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116,141</w:t>
            </w:r>
          </w:p>
        </w:tc>
        <w:tc>
          <w:tcPr>
            <w:tcW w:w="200" w:type="dxa"/>
            <w:vAlign w:val="bottom"/>
            <w:shd w:val="clear" w:color="auto" w:fill="CCFFCC"/>
          </w:tcPr>
          <w:p>
            <w:pPr>
              <w:spacing w:after="0"/>
              <w:rPr>
                <w:sz w:val="15"/>
                <w:szCs w:val="15"/>
                <w:color w:val="auto"/>
              </w:rPr>
            </w:pP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35,181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35,181</w:t>
            </w: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Due from customers on acceptances</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35,901</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35,901</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45,129</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45,129</w:t>
            </w:r>
          </w:p>
        </w:tc>
      </w:tr>
      <w:tr>
        <w:trPr>
          <w:trHeight w:val="176"/>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Other assets</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197,668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197,668</w:t>
            </w: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117,764</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117,764</w:t>
            </w:r>
          </w:p>
        </w:tc>
        <w:tc>
          <w:tcPr>
            <w:tcW w:w="100" w:type="dxa"/>
            <w:vAlign w:val="bottom"/>
            <w:shd w:val="clear" w:color="auto" w:fill="CCFFCC"/>
          </w:tcPr>
          <w:p>
            <w:pPr>
              <w:spacing w:after="0"/>
              <w:rPr>
                <w:sz w:val="15"/>
                <w:szCs w:val="15"/>
                <w:color w:val="auto"/>
              </w:rPr>
            </w:pPr>
          </w:p>
        </w:tc>
      </w:tr>
      <w:tr>
        <w:trPr>
          <w:trHeight w:val="270"/>
        </w:trPr>
        <w:tc>
          <w:tcPr>
            <w:tcW w:w="27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Liabilities</w:t>
            </w:r>
          </w:p>
        </w:tc>
        <w:tc>
          <w:tcPr>
            <w:tcW w:w="1700" w:type="dxa"/>
            <w:vAlign w:val="bottom"/>
            <w:shd w:val="clear" w:color="auto" w:fill="CCFFCC"/>
          </w:tcPr>
          <w:p>
            <w:pPr>
              <w:spacing w:after="0"/>
              <w:rPr>
                <w:sz w:val="23"/>
                <w:szCs w:val="23"/>
                <w:color w:val="auto"/>
              </w:rPr>
            </w:pPr>
          </w:p>
        </w:tc>
        <w:tc>
          <w:tcPr>
            <w:tcW w:w="1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7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Deposits and obligation</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11,350,714</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11,350,714</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8,838,991</w:t>
            </w:r>
          </w:p>
        </w:tc>
        <w:tc>
          <w:tcPr>
            <w:tcW w:w="1120" w:type="dxa"/>
            <w:vAlign w:val="bottom"/>
          </w:tcPr>
          <w:p>
            <w:pPr>
              <w:jc w:val="right"/>
              <w:spacing w:after="0"/>
              <w:rPr>
                <w:sz w:val="20"/>
                <w:szCs w:val="20"/>
                <w:color w:val="auto"/>
              </w:rPr>
            </w:pPr>
            <w:r>
              <w:rPr>
                <w:rFonts w:ascii="Arial" w:cs="Arial" w:eastAsia="Arial" w:hAnsi="Arial"/>
                <w:sz w:val="14"/>
                <w:szCs w:val="14"/>
                <w:color w:val="auto"/>
              </w:rPr>
              <w:t>8,838,991</w:t>
            </w:r>
          </w:p>
        </w:tc>
        <w:tc>
          <w:tcPr>
            <w:tcW w:w="100" w:type="dxa"/>
            <w:vAlign w:val="bottom"/>
          </w:tcPr>
          <w:p>
            <w:pPr>
              <w:spacing w:after="0"/>
              <w:rPr>
                <w:sz w:val="15"/>
                <w:szCs w:val="15"/>
                <w:color w:val="auto"/>
              </w:rPr>
            </w:pPr>
          </w:p>
        </w:tc>
      </w:tr>
      <w:tr>
        <w:trPr>
          <w:trHeight w:val="176"/>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Due to banks and correspondents</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1,453,261</w:t>
            </w: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1,453,185</w:t>
            </w:r>
          </w:p>
        </w:tc>
        <w:tc>
          <w:tcPr>
            <w:tcW w:w="200" w:type="dxa"/>
            <w:vAlign w:val="bottom"/>
            <w:shd w:val="clear" w:color="auto" w:fill="CCFFCC"/>
          </w:tcPr>
          <w:p>
            <w:pPr>
              <w:spacing w:after="0"/>
              <w:rPr>
                <w:sz w:val="15"/>
                <w:szCs w:val="15"/>
                <w:color w:val="auto"/>
              </w:rPr>
            </w:pP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570,989</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571,248</w:t>
            </w: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Banker’s acceptances outstanding</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35,901</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35,901</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45,129</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45,129</w:t>
            </w:r>
          </w:p>
        </w:tc>
      </w:tr>
      <w:tr>
        <w:trPr>
          <w:trHeight w:val="170"/>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Accounts payable to re-insurers and co-</w:t>
            </w:r>
          </w:p>
        </w:tc>
        <w:tc>
          <w:tcPr>
            <w:tcW w:w="170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76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81"/>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insurers</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21,914</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21,914</w:t>
            </w: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25,134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25,134</w:t>
            </w: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Financial liabilities designated at fair value</w:t>
            </w:r>
          </w:p>
        </w:tc>
        <w:tc>
          <w:tcPr>
            <w:tcW w:w="1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2740" w:type="dxa"/>
            <w:vAlign w:val="bottom"/>
          </w:tcPr>
          <w:p>
            <w:pPr>
              <w:spacing w:after="0"/>
              <w:rPr>
                <w:sz w:val="20"/>
                <w:szCs w:val="20"/>
                <w:color w:val="auto"/>
              </w:rPr>
            </w:pPr>
            <w:r>
              <w:rPr>
                <w:rFonts w:ascii="Arial" w:cs="Arial" w:eastAsia="Arial" w:hAnsi="Arial"/>
                <w:sz w:val="14"/>
                <w:szCs w:val="14"/>
                <w:color w:val="auto"/>
              </w:rPr>
              <w:t>through profit and loss</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50,561</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50,561</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Borrowed funds</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870,404</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870,404</w:t>
            </w: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370,612</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370,612</w:t>
            </w:r>
          </w:p>
        </w:tc>
      </w:tr>
      <w:tr>
        <w:trPr>
          <w:trHeight w:val="176"/>
        </w:trPr>
        <w:tc>
          <w:tcPr>
            <w:tcW w:w="2740" w:type="dxa"/>
            <w:vAlign w:val="bottom"/>
          </w:tcPr>
          <w:p>
            <w:pPr>
              <w:spacing w:after="0"/>
              <w:rPr>
                <w:sz w:val="20"/>
                <w:szCs w:val="20"/>
                <w:color w:val="auto"/>
              </w:rPr>
            </w:pPr>
            <w:r>
              <w:rPr>
                <w:rFonts w:ascii="Arial" w:cs="Arial" w:eastAsia="Arial" w:hAnsi="Arial"/>
                <w:sz w:val="14"/>
                <w:szCs w:val="14"/>
                <w:color w:val="auto"/>
              </w:rPr>
              <w:t>Bonds and subordinated notes issued</w:t>
            </w:r>
          </w:p>
        </w:tc>
        <w:tc>
          <w:tcPr>
            <w:tcW w:w="1700" w:type="dxa"/>
            <w:vAlign w:val="bottom"/>
          </w:tcPr>
          <w:p>
            <w:pPr>
              <w:jc w:val="right"/>
              <w:ind w:right="348"/>
              <w:spacing w:after="0"/>
              <w:rPr>
                <w:sz w:val="20"/>
                <w:szCs w:val="20"/>
                <w:color w:val="auto"/>
              </w:rPr>
            </w:pPr>
            <w:r>
              <w:rPr>
                <w:rFonts w:ascii="Arial" w:cs="Arial" w:eastAsia="Arial" w:hAnsi="Arial"/>
                <w:sz w:val="14"/>
                <w:szCs w:val="14"/>
                <w:color w:val="auto"/>
              </w:rPr>
              <w:t>702,298</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716,609</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512,572</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517,539</w:t>
            </w:r>
          </w:p>
        </w:tc>
      </w:tr>
      <w:tr>
        <w:trPr>
          <w:trHeight w:val="176"/>
        </w:trPr>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Other liabilities</w:t>
            </w:r>
          </w:p>
        </w:tc>
        <w:tc>
          <w:tcPr>
            <w:tcW w:w="1700" w:type="dxa"/>
            <w:vAlign w:val="bottom"/>
            <w:shd w:val="clear" w:color="auto" w:fill="CCFFCC"/>
          </w:tcPr>
          <w:p>
            <w:pPr>
              <w:jc w:val="right"/>
              <w:ind w:right="348"/>
              <w:spacing w:after="0"/>
              <w:rPr>
                <w:sz w:val="20"/>
                <w:szCs w:val="20"/>
                <w:color w:val="auto"/>
              </w:rPr>
            </w:pPr>
            <w:r>
              <w:rPr>
                <w:rFonts w:ascii="Arial" w:cs="Arial" w:eastAsia="Arial" w:hAnsi="Arial"/>
                <w:sz w:val="14"/>
                <w:szCs w:val="14"/>
                <w:color w:val="auto"/>
              </w:rPr>
              <w:t>458,976</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458,976</w:t>
            </w:r>
          </w:p>
        </w:tc>
        <w:tc>
          <w:tcPr>
            <w:tcW w:w="176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265,516</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265,516</w:t>
            </w:r>
          </w:p>
        </w:tc>
      </w:tr>
    </w:tbl>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75" w:right="39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Fiduciary activities and management of investment and pension funds -</w:t>
      </w:r>
    </w:p>
    <w:p>
      <w:pPr>
        <w:spacing w:after="0" w:line="27" w:lineRule="exact"/>
        <w:rPr>
          <w:sz w:val="20"/>
          <w:szCs w:val="20"/>
          <w:color w:val="auto"/>
        </w:rPr>
      </w:pPr>
    </w:p>
    <w:p>
      <w:pPr>
        <w:ind w:left="660" w:right="120"/>
        <w:spacing w:after="0" w:line="30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consolidated financial statements. These services give rise to the risk that the Group will be accused of poor administration or under-performance.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2007 and 2006, the assigned value of the financial assets under administration (in U.S. Dollars million)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4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1,768.8</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1,124.2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Pension Funds</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5,939.0</w:t>
            </w:r>
          </w:p>
        </w:tc>
        <w:tc>
          <w:tcPr>
            <w:tcW w:w="2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4,163.4</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3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3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2,740.7</w:t>
            </w:r>
          </w:p>
        </w:tc>
        <w:tc>
          <w:tcPr>
            <w:tcW w:w="20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1,688.7</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080" w:type="dxa"/>
            <w:vAlign w:val="bottom"/>
            <w:tcBorders>
              <w:top w:val="single" w:sz="8" w:color="CCFFCC"/>
            </w:tcBorders>
          </w:tcPr>
          <w:p>
            <w:pPr>
              <w:spacing w:after="0"/>
              <w:rPr>
                <w:sz w:val="18"/>
                <w:szCs w:val="18"/>
                <w:color w:val="auto"/>
              </w:rPr>
            </w:pPr>
          </w:p>
        </w:tc>
        <w:tc>
          <w:tcPr>
            <w:tcW w:w="316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0" w:type="dxa"/>
            <w:vAlign w:val="bottom"/>
            <w:vMerge w:val="continue"/>
          </w:tcPr>
          <w:p>
            <w:pPr>
              <w:spacing w:after="0"/>
              <w:rPr>
                <w:sz w:val="21"/>
                <w:szCs w:val="21"/>
                <w:color w:val="auto"/>
              </w:rPr>
            </w:pPr>
          </w:p>
        </w:tc>
        <w:tc>
          <w:tcPr>
            <w:tcW w:w="3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10,448.5</w:t>
            </w:r>
          </w:p>
        </w:tc>
        <w:tc>
          <w:tcPr>
            <w:tcW w:w="14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6,976.3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660" w:type="dxa"/>
            <w:vAlign w:val="bottom"/>
          </w:tcPr>
          <w:p>
            <w:pPr>
              <w:spacing w:after="0"/>
              <w:rPr>
                <w:sz w:val="24"/>
                <w:szCs w:val="24"/>
                <w:color w:val="auto"/>
              </w:rPr>
            </w:pPr>
          </w:p>
        </w:tc>
        <w:tc>
          <w:tcPr>
            <w:tcW w:w="3080" w:type="dxa"/>
            <w:vAlign w:val="bottom"/>
            <w:tcBorders>
              <w:top w:val="single" w:sz="8" w:color="CCFFCC"/>
            </w:tcBorders>
          </w:tcPr>
          <w:p>
            <w:pPr>
              <w:spacing w:after="0"/>
              <w:rPr>
                <w:sz w:val="24"/>
                <w:szCs w:val="24"/>
                <w:color w:val="auto"/>
              </w:rPr>
            </w:pPr>
          </w:p>
        </w:tc>
        <w:tc>
          <w:tcPr>
            <w:tcW w:w="3160" w:type="dxa"/>
            <w:vAlign w:val="bottom"/>
            <w:tcBorders>
              <w:top w:val="single" w:sz="8" w:color="CCFFCC"/>
            </w:tcBorders>
          </w:tcPr>
          <w:p>
            <w:pPr>
              <w:ind w:left="1760"/>
              <w:spacing w:after="0"/>
              <w:rPr>
                <w:sz w:val="20"/>
                <w:szCs w:val="20"/>
                <w:color w:val="auto"/>
              </w:rPr>
            </w:pPr>
            <w:r>
              <w:rPr>
                <w:rFonts w:ascii="Arial" w:cs="Arial" w:eastAsia="Arial" w:hAnsi="Arial"/>
                <w:sz w:val="18"/>
                <w:szCs w:val="18"/>
                <w:color w:val="auto"/>
              </w:rPr>
              <w:t>F-137</w:t>
            </w: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 | Tax | Transactions | Advisory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Acerca de Ernst &amp; Young</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Ernst &amp; Young es líder global en auditoría, impuestos, transacciones y servicios de asesoría. Cuenta con aproximadamente 500 profesionales en el Perú como parte de sus 130,000 profesionales alrededor del mundo, quienes comparten los mismos valores y un firme compromiso con la calidad. Marcamos la diferencia ayudando a nuestra gente, clientes y comunidades a alcanzar su potencial. Puede encontrar información adicional sobre Ernst &amp; Young en www.ey.com</w:t>
      </w:r>
    </w:p>
    <w:p>
      <w:pPr>
        <w:spacing w:after="0" w:line="2" w:lineRule="exact"/>
        <w:rPr>
          <w:sz w:val="20"/>
          <w:szCs w:val="20"/>
          <w:color w:val="auto"/>
        </w:rPr>
      </w:pPr>
    </w:p>
    <w:p>
      <w:pPr>
        <w:ind w:right="9320" w:firstLine="8"/>
        <w:spacing w:after="0" w:line="281" w:lineRule="auto"/>
        <w:tabs>
          <w:tab w:leader="none" w:pos="182" w:val="left"/>
        </w:tabs>
        <w:numPr>
          <w:ilvl w:val="0"/>
          <w:numId w:val="243"/>
        </w:numPr>
        <w:rPr>
          <w:rFonts w:ascii="Arial" w:cs="Arial" w:eastAsia="Arial" w:hAnsi="Arial"/>
          <w:sz w:val="16"/>
          <w:szCs w:val="16"/>
          <w:i w:val="1"/>
          <w:iCs w:val="1"/>
          <w:color w:val="auto"/>
        </w:rPr>
      </w:pPr>
      <w:r>
        <w:rPr>
          <w:rFonts w:ascii="Arial" w:cs="Arial" w:eastAsia="Arial" w:hAnsi="Arial"/>
          <w:sz w:val="16"/>
          <w:szCs w:val="16"/>
          <w:i w:val="1"/>
          <w:iCs w:val="1"/>
          <w:color w:val="auto"/>
        </w:rPr>
        <w:t>2008 Ernst &amp; Young. All Rights Reserved. Ernst &amp; Young is</w:t>
      </w:r>
    </w:p>
    <w:p>
      <w:pPr>
        <w:spacing w:after="0" w:line="2"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a registered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6980555" cy="50342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80555" cy="503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375" w:right="63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30, 2005</w:t>
      </w:r>
    </w:p>
    <w:p>
      <w:pPr>
        <w:spacing w:after="0" w:line="211" w:lineRule="exact"/>
        <w:rPr>
          <w:sz w:val="20"/>
          <w:szCs w:val="20"/>
          <w:color w:val="auto"/>
        </w:rPr>
      </w:pPr>
    </w:p>
    <w:p>
      <w:pPr>
        <w:ind w:left="1300" w:right="200" w:hanging="809"/>
        <w:spacing w:after="0" w:line="277" w:lineRule="auto"/>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1300" w:hanging="806"/>
        <w:spacing w:after="0"/>
        <w:tabs>
          <w:tab w:leader="none" w:pos="13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List of Subsidiaries, incorporated herein by reference to Exhibit 8 to Credicorp’s Annual Report on Form 20-F dated June 27, 2003</w:t>
      </w:r>
    </w:p>
    <w:p>
      <w:pPr>
        <w:spacing w:after="0" w:line="24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2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and Accounting Officer Pursuant to Section 302 of the U.S. Sarbanes-Oxley Act of 2002</w:t>
      </w:r>
    </w:p>
    <w:p>
      <w:pPr>
        <w:spacing w:after="0" w:line="22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and Accounting Officer Pursuant to Section 906 of the U.S. Sarbanes-Oxley Act of 2002</w:t>
      </w:r>
    </w:p>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375" w:right="87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t>Exhibit 12.1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79" w:lineRule="exact"/>
        <w:rPr>
          <w:sz w:val="20"/>
          <w:szCs w:val="20"/>
          <w:color w:val="auto"/>
        </w:rPr>
      </w:pPr>
    </w:p>
    <w:p>
      <w:pPr>
        <w:ind w:left="180" w:hanging="172"/>
        <w:spacing w:after="0"/>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t>Exhibit 12.2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79" w:lineRule="exact"/>
        <w:rPr>
          <w:sz w:val="20"/>
          <w:szCs w:val="20"/>
          <w:color w:val="auto"/>
        </w:rPr>
      </w:pPr>
    </w:p>
    <w:p>
      <w:pPr>
        <w:ind w:left="180" w:hanging="172"/>
        <w:spacing w:after="0"/>
        <w:tabs>
          <w:tab w:leader="none" w:pos="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t>Exhibit 13.1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24" w:lineRule="exact"/>
        <w:rPr>
          <w:sz w:val="20"/>
          <w:szCs w:val="20"/>
          <w:color w:val="auto"/>
        </w:rPr>
      </w:pPr>
    </w:p>
    <w:p>
      <w:pPr>
        <w:ind w:left="500" w:hanging="492"/>
        <w:spacing w:after="0"/>
        <w:tabs>
          <w:tab w:leader="none" w:pos="5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am the Chairman Executive Officer of Credicorp Ltd. (the “Company”).</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20" w:lineRule="exact"/>
        <w:rPr>
          <w:sz w:val="20"/>
          <w:szCs w:val="20"/>
          <w:color w:val="auto"/>
        </w:rPr>
      </w:pPr>
    </w:p>
    <w:p>
      <w:pPr>
        <w:jc w:val="both"/>
        <w:ind w:firstLine="8"/>
        <w:spacing w:after="0" w:line="271" w:lineRule="auto"/>
        <w:tabs>
          <w:tab w:leader="none" w:pos="83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Exhibit 13.2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24" w:lineRule="exact"/>
        <w:rPr>
          <w:sz w:val="20"/>
          <w:szCs w:val="20"/>
          <w:color w:val="auto"/>
        </w:rPr>
      </w:pPr>
    </w:p>
    <w:p>
      <w:pPr>
        <w:ind w:left="500" w:hanging="492"/>
        <w:spacing w:after="0"/>
        <w:tabs>
          <w:tab w:leader="none" w:pos="5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 am the Chief Financial and Accounting Officer of Credicorp Ltd. (the “Company”).</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20" w:lineRule="exact"/>
        <w:rPr>
          <w:sz w:val="20"/>
          <w:szCs w:val="20"/>
          <w:color w:val="auto"/>
        </w:rPr>
      </w:pPr>
    </w:p>
    <w:p>
      <w:pPr>
        <w:jc w:val="both"/>
        <w:ind w:firstLine="8"/>
        <w:spacing w:after="0" w:line="271" w:lineRule="auto"/>
        <w:tabs>
          <w:tab w:leader="none" w:pos="8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2008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Pr>
          <w:p>
            <w:pPr>
              <w:spacing w:after="0"/>
              <w:rPr>
                <w:sz w:val="20"/>
                <w:szCs w:val="20"/>
                <w:color w:val="auto"/>
              </w:rPr>
            </w:pPr>
            <w:r>
              <w:rPr>
                <w:rFonts w:ascii="Arial" w:cs="Arial" w:eastAsia="Arial" w:hAnsi="Arial"/>
                <w:sz w:val="18"/>
                <w:szCs w:val="18"/>
                <w:color w:val="auto"/>
              </w:rPr>
              <w:t>/s/ ALVARO CORREA</w:t>
            </w:r>
          </w:p>
        </w:tc>
        <w:tc>
          <w:tcPr>
            <w:tcW w:w="6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360" w:type="dxa"/>
            <w:vAlign w:val="bottom"/>
            <w:tcBorders>
              <w:bottom w:val="single" w:sz="8" w:color="auto"/>
            </w:tcBorders>
          </w:tcPr>
          <w:p>
            <w:pPr>
              <w:spacing w:after="0"/>
              <w:rPr>
                <w:sz w:val="2"/>
                <w:szCs w:val="2"/>
                <w:color w:val="auto"/>
              </w:rPr>
            </w:pPr>
          </w:p>
        </w:tc>
        <w:tc>
          <w:tcPr>
            <w:tcW w:w="6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Alvaro Correa</w:t>
            </w:r>
          </w:p>
        </w:tc>
        <w:tc>
          <w:tcPr>
            <w:tcW w:w="6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c>
          <w:tcPr>
            <w:tcW w:w="6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5"/>
        </w:trPr>
        <w:tc>
          <w:tcPr>
            <w:tcW w:w="78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888A08"/>
    <w:multiLevelType w:val="hybridMultilevel"/>
    <w:lvl w:ilvl="0">
      <w:lvlJc w:val="left"/>
      <w:lvlText w:val="☐"/>
      <w:numFmt w:val="bullet"/>
      <w:start w:val="1"/>
    </w:lvl>
  </w:abstractNum>
  <w:abstractNum w:abstractNumId="1">
    <w:nsid w:val="2A082C70"/>
    <w:multiLevelType w:val="hybridMultilevel"/>
    <w:lvl w:ilvl="0">
      <w:lvlJc w:val="left"/>
      <w:lvlText w:val="x"/>
      <w:numFmt w:val="bullet"/>
      <w:start w:val="1"/>
    </w:lvl>
  </w:abstractNum>
  <w:abstractNum w:abstractNumId="2">
    <w:nsid w:val="5EC6AFD4"/>
    <w:multiLevelType w:val="hybridMultilevel"/>
    <w:lvl w:ilvl="0">
      <w:lvlJc w:val="left"/>
      <w:lvlText w:val="☐"/>
      <w:numFmt w:val="bullet"/>
      <w:start w:val="1"/>
    </w:lvl>
  </w:abstractNum>
  <w:abstractNum w:abstractNumId="3">
    <w:nsid w:val="19E21BB2"/>
    <w:multiLevelType w:val="hybridMultilevel"/>
    <w:lvl w:ilvl="0">
      <w:lvlJc w:val="left"/>
      <w:lvlText w:val="·"/>
      <w:numFmt w:val="bullet"/>
      <w:start w:val="1"/>
    </w:lvl>
  </w:abstractNum>
  <w:abstractNum w:abstractNumId="4">
    <w:nsid w:val="75E0858A"/>
    <w:multiLevelType w:val="hybridMultilevel"/>
    <w:lvl w:ilvl="0">
      <w:lvlJc w:val="left"/>
      <w:lvlText w:val="·"/>
      <w:numFmt w:val="bullet"/>
      <w:start w:val="1"/>
    </w:lvl>
  </w:abstractNum>
  <w:abstractNum w:abstractNumId="5">
    <w:nsid w:val="57A61A29"/>
    <w:multiLevelType w:val="hybridMultilevel"/>
    <w:lvl w:ilvl="0">
      <w:lvlJc w:val="left"/>
      <w:lvlText w:val="(%1)"/>
      <w:numFmt w:val="upperLetter"/>
      <w:start w:val="1"/>
    </w:lvl>
  </w:abstractNum>
  <w:abstractNum w:abstractNumId="6">
    <w:nsid w:val="5399C654"/>
    <w:multiLevelType w:val="hybridMultilevel"/>
    <w:lvl w:ilvl="0">
      <w:lvlJc w:val="left"/>
      <w:lvlText w:val="(%1)"/>
      <w:numFmt w:val="decimal"/>
      <w:start w:val="1"/>
    </w:lvl>
  </w:abstractNum>
  <w:abstractNum w:abstractNumId="7">
    <w:nsid w:val="20EE1348"/>
    <w:multiLevelType w:val="hybridMultilevel"/>
    <w:lvl w:ilvl="0">
      <w:lvlJc w:val="left"/>
      <w:lvlText w:val="(%1)"/>
      <w:numFmt w:val="decimal"/>
      <w:start w:val="2"/>
    </w:lvl>
  </w:abstractNum>
  <w:abstractNum w:abstractNumId="8">
    <w:nsid w:val="4427069A"/>
    <w:multiLevelType w:val="hybridMultilevel"/>
    <w:lvl w:ilvl="0">
      <w:lvlJc w:val="left"/>
      <w:lvlText w:val="(%1)"/>
      <w:numFmt w:val="decimal"/>
      <w:start w:val="1"/>
    </w:lvl>
  </w:abstractNum>
  <w:abstractNum w:abstractNumId="9">
    <w:nsid w:val="B37E80A"/>
    <w:multiLevelType w:val="hybridMultilevel"/>
    <w:lvl w:ilvl="0">
      <w:lvlJc w:val="left"/>
      <w:lvlText w:val="(%1)"/>
      <w:numFmt w:val="upperLetter"/>
      <w:start w:val="2"/>
    </w:lvl>
  </w:abstractNum>
  <w:abstractNum w:abstractNumId="10">
    <w:nsid w:val="2157F6BC"/>
    <w:multiLevelType w:val="hybridMultilevel"/>
    <w:lvl w:ilvl="0">
      <w:lvlJc w:val="left"/>
      <w:lvlText w:val="(%1)"/>
      <w:numFmt w:val="upperLetter"/>
      <w:start w:val="1"/>
    </w:lvl>
  </w:abstractNum>
  <w:abstractNum w:abstractNumId="11">
    <w:nsid w:val="704E1DD5"/>
    <w:multiLevelType w:val="hybridMultilevel"/>
    <w:lvl w:ilvl="0">
      <w:lvlJc w:val="left"/>
      <w:lvlText w:val="(%1)"/>
      <w:numFmt w:val="decimal"/>
      <w:start w:val="1"/>
    </w:lvl>
  </w:abstractNum>
  <w:abstractNum w:abstractNumId="12">
    <w:nsid w:val="57D2F10E"/>
    <w:multiLevelType w:val="hybridMultilevel"/>
    <w:lvl w:ilvl="0">
      <w:lvlJc w:val="left"/>
      <w:lvlText w:val="(%1)"/>
      <w:numFmt w:val="decimal"/>
      <w:start w:val="1"/>
    </w:lvl>
  </w:abstractNum>
  <w:abstractNum w:abstractNumId="13">
    <w:nsid w:val="BFFAE18"/>
    <w:multiLevelType w:val="hybridMultilevel"/>
    <w:lvl w:ilvl="0">
      <w:lvlJc w:val="left"/>
      <w:lvlText w:val="(%1)"/>
      <w:numFmt w:val="upperLetter"/>
      <w:start w:val="2"/>
    </w:lvl>
  </w:abstractNum>
  <w:abstractNum w:abstractNumId="14">
    <w:nsid w:val="E3E47A8"/>
    <w:multiLevelType w:val="hybridMultilevel"/>
    <w:lvl w:ilvl="0">
      <w:lvlJc w:val="left"/>
      <w:lvlText w:val="(%1)"/>
      <w:numFmt w:val="decimal"/>
      <w:start w:val="1"/>
    </w:lvl>
  </w:abstractNum>
  <w:abstractNum w:abstractNumId="15">
    <w:nsid w:val="2E48F044"/>
    <w:multiLevelType w:val="hybridMultilevel"/>
    <w:lvl w:ilvl="0">
      <w:lvlJc w:val="left"/>
      <w:lvlText w:val="(%1)"/>
      <w:numFmt w:val="lowerRoman"/>
      <w:start w:val="1"/>
    </w:lvl>
  </w:abstractNum>
  <w:abstractNum w:abstractNumId="16">
    <w:nsid w:val="49D0FEAC"/>
    <w:multiLevelType w:val="hybridMultilevel"/>
    <w:lvl w:ilvl="0">
      <w:lvlJc w:val="left"/>
      <w:lvlText w:val="(%1)"/>
      <w:numFmt w:val="lowerRoman"/>
      <w:start w:val="1"/>
    </w:lvl>
  </w:abstractNum>
  <w:abstractNum w:abstractNumId="17">
    <w:nsid w:val="4BEE5A5B"/>
    <w:multiLevelType w:val="hybridMultilevel"/>
    <w:lvl w:ilvl="0">
      <w:lvlJc w:val="left"/>
      <w:lvlText w:val="·"/>
      <w:numFmt w:val="bullet"/>
      <w:start w:val="1"/>
    </w:lvl>
  </w:abstractNum>
  <w:abstractNum w:abstractNumId="18">
    <w:nsid w:val="5551B9F3"/>
    <w:multiLevelType w:val="hybridMultilevel"/>
    <w:lvl w:ilvl="0">
      <w:lvlJc w:val="left"/>
      <w:lvlText w:val="(%1)"/>
      <w:numFmt w:val="lowerRoman"/>
      <w:start w:val="1"/>
    </w:lvl>
  </w:abstractNum>
  <w:abstractNum w:abstractNumId="19">
    <w:nsid w:val="24F6AB8E"/>
    <w:multiLevelType w:val="hybridMultilevel"/>
    <w:lvl w:ilvl="0">
      <w:lvlJc w:val="left"/>
      <w:lvlText w:val="·"/>
      <w:numFmt w:val="bullet"/>
      <w:start w:val="1"/>
    </w:lvl>
  </w:abstractNum>
  <w:abstractNum w:abstractNumId="20">
    <w:nsid w:val="634C574C"/>
    <w:multiLevelType w:val="hybridMultilevel"/>
    <w:lvl w:ilvl="0">
      <w:lvlJc w:val="left"/>
      <w:lvlText w:val="(%1)"/>
      <w:numFmt w:val="decimal"/>
      <w:start w:val="4"/>
    </w:lvl>
  </w:abstractNum>
  <w:abstractNum w:abstractNumId="21">
    <w:nsid w:val="24E99DD7"/>
    <w:multiLevelType w:val="hybridMultilevel"/>
    <w:lvl w:ilvl="0">
      <w:lvlJc w:val="left"/>
      <w:lvlText w:val="(%1)"/>
      <w:numFmt w:val="lowerRoman"/>
      <w:start w:val="1"/>
    </w:lvl>
    <w:lvl w:ilvl="1">
      <w:lvlJc w:val="left"/>
      <w:lvlText w:val="•"/>
      <w:numFmt w:val="bullet"/>
      <w:start w:val="1"/>
    </w:lvl>
  </w:abstractNum>
  <w:abstractNum w:abstractNumId="22">
    <w:nsid w:val="2A31B62D"/>
    <w:multiLevelType w:val="hybridMultilevel"/>
    <w:lvl w:ilvl="0">
      <w:lvlJc w:val="left"/>
      <w:lvlText w:val="·"/>
      <w:numFmt w:val="bullet"/>
      <w:start w:val="1"/>
    </w:lvl>
  </w:abstractNum>
  <w:abstractNum w:abstractNumId="23">
    <w:nsid w:val="1849C29B"/>
    <w:multiLevelType w:val="hybridMultilevel"/>
    <w:lvl w:ilvl="0">
      <w:lvlJc w:val="left"/>
      <w:lvlText w:val="·"/>
      <w:numFmt w:val="bullet"/>
      <w:start w:val="1"/>
    </w:lvl>
  </w:abstractNum>
  <w:abstractNum w:abstractNumId="24">
    <w:nsid w:val="7DFF9D09"/>
    <w:multiLevelType w:val="hybridMultilevel"/>
    <w:lvl w:ilvl="0">
      <w:lvlJc w:val="left"/>
      <w:lvlText w:val="•"/>
      <w:numFmt w:val="bullet"/>
      <w:start w:val="1"/>
    </w:lvl>
  </w:abstractNum>
  <w:abstractNum w:abstractNumId="25">
    <w:nsid w:val="754342"/>
    <w:multiLevelType w:val="hybridMultilevel"/>
    <w:lvl w:ilvl="0">
      <w:lvlJc w:val="left"/>
      <w:lvlText w:val="(%1)"/>
      <w:numFmt w:val="lowerRoman"/>
      <w:start w:val="3"/>
    </w:lvl>
  </w:abstractNum>
  <w:abstractNum w:abstractNumId="26">
    <w:nsid w:val="69E7F3E5"/>
    <w:multiLevelType w:val="hybridMultilevel"/>
    <w:lvl w:ilvl="0">
      <w:lvlJc w:val="left"/>
      <w:lvlText w:val="(%1)"/>
      <w:numFmt w:val="lowerRoman"/>
      <w:start w:val="4"/>
    </w:lvl>
  </w:abstractNum>
  <w:abstractNum w:abstractNumId="27">
    <w:nsid w:val="2A6DE806"/>
    <w:multiLevelType w:val="hybridMultilevel"/>
    <w:lvl w:ilvl="0">
      <w:lvlJc w:val="left"/>
      <w:lvlText w:val="(%1)"/>
      <w:numFmt w:val="lowerRoman"/>
      <w:start w:val="6"/>
    </w:lvl>
  </w:abstractNum>
  <w:abstractNum w:abstractNumId="28">
    <w:nsid w:val="1816F8C4"/>
    <w:multiLevelType w:val="hybridMultilevel"/>
    <w:lvl w:ilvl="0">
      <w:lvlJc w:val="left"/>
      <w:lvlText w:val="(%1)"/>
      <w:numFmt w:val="decimal"/>
      <w:start w:val="1"/>
    </w:lvl>
  </w:abstractNum>
  <w:abstractNum w:abstractNumId="29">
    <w:nsid w:val="37DF2233"/>
    <w:multiLevelType w:val="hybridMultilevel"/>
    <w:lvl w:ilvl="0">
      <w:lvlJc w:val="left"/>
      <w:lvlText w:val="(%1)"/>
      <w:numFmt w:val="lowerRoman"/>
      <w:start w:val="7"/>
    </w:lvl>
  </w:abstractNum>
  <w:abstractNum w:abstractNumId="30">
    <w:nsid w:val="7AB49DAF"/>
    <w:multiLevelType w:val="hybridMultilevel"/>
    <w:lvl w:ilvl="0">
      <w:lvlJc w:val="left"/>
      <w:lvlText w:val="(%1)"/>
      <w:numFmt w:val="lowerRoman"/>
      <w:start w:val="8"/>
    </w:lvl>
  </w:abstractNum>
  <w:abstractNum w:abstractNumId="31">
    <w:nsid w:val="759F82CD"/>
    <w:multiLevelType w:val="hybridMultilevel"/>
    <w:lvl w:ilvl="0">
      <w:lvlJc w:val="left"/>
      <w:lvlText w:val="(%1)"/>
      <w:numFmt w:val="lowerRoman"/>
      <w:start w:val="9"/>
    </w:lvl>
  </w:abstractNum>
  <w:abstractNum w:abstractNumId="32">
    <w:nsid w:val="61E74EA3"/>
    <w:multiLevelType w:val="hybridMultilevel"/>
    <w:lvl w:ilvl="0">
      <w:lvlJc w:val="left"/>
      <w:lvlText w:val="(%1)"/>
      <w:numFmt w:val="lowerRoman"/>
      <w:start w:val="10"/>
    </w:lvl>
  </w:abstractNum>
  <w:abstractNum w:abstractNumId="33">
    <w:nsid w:val="597B4D84"/>
    <w:multiLevelType w:val="hybridMultilevel"/>
    <w:lvl w:ilvl="0">
      <w:lvlJc w:val="left"/>
      <w:lvlText w:val="(%1)"/>
      <w:numFmt w:val="decimal"/>
      <w:start w:val="5"/>
    </w:lvl>
  </w:abstractNum>
  <w:abstractNum w:abstractNumId="34">
    <w:nsid w:val="F819E7F"/>
    <w:multiLevelType w:val="hybridMultilevel"/>
    <w:lvl w:ilvl="0">
      <w:lvlJc w:val="left"/>
      <w:lvlText w:val="(%1)"/>
      <w:numFmt w:val="decimal"/>
      <w:start w:val="6"/>
    </w:lvl>
  </w:abstractNum>
  <w:abstractNum w:abstractNumId="35">
    <w:nsid w:val="57C7D42D"/>
    <w:multiLevelType w:val="hybridMultilevel"/>
    <w:lvl w:ilvl="0">
      <w:lvlJc w:val="left"/>
      <w:lvlText w:val="(%1)"/>
      <w:numFmt w:val="lowerRoman"/>
      <w:start w:val="1"/>
    </w:lvl>
  </w:abstractNum>
  <w:abstractNum w:abstractNumId="36">
    <w:nsid w:val="312167AD"/>
    <w:multiLevelType w:val="hybridMultilevel"/>
    <w:lvl w:ilvl="0">
      <w:lvlJc w:val="left"/>
      <w:lvlText w:val="(%1)"/>
      <w:numFmt w:val="lowerRoman"/>
      <w:start w:val="2"/>
    </w:lvl>
  </w:abstractNum>
  <w:abstractNum w:abstractNumId="37">
    <w:nsid w:val="631B64D4"/>
    <w:multiLevelType w:val="hybridMultilevel"/>
    <w:lvl w:ilvl="0">
      <w:lvlJc w:val="left"/>
      <w:lvlText w:val="(%1)"/>
      <w:numFmt w:val="lowerRoman"/>
      <w:start w:val="3"/>
    </w:lvl>
  </w:abstractNum>
  <w:abstractNum w:abstractNumId="38">
    <w:nsid w:val="78B5E776"/>
    <w:multiLevelType w:val="hybridMultilevel"/>
    <w:lvl w:ilvl="0">
      <w:lvlJc w:val="left"/>
      <w:lvlText w:val="(%1)"/>
      <w:numFmt w:val="decimal"/>
      <w:start w:val="7"/>
    </w:lvl>
  </w:abstractNum>
  <w:abstractNum w:abstractNumId="39">
    <w:nsid w:val="75486E47"/>
    <w:multiLevelType w:val="hybridMultilevel"/>
    <w:lvl w:ilvl="0">
      <w:lvlJc w:val="left"/>
      <w:lvlText w:val="(%1)"/>
      <w:numFmt w:val="decimal"/>
      <w:start w:val="8"/>
    </w:lvl>
    <w:lvl w:ilvl="1">
      <w:lvlJc w:val="left"/>
      <w:lvlText w:val="(%2)"/>
      <w:numFmt w:val="lowerRoman"/>
      <w:start w:val="1"/>
    </w:lvl>
  </w:abstractNum>
  <w:abstractNum w:abstractNumId="40">
    <w:nsid w:val="6E534CDE"/>
    <w:multiLevelType w:val="hybridMultilevel"/>
    <w:lvl w:ilvl="0">
      <w:lvlJc w:val="left"/>
      <w:lvlText w:val="(%1)"/>
      <w:numFmt w:val="lowerRoman"/>
      <w:start w:val="2"/>
    </w:lvl>
  </w:abstractNum>
  <w:abstractNum w:abstractNumId="41">
    <w:nsid w:val="1A0DDE32"/>
    <w:multiLevelType w:val="hybridMultilevel"/>
    <w:lvl w:ilvl="0">
      <w:lvlJc w:val="left"/>
      <w:lvlText w:val="(%1)"/>
      <w:numFmt w:val="lowerRoman"/>
      <w:start w:val="3"/>
    </w:lvl>
  </w:abstractNum>
  <w:abstractNum w:abstractNumId="42">
    <w:nsid w:val="65968C1C"/>
    <w:multiLevelType w:val="hybridMultilevel"/>
    <w:lvl w:ilvl="0">
      <w:lvlJc w:val="left"/>
      <w:lvlText w:val="(%1)"/>
      <w:numFmt w:val="lowerRoman"/>
      <w:start w:val="4"/>
    </w:lvl>
  </w:abstractNum>
  <w:abstractNum w:abstractNumId="43">
    <w:nsid w:val="46263DEC"/>
    <w:multiLevelType w:val="hybridMultilevel"/>
    <w:lvl w:ilvl="0">
      <w:lvlJc w:val="left"/>
      <w:lvlText w:val="(%1)"/>
      <w:numFmt w:val="decimal"/>
      <w:start w:val="9"/>
    </w:lvl>
  </w:abstractNum>
  <w:abstractNum w:abstractNumId="44">
    <w:nsid w:val="260D8C4A"/>
    <w:multiLevelType w:val="hybridMultilevel"/>
    <w:lvl w:ilvl="0">
      <w:lvlJc w:val="left"/>
      <w:lvlText w:val="(%1)"/>
      <w:numFmt w:val="lowerRoman"/>
      <w:start w:val="1"/>
    </w:lvl>
  </w:abstractNum>
  <w:abstractNum w:abstractNumId="45">
    <w:nsid w:val="73D4D3C4"/>
    <w:multiLevelType w:val="hybridMultilevel"/>
    <w:lvl w:ilvl="0">
      <w:lvlJc w:val="left"/>
      <w:lvlText w:val="(%1)"/>
      <w:numFmt w:val="lowerRoman"/>
      <w:start w:val="2"/>
    </w:lvl>
  </w:abstractNum>
  <w:abstractNum w:abstractNumId="46">
    <w:nsid w:val="746F2E30"/>
    <w:multiLevelType w:val="hybridMultilevel"/>
    <w:lvl w:ilvl="0">
      <w:lvlJc w:val="left"/>
      <w:lvlText w:val="(%1)"/>
      <w:numFmt w:val="decimal"/>
      <w:start w:val="10"/>
    </w:lvl>
  </w:abstractNum>
  <w:abstractNum w:abstractNumId="47">
    <w:nsid w:val="6FDE8AF6"/>
    <w:multiLevelType w:val="hybridMultilevel"/>
    <w:lvl w:ilvl="0">
      <w:lvlJc w:val="left"/>
      <w:lvlText w:val="(%1)"/>
      <w:numFmt w:val="lowerRoman"/>
      <w:start w:val="1"/>
    </w:lvl>
  </w:abstractNum>
  <w:abstractNum w:abstractNumId="48">
    <w:nsid w:val="3FC32E20"/>
    <w:multiLevelType w:val="hybridMultilevel"/>
    <w:lvl w:ilvl="0">
      <w:lvlJc w:val="left"/>
      <w:lvlText w:val="(%1)"/>
      <w:numFmt w:val="lowerRoman"/>
      <w:start w:val="2"/>
    </w:lvl>
  </w:abstractNum>
  <w:abstractNum w:abstractNumId="49">
    <w:nsid w:val="49C0E823"/>
    <w:multiLevelType w:val="hybridMultilevel"/>
    <w:lvl w:ilvl="0">
      <w:lvlJc w:val="left"/>
      <w:lvlText w:val="(%1)"/>
      <w:numFmt w:val="lowerRoman"/>
      <w:start w:val="3"/>
    </w:lvl>
  </w:abstractNum>
  <w:abstractNum w:abstractNumId="50">
    <w:nsid w:val="14D53685"/>
    <w:multiLevelType w:val="hybridMultilevel"/>
    <w:lvl w:ilvl="0">
      <w:lvlJc w:val="left"/>
      <w:lvlText w:val="(%1)"/>
      <w:numFmt w:val="lowerRoman"/>
      <w:start w:val="4"/>
    </w:lvl>
  </w:abstractNum>
  <w:abstractNum w:abstractNumId="51">
    <w:nsid w:val="230F856C"/>
    <w:multiLevelType w:val="hybridMultilevel"/>
    <w:lvl w:ilvl="0">
      <w:lvlJc w:val="left"/>
      <w:lvlText w:val="(%1)"/>
      <w:numFmt w:val="decimal"/>
      <w:start w:val="11"/>
    </w:lvl>
    <w:lvl w:ilvl="1">
      <w:lvlJc w:val="left"/>
      <w:lvlText w:val="(%2)"/>
      <w:numFmt w:val="lowerRoman"/>
      <w:start w:val="1"/>
    </w:lvl>
  </w:abstractNum>
  <w:abstractNum w:abstractNumId="52">
    <w:nsid w:val="6EAA85FB"/>
    <w:multiLevelType w:val="hybridMultilevel"/>
    <w:lvl w:ilvl="0">
      <w:lvlJc w:val="left"/>
      <w:lvlText w:val="(%1)"/>
      <w:numFmt w:val="upperLetter"/>
      <w:start w:val="3"/>
    </w:lvl>
    <w:lvl w:ilvl="1">
      <w:lvlJc w:val="left"/>
      <w:lvlText w:val="(%2)"/>
      <w:numFmt w:val="lowerRoman"/>
      <w:start w:val="2"/>
    </w:lvl>
  </w:abstractNum>
  <w:abstractNum w:abstractNumId="53">
    <w:nsid w:val="3F06ECB2"/>
    <w:multiLevelType w:val="hybridMultilevel"/>
    <w:lvl w:ilvl="0">
      <w:lvlJc w:val="left"/>
      <w:lvlText w:val="(%1)"/>
      <w:numFmt w:val="lowerRoman"/>
      <w:start w:val="3"/>
    </w:lvl>
  </w:abstractNum>
  <w:abstractNum w:abstractNumId="54">
    <w:nsid w:val="3B594807"/>
    <w:multiLevelType w:val="hybridMultilevel"/>
    <w:lvl w:ilvl="0">
      <w:lvlJc w:val="left"/>
      <w:lvlText w:val="(%1)"/>
      <w:numFmt w:val="lowerRoman"/>
      <w:start w:val="4"/>
    </w:lvl>
  </w:abstractNum>
  <w:abstractNum w:abstractNumId="55">
    <w:nsid w:val="6CAA2304"/>
    <w:multiLevelType w:val="hybridMultilevel"/>
    <w:lvl w:ilvl="0">
      <w:lvlJc w:val="left"/>
      <w:lvlText w:val="(%1)"/>
      <w:numFmt w:val="lowerRoman"/>
      <w:start w:val="5"/>
    </w:lvl>
  </w:abstractNum>
  <w:abstractNum w:abstractNumId="56">
    <w:nsid w:val="3F7C2FF4"/>
    <w:multiLevelType w:val="hybridMultilevel"/>
    <w:lvl w:ilvl="0">
      <w:lvlJc w:val="left"/>
      <w:lvlText w:val="(%1)"/>
      <w:numFmt w:val="lowerRoman"/>
      <w:start w:val="2"/>
    </w:lvl>
  </w:abstractNum>
  <w:abstractNum w:abstractNumId="57">
    <w:nsid w:val="25413BEC"/>
    <w:multiLevelType w:val="hybridMultilevel"/>
    <w:lvl w:ilvl="0">
      <w:lvlJc w:val="left"/>
      <w:lvlText w:val="(%1)"/>
      <w:numFmt w:val="decimal"/>
      <w:start w:val="12"/>
    </w:lvl>
  </w:abstractNum>
  <w:abstractNum w:abstractNumId="58">
    <w:nsid w:val="17180B0B"/>
    <w:multiLevelType w:val="hybridMultilevel"/>
    <w:lvl w:ilvl="0">
      <w:lvlJc w:val="left"/>
      <w:lvlText w:val="(%1)"/>
      <w:numFmt w:val="lowerRoman"/>
      <w:start w:val="1"/>
    </w:lvl>
  </w:abstractNum>
  <w:abstractNum w:abstractNumId="59">
    <w:nsid w:val="579328B9"/>
    <w:multiLevelType w:val="hybridMultilevel"/>
    <w:lvl w:ilvl="0">
      <w:lvlJc w:val="left"/>
      <w:lvlText w:val="I"/>
      <w:numFmt w:val="bullet"/>
      <w:start w:val="1"/>
    </w:lvl>
  </w:abstractNum>
  <w:abstractNum w:abstractNumId="60">
    <w:nsid w:val="5D205E20"/>
    <w:multiLevelType w:val="hybridMultilevel"/>
    <w:lvl w:ilvl="0">
      <w:lvlJc w:val="left"/>
      <w:lvlText w:val="(%1)"/>
      <w:numFmt w:val="decimal"/>
      <w:start w:val="1"/>
    </w:lvl>
  </w:abstractNum>
  <w:abstractNum w:abstractNumId="61">
    <w:nsid w:val="11CCA8BA"/>
    <w:multiLevelType w:val="hybridMultilevel"/>
    <w:lvl w:ilvl="0">
      <w:lvlJc w:val="left"/>
      <w:lvlText w:val="(%1)"/>
      <w:numFmt w:val="decimal"/>
      <w:start w:val="1"/>
    </w:lvl>
  </w:abstractNum>
  <w:abstractNum w:abstractNumId="62">
    <w:nsid w:val="4D32AB86"/>
    <w:multiLevelType w:val="hybridMultilevel"/>
    <w:lvl w:ilvl="0">
      <w:lvlJc w:val="left"/>
      <w:lvlText w:val="(%1)"/>
      <w:numFmt w:val="decimal"/>
      <w:start w:val="1"/>
    </w:lvl>
  </w:abstractNum>
  <w:abstractNum w:abstractNumId="63">
    <w:nsid w:val="3F07ACC3"/>
    <w:multiLevelType w:val="hybridMultilevel"/>
    <w:lvl w:ilvl="0">
      <w:lvlJc w:val="left"/>
      <w:lvlText w:val="(%1)"/>
      <w:numFmt w:val="lowerRoman"/>
      <w:start w:val="3"/>
    </w:lvl>
  </w:abstractNum>
  <w:abstractNum w:abstractNumId="64">
    <w:nsid w:val="6B47F63E"/>
    <w:multiLevelType w:val="hybridMultilevel"/>
    <w:lvl w:ilvl="0">
      <w:lvlJc w:val="left"/>
      <w:lvlText w:val="(%1)"/>
      <w:numFmt w:val="decimal"/>
      <w:start w:val="1"/>
    </w:lvl>
  </w:abstractNum>
  <w:abstractNum w:abstractNumId="65">
    <w:nsid w:val="5CB44A05"/>
    <w:multiLevelType w:val="hybridMultilevel"/>
    <w:lvl w:ilvl="0">
      <w:lvlJc w:val="left"/>
      <w:lvlText w:val="(%1)"/>
      <w:numFmt w:val="decimal"/>
      <w:start w:val="1"/>
    </w:lvl>
  </w:abstractNum>
  <w:abstractNum w:abstractNumId="66">
    <w:nsid w:val="16CF80F1"/>
    <w:multiLevelType w:val="hybridMultilevel"/>
    <w:lvl w:ilvl="0">
      <w:lvlJc w:val="left"/>
      <w:lvlText w:val="(%1)"/>
      <w:numFmt w:val="decimal"/>
      <w:start w:val="11"/>
    </w:lvl>
  </w:abstractNum>
  <w:abstractNum w:abstractNumId="67">
    <w:nsid w:val="1C695DEC"/>
    <w:multiLevelType w:val="hybridMultilevel"/>
    <w:lvl w:ilvl="0">
      <w:lvlJc w:val="left"/>
      <w:lvlText w:val="(%1)"/>
      <w:numFmt w:val="decimal"/>
      <w:start w:val="1"/>
    </w:lvl>
  </w:abstractNum>
  <w:abstractNum w:abstractNumId="68">
    <w:nsid w:val="3FCFAED9"/>
    <w:multiLevelType w:val="hybridMultilevel"/>
    <w:lvl w:ilvl="0">
      <w:lvlJc w:val="left"/>
      <w:lvlText w:val="(%1)"/>
      <w:numFmt w:val="decimal"/>
      <w:start w:val="1"/>
    </w:lvl>
  </w:abstractNum>
  <w:abstractNum w:abstractNumId="69">
    <w:nsid w:val="F856867"/>
    <w:multiLevelType w:val="hybridMultilevel"/>
    <w:lvl w:ilvl="0">
      <w:lvlJc w:val="left"/>
      <w:lvlText w:val="(%1)"/>
      <w:numFmt w:val="decimal"/>
      <w:start w:val="1"/>
    </w:lvl>
  </w:abstractNum>
  <w:abstractNum w:abstractNumId="70">
    <w:nsid w:val="11B1CC33"/>
    <w:multiLevelType w:val="hybridMultilevel"/>
    <w:lvl w:ilvl="0">
      <w:lvlJc w:val="left"/>
      <w:lvlText w:val="(%1)"/>
      <w:numFmt w:val="lowerRoman"/>
      <w:start w:val="4"/>
    </w:lvl>
  </w:abstractNum>
  <w:abstractNum w:abstractNumId="71">
    <w:nsid w:val="2E22FBB7"/>
    <w:multiLevelType w:val="hybridMultilevel"/>
    <w:lvl w:ilvl="0">
      <w:lvlJc w:val="left"/>
      <w:lvlText w:val="(%1)"/>
      <w:numFmt w:val="decimal"/>
      <w:start w:val="1"/>
    </w:lvl>
  </w:abstractNum>
  <w:abstractNum w:abstractNumId="72">
    <w:nsid w:val="29934699"/>
    <w:multiLevelType w:val="hybridMultilevel"/>
    <w:lvl w:ilvl="0">
      <w:lvlJc w:val="left"/>
      <w:lvlText w:val="(%1)"/>
      <w:numFmt w:val="lowerRoman"/>
      <w:start w:val="6"/>
    </w:lvl>
  </w:abstractNum>
  <w:abstractNum w:abstractNumId="73">
    <w:nsid w:val="77485850"/>
    <w:multiLevelType w:val="hybridMultilevel"/>
    <w:lvl w:ilvl="0">
      <w:lvlJc w:val="left"/>
      <w:lvlText w:val="(%1)"/>
      <w:numFmt w:val="upperLetter"/>
      <w:start w:val="3"/>
    </w:lvl>
  </w:abstractNum>
  <w:abstractNum w:abstractNumId="74">
    <w:nsid w:val="744939A3"/>
    <w:multiLevelType w:val="hybridMultilevel"/>
    <w:lvl w:ilvl="0">
      <w:lvlJc w:val="left"/>
      <w:lvlText w:val="(%1)"/>
      <w:numFmt w:val="upperLetter"/>
      <w:start w:val="4"/>
    </w:lvl>
  </w:abstractNum>
  <w:abstractNum w:abstractNumId="75">
    <w:nsid w:val="4FA0D2E3"/>
    <w:multiLevelType w:val="hybridMultilevel"/>
    <w:lvl w:ilvl="0">
      <w:lvlJc w:val="left"/>
      <w:lvlText w:val="(%1)"/>
      <w:numFmt w:val="upperLetter"/>
      <w:start w:val="1"/>
    </w:lvl>
  </w:abstractNum>
  <w:abstractNum w:abstractNumId="76">
    <w:nsid w:val="6B1D2C14"/>
    <w:multiLevelType w:val="hybridMultilevel"/>
    <w:lvl w:ilvl="0">
      <w:lvlJc w:val="left"/>
      <w:lvlText w:val="(%1)"/>
      <w:numFmt w:val="decimal"/>
      <w:start w:val="1"/>
    </w:lvl>
  </w:abstractNum>
  <w:abstractNum w:abstractNumId="77">
    <w:nsid w:val="68B867D3"/>
    <w:multiLevelType w:val="hybridMultilevel"/>
    <w:lvl w:ilvl="0">
      <w:lvlJc w:val="left"/>
      <w:lvlText w:val="-"/>
      <w:numFmt w:val="bullet"/>
      <w:start w:val="1"/>
    </w:lvl>
  </w:abstractNum>
  <w:abstractNum w:abstractNumId="78">
    <w:nsid w:val="3F7F5DD9"/>
    <w:multiLevelType w:val="hybridMultilevel"/>
    <w:lvl w:ilvl="0">
      <w:lvlJc w:val="left"/>
      <w:lvlText w:val="(%1)"/>
      <w:numFmt w:val="lowerRoman"/>
      <w:start w:val="1"/>
    </w:lvl>
  </w:abstractNum>
  <w:abstractNum w:abstractNumId="79">
    <w:nsid w:val="2AE05A34"/>
    <w:multiLevelType w:val="hybridMultilevel"/>
    <w:lvl w:ilvl="0">
      <w:lvlJc w:val="left"/>
      <w:lvlText w:val="(%1)"/>
      <w:numFmt w:val="decimal"/>
      <w:start w:val="2"/>
    </w:lvl>
  </w:abstractNum>
  <w:abstractNum w:abstractNumId="80">
    <w:nsid w:val="32794FF7"/>
    <w:multiLevelType w:val="hybridMultilevel"/>
    <w:lvl w:ilvl="0">
      <w:lvlJc w:val="left"/>
      <w:lvlText w:val="(%1)"/>
      <w:numFmt w:val="decimal"/>
      <w:start w:val="1"/>
    </w:lvl>
  </w:abstractNum>
  <w:abstractNum w:abstractNumId="81">
    <w:nsid w:val="5454945E"/>
    <w:multiLevelType w:val="hybridMultilevel"/>
    <w:lvl w:ilvl="0">
      <w:lvlJc w:val="left"/>
      <w:lvlText w:val="(%1)"/>
      <w:numFmt w:val="upperLetter"/>
      <w:start w:val="3"/>
    </w:lvl>
  </w:abstractNum>
  <w:abstractNum w:abstractNumId="82">
    <w:nsid w:val="4DEFDFA0"/>
    <w:multiLevelType w:val="hybridMultilevel"/>
    <w:lvl w:ilvl="0">
      <w:lvlJc w:val="left"/>
      <w:lvlText w:val="(%1)"/>
      <w:numFmt w:val="upperLetter"/>
      <w:start w:val="6"/>
    </w:lvl>
  </w:abstractNum>
  <w:abstractNum w:abstractNumId="83">
    <w:nsid w:val="2123D5F2"/>
    <w:multiLevelType w:val="hybridMultilevel"/>
    <w:lvl w:ilvl="0">
      <w:lvlJc w:val="left"/>
      <w:lvlText w:val="·"/>
      <w:numFmt w:val="bullet"/>
      <w:start w:val="1"/>
    </w:lvl>
  </w:abstractNum>
  <w:abstractNum w:abstractNumId="84">
    <w:nsid w:val="135B8110"/>
    <w:multiLevelType w:val="hybridMultilevel"/>
    <w:lvl w:ilvl="0">
      <w:lvlJc w:val="left"/>
      <w:lvlText w:val="·"/>
      <w:numFmt w:val="bullet"/>
      <w:start w:val="1"/>
    </w:lvl>
  </w:abstractNum>
  <w:abstractNum w:abstractNumId="85">
    <w:nsid w:val="94927A8"/>
    <w:multiLevelType w:val="hybridMultilevel"/>
    <w:lvl w:ilvl="0">
      <w:lvlJc w:val="left"/>
      <w:lvlText w:val="(%1)"/>
      <w:numFmt w:val="upperLetter"/>
      <w:start w:val="1"/>
    </w:lvl>
  </w:abstractNum>
  <w:abstractNum w:abstractNumId="86">
    <w:nsid w:val="DCDF8F6"/>
    <w:multiLevelType w:val="hybridMultilevel"/>
    <w:lvl w:ilvl="0">
      <w:lvlJc w:val="left"/>
      <w:lvlText w:val="(%1)"/>
      <w:numFmt w:val="decimal"/>
      <w:start w:val="1"/>
    </w:lvl>
  </w:abstractNum>
  <w:abstractNum w:abstractNumId="87">
    <w:nsid w:val="52D7B105"/>
    <w:multiLevelType w:val="hybridMultilevel"/>
    <w:lvl w:ilvl="0">
      <w:lvlJc w:val="left"/>
      <w:lvlText w:val="(%1)"/>
      <w:numFmt w:val="decimal"/>
      <w:start w:val="1"/>
    </w:lvl>
  </w:abstractNum>
  <w:abstractNum w:abstractNumId="88">
    <w:nsid w:val="2E8A6394"/>
    <w:multiLevelType w:val="hybridMultilevel"/>
    <w:lvl w:ilvl="0">
      <w:lvlJc w:val="left"/>
      <w:lvlText w:val="(%1)"/>
      <w:numFmt w:val="upperLetter"/>
      <w:start w:val="2"/>
    </w:lvl>
  </w:abstractNum>
  <w:abstractNum w:abstractNumId="89">
    <w:nsid w:val="24E60401"/>
    <w:multiLevelType w:val="hybridMultilevel"/>
    <w:lvl w:ilvl="0">
      <w:lvlJc w:val="left"/>
      <w:lvlText w:val="(%1)"/>
      <w:numFmt w:val="upperLetter"/>
      <w:start w:val="3"/>
    </w:lvl>
  </w:abstractNum>
  <w:abstractNum w:abstractNumId="90">
    <w:nsid w:val="2A6AD9BE"/>
    <w:multiLevelType w:val="hybridMultilevel"/>
    <w:lvl w:ilvl="0">
      <w:lvlJc w:val="left"/>
      <w:lvlText w:val="(%1)"/>
      <w:numFmt w:val="upperLetter"/>
      <w:start w:val="4"/>
    </w:lvl>
  </w:abstractNum>
  <w:abstractNum w:abstractNumId="91">
    <w:nsid w:val="BAAC1B4"/>
    <w:multiLevelType w:val="hybridMultilevel"/>
    <w:lvl w:ilvl="0">
      <w:lvlJc w:val="left"/>
      <w:lvlText w:val="(%1)"/>
      <w:numFmt w:val="upperLetter"/>
      <w:start w:val="5"/>
    </w:lvl>
  </w:abstractNum>
  <w:abstractNum w:abstractNumId="92">
    <w:nsid w:val="36B2ACBC"/>
    <w:multiLevelType w:val="hybridMultilevel"/>
    <w:lvl w:ilvl="0">
      <w:lvlJc w:val="left"/>
      <w:lvlText w:val="(%1)"/>
      <w:numFmt w:val="upperLetter"/>
      <w:start w:val="1"/>
    </w:lvl>
  </w:abstractNum>
  <w:abstractNum w:abstractNumId="93">
    <w:nsid w:val="779D8544"/>
    <w:multiLevelType w:val="hybridMultilevel"/>
    <w:lvl w:ilvl="0">
      <w:lvlJc w:val="left"/>
      <w:lvlText w:val="(%1)"/>
      <w:numFmt w:val="decimal"/>
      <w:start w:val="1"/>
    </w:lvl>
  </w:abstractNum>
  <w:abstractNum w:abstractNumId="94">
    <w:nsid w:val="4AB26E78"/>
    <w:multiLevelType w:val="hybridMultilevel"/>
    <w:lvl w:ilvl="0">
      <w:lvlJc w:val="left"/>
      <w:lvlText w:val="(%1)"/>
      <w:numFmt w:val="upperLetter"/>
      <w:start w:val="2"/>
    </w:lvl>
    <w:lvl w:ilvl="1">
      <w:lvlJc w:val="left"/>
      <w:lvlText w:val="(%2)"/>
      <w:numFmt w:val="lowerRoman"/>
      <w:start w:val="1"/>
    </w:lvl>
  </w:abstractNum>
  <w:abstractNum w:abstractNumId="95">
    <w:nsid w:val="21FAA2FA"/>
    <w:multiLevelType w:val="hybridMultilevel"/>
    <w:lvl w:ilvl="0">
      <w:lvlJc w:val="left"/>
      <w:lvlText w:val="(%1)"/>
      <w:numFmt w:val="upperLetter"/>
      <w:start w:val="3"/>
    </w:lvl>
  </w:abstractNum>
  <w:abstractNum w:abstractNumId="96">
    <w:nsid w:val="5451CF49"/>
    <w:multiLevelType w:val="hybridMultilevel"/>
    <w:lvl w:ilvl="0">
      <w:lvlJc w:val="left"/>
      <w:lvlText w:val="(%1)"/>
      <w:numFmt w:val="upperLetter"/>
      <w:start w:val="1"/>
    </w:lvl>
  </w:abstractNum>
  <w:abstractNum w:abstractNumId="97">
    <w:nsid w:val="6181EF69"/>
    <w:multiLevelType w:val="hybridMultilevel"/>
    <w:lvl w:ilvl="0">
      <w:lvlJc w:val="left"/>
      <w:lvlText w:val="(%1)"/>
      <w:numFmt w:val="upperLetter"/>
      <w:start w:val="1"/>
    </w:lvl>
  </w:abstractNum>
  <w:abstractNum w:abstractNumId="98">
    <w:nsid w:val="3E6400E6"/>
    <w:multiLevelType w:val="hybridMultilevel"/>
    <w:lvl w:ilvl="0">
      <w:lvlJc w:val="left"/>
      <w:lvlText w:val="(%1)"/>
      <w:numFmt w:val="upperLetter"/>
      <w:start w:val="2"/>
    </w:lvl>
    <w:lvl w:ilvl="1">
      <w:lvlJc w:val="left"/>
      <w:lvlText w:val="(%2)"/>
      <w:numFmt w:val="lowerRoman"/>
      <w:start w:val="1"/>
    </w:lvl>
  </w:abstractNum>
  <w:abstractNum w:abstractNumId="99">
    <w:nsid w:val="14217E23"/>
    <w:multiLevelType w:val="hybridMultilevel"/>
    <w:lvl w:ilvl="0">
      <w:lvlJc w:val="left"/>
      <w:lvlText w:val="(%1)"/>
      <w:numFmt w:val="upperLetter"/>
      <w:start w:val="4"/>
    </w:lvl>
  </w:abstractNum>
  <w:abstractNum w:abstractNumId="100">
    <w:nsid w:val="710757D0"/>
    <w:multiLevelType w:val="hybridMultilevel"/>
    <w:lvl w:ilvl="0">
      <w:lvlJc w:val="left"/>
      <w:lvlText w:val="(%1)"/>
      <w:numFmt w:val="upperLetter"/>
      <w:start w:val="1"/>
    </w:lvl>
  </w:abstractNum>
  <w:abstractNum w:abstractNumId="101">
    <w:nsid w:val="5015CD1A"/>
    <w:multiLevelType w:val="hybridMultilevel"/>
    <w:lvl w:ilvl="0">
      <w:lvlJc w:val="left"/>
      <w:lvlText w:val="(%1)"/>
      <w:numFmt w:val="upperLetter"/>
      <w:start w:val="3"/>
    </w:lvl>
  </w:abstractNum>
  <w:abstractNum w:abstractNumId="102">
    <w:nsid w:val="424479DA"/>
    <w:multiLevelType w:val="hybridMultilevel"/>
    <w:lvl w:ilvl="0">
      <w:lvlJc w:val="left"/>
      <w:lvlText w:val="(%1)"/>
      <w:numFmt w:val="upperLetter"/>
      <w:start w:val="5"/>
    </w:lvl>
  </w:abstractNum>
  <w:abstractNum w:abstractNumId="103">
    <w:nsid w:val="1A9A9E69"/>
    <w:multiLevelType w:val="hybridMultilevel"/>
    <w:lvl w:ilvl="0">
      <w:lvlJc w:val="left"/>
      <w:lvlText w:val="(%1)"/>
      <w:numFmt w:val="upperLetter"/>
      <w:start w:val="6"/>
    </w:lvl>
  </w:abstractNum>
  <w:abstractNum w:abstractNumId="104">
    <w:nsid w:val="475E256A"/>
    <w:multiLevelType w:val="hybridMultilevel"/>
    <w:lvl w:ilvl="0">
      <w:lvlJc w:val="left"/>
      <w:lvlText w:val="(%1)"/>
      <w:numFmt w:val="lowerLetter"/>
      <w:start w:val="1"/>
    </w:lvl>
  </w:abstractNum>
  <w:abstractNum w:abstractNumId="105">
    <w:nsid w:val="368DB37E"/>
    <w:multiLevelType w:val="hybridMultilevel"/>
    <w:lvl w:ilvl="0">
      <w:lvlJc w:val="left"/>
      <w:lvlText w:val="(%1)"/>
      <w:numFmt w:val="lowerRoman"/>
      <w:start w:val="1"/>
    </w:lvl>
  </w:abstractNum>
  <w:abstractNum w:abstractNumId="106">
    <w:nsid w:val="6A3B714C"/>
    <w:multiLevelType w:val="hybridMultilevel"/>
    <w:lvl w:ilvl="0">
      <w:lvlJc w:val="left"/>
      <w:lvlText w:val="(%1)"/>
      <w:numFmt w:val="lowerRoman"/>
      <w:start w:val="2"/>
    </w:lvl>
  </w:abstractNum>
  <w:abstractNum w:abstractNumId="107">
    <w:nsid w:val="327B517E"/>
    <w:multiLevelType w:val="hybridMultilevel"/>
    <w:lvl w:ilvl="0">
      <w:lvlJc w:val="left"/>
      <w:lvlText w:val="(%1)"/>
      <w:numFmt w:val="lowerRoman"/>
      <w:start w:val="3"/>
    </w:lvl>
  </w:abstractNum>
  <w:abstractNum w:abstractNumId="108">
    <w:nsid w:val="1F461B51"/>
    <w:multiLevelType w:val="hybridMultilevel"/>
    <w:lvl w:ilvl="0">
      <w:lvlJc w:val="left"/>
      <w:lvlText w:val="(%1)"/>
      <w:numFmt w:val="lowerRoman"/>
      <w:start w:val="4"/>
    </w:lvl>
  </w:abstractNum>
  <w:abstractNum w:abstractNumId="109">
    <w:nsid w:val="29BACF25"/>
    <w:multiLevelType w:val="hybridMultilevel"/>
    <w:lvl w:ilvl="0">
      <w:lvlJc w:val="left"/>
      <w:lvlText w:val="(%1)"/>
      <w:numFmt w:val="lowerRoman"/>
      <w:start w:val="5"/>
    </w:lvl>
  </w:abstractNum>
  <w:abstractNum w:abstractNumId="110">
    <w:nsid w:val="5D5BABB3"/>
    <w:multiLevelType w:val="hybridMultilevel"/>
    <w:lvl w:ilvl="0">
      <w:lvlJc w:val="left"/>
      <w:lvlText w:val="(%1)"/>
      <w:numFmt w:val="lowerLetter"/>
      <w:start w:val="2"/>
    </w:lvl>
  </w:abstractNum>
  <w:abstractNum w:abstractNumId="111">
    <w:nsid w:val="51BF6B48"/>
    <w:multiLevelType w:val="hybridMultilevel"/>
    <w:lvl w:ilvl="0">
      <w:lvlJc w:val="left"/>
      <w:lvlText w:val="(%1)"/>
      <w:numFmt w:val="lowerLetter"/>
      <w:start w:val="3"/>
    </w:lvl>
  </w:abstractNum>
  <w:abstractNum w:abstractNumId="112">
    <w:nsid w:val="7E0F6384"/>
    <w:multiLevelType w:val="hybridMultilevel"/>
    <w:lvl w:ilvl="0">
      <w:lvlJc w:val="left"/>
      <w:lvlText w:val="(%1)"/>
      <w:numFmt w:val="lowerLetter"/>
      <w:start w:val="4"/>
    </w:lvl>
  </w:abstractNum>
  <w:abstractNum w:abstractNumId="113">
    <w:nsid w:val="2B4B8B53"/>
    <w:multiLevelType w:val="hybridMultilevel"/>
    <w:lvl w:ilvl="0">
      <w:lvlJc w:val="left"/>
      <w:lvlText w:val="(%1)"/>
      <w:numFmt w:val="lowerRoman"/>
      <w:start w:val="1"/>
    </w:lvl>
  </w:abstractNum>
  <w:abstractNum w:abstractNumId="114">
    <w:nsid w:val="72E3413A"/>
    <w:multiLevelType w:val="hybridMultilevel"/>
    <w:lvl w:ilvl="0">
      <w:lvlJc w:val="left"/>
      <w:lvlText w:val="(%1)"/>
      <w:numFmt w:val="lowerRoman"/>
      <w:start w:val="2"/>
    </w:lvl>
  </w:abstractNum>
  <w:abstractNum w:abstractNumId="115">
    <w:nsid w:val="116AE494"/>
    <w:multiLevelType w:val="hybridMultilevel"/>
    <w:lvl w:ilvl="0">
      <w:lvlJc w:val="left"/>
      <w:lvlText w:val="(%1)"/>
      <w:numFmt w:val="upperLetter"/>
      <w:start w:val="1"/>
    </w:lvl>
  </w:abstractNum>
  <w:abstractNum w:abstractNumId="116">
    <w:nsid w:val="3494B2FB"/>
    <w:multiLevelType w:val="hybridMultilevel"/>
    <w:lvl w:ilvl="0">
      <w:lvlJc w:val="left"/>
      <w:lvlText w:val="(%1)"/>
      <w:numFmt w:val="upperLetter"/>
      <w:start w:val="1"/>
    </w:lvl>
  </w:abstractNum>
  <w:abstractNum w:abstractNumId="117">
    <w:nsid w:val="B13A31"/>
    <w:multiLevelType w:val="hybridMultilevel"/>
    <w:lvl w:ilvl="0">
      <w:lvlJc w:val="left"/>
      <w:lvlText w:val="(%1)"/>
      <w:numFmt w:val="upperLetter"/>
      <w:start w:val="2"/>
    </w:lvl>
  </w:abstractNum>
  <w:abstractNum w:abstractNumId="118">
    <w:nsid w:val="64429599"/>
    <w:multiLevelType w:val="hybridMultilevel"/>
    <w:lvl w:ilvl="0">
      <w:lvlJc w:val="left"/>
      <w:lvlText w:val="·"/>
      <w:numFmt w:val="bullet"/>
      <w:start w:val="1"/>
    </w:lvl>
  </w:abstractNum>
  <w:abstractNum w:abstractNumId="119">
    <w:nsid w:val="631F1690"/>
    <w:multiLevelType w:val="hybridMultilevel"/>
    <w:lvl w:ilvl="0">
      <w:lvlJc w:val="left"/>
      <w:lvlText w:val="(%1)"/>
      <w:numFmt w:val="upperLetter"/>
      <w:start w:val="3"/>
    </w:lvl>
  </w:abstractNum>
  <w:abstractNum w:abstractNumId="120">
    <w:nsid w:val="25973E32"/>
    <w:multiLevelType w:val="hybridMultilevel"/>
    <w:lvl w:ilvl="0">
      <w:lvlJc w:val="left"/>
      <w:lvlText w:val="(%1)"/>
      <w:numFmt w:val="upperLetter"/>
      <w:start w:val="4"/>
    </w:lvl>
  </w:abstractNum>
  <w:abstractNum w:abstractNumId="121">
    <w:nsid w:val="EAD6F57"/>
    <w:multiLevelType w:val="hybridMultilevel"/>
    <w:lvl w:ilvl="0">
      <w:lvlJc w:val="left"/>
      <w:lvlText w:val="8"/>
      <w:numFmt w:val="bullet"/>
      <w:start w:val="1"/>
    </w:lvl>
  </w:abstractNum>
  <w:abstractNum w:abstractNumId="122">
    <w:nsid w:val="6EC9D844"/>
    <w:multiLevelType w:val="hybridMultilevel"/>
    <w:lvl w:ilvl="0">
      <w:lvlJc w:val="left"/>
      <w:lvlText w:val="%1."/>
      <w:numFmt w:val="decimal"/>
      <w:start w:val="1"/>
    </w:lvl>
    <w:lvl w:ilvl="1">
      <w:lvlJc w:val="left"/>
      <w:lvlText w:val="(%2)"/>
      <w:numFmt w:val="lowerLetter"/>
      <w:start w:val="1"/>
    </w:lvl>
  </w:abstractNum>
  <w:abstractNum w:abstractNumId="123">
    <w:nsid w:val="5C49EAEE"/>
    <w:multiLevelType w:val="hybridMultilevel"/>
    <w:lvl w:ilvl="0">
      <w:lvlJc w:val="left"/>
      <w:lvlText w:val="(*)"/>
      <w:numFmt w:val="bullet"/>
      <w:start w:val="1"/>
    </w:lvl>
  </w:abstractNum>
  <w:abstractNum w:abstractNumId="124">
    <w:nsid w:val="64AF49B"/>
    <w:multiLevelType w:val="hybridMultilevel"/>
    <w:lvl w:ilvl="0">
      <w:lvlJc w:val="left"/>
      <w:lvlText w:val="%1"/>
      <w:numFmt w:val="decimal"/>
      <w:start w:val="1"/>
    </w:lvl>
    <w:lvl w:ilvl="1">
      <w:lvlJc w:val="left"/>
      <w:lvlText w:val="(%2)"/>
      <w:numFmt w:val="lowerLetter"/>
      <w:start w:val="2"/>
    </w:lvl>
  </w:abstractNum>
  <w:abstractNum w:abstractNumId="125">
    <w:nsid w:val="397C46BC"/>
    <w:multiLevelType w:val="hybridMultilevel"/>
    <w:lvl w:ilvl="0">
      <w:lvlJc w:val="left"/>
      <w:lvlText w:val="%1."/>
      <w:numFmt w:val="decimal"/>
      <w:start w:val="3"/>
    </w:lvl>
    <w:lvl w:ilvl="1">
      <w:lvlJc w:val="left"/>
      <w:lvlText w:val="(%2)"/>
      <w:numFmt w:val="lowerLetter"/>
      <w:start w:val="1"/>
    </w:lvl>
  </w:abstractNum>
  <w:abstractNum w:abstractNumId="126">
    <w:nsid w:val="7E448DE9"/>
    <w:multiLevelType w:val="hybridMultilevel"/>
    <w:lvl w:ilvl="0">
      <w:lvlJc w:val="left"/>
      <w:lvlText w:val="(%1)"/>
      <w:numFmt w:val="lowerLetter"/>
      <w:start w:val="1"/>
    </w:lvl>
    <w:lvl w:ilvl="1">
      <w:lvlJc w:val="left"/>
      <w:lvlText w:val="-"/>
      <w:numFmt w:val="bullet"/>
      <w:start w:val="1"/>
    </w:lvl>
  </w:abstractNum>
  <w:abstractNum w:abstractNumId="127">
    <w:nsid w:val="5A9CC3E5"/>
    <w:multiLevelType w:val="hybridMultilevel"/>
    <w:lvl w:ilvl="0">
      <w:lvlJc w:val="left"/>
      <w:lvlText w:val="(%1)"/>
      <w:numFmt w:val="lowerRoman"/>
      <w:start w:val="1"/>
    </w:lvl>
  </w:abstractNum>
  <w:abstractNum w:abstractNumId="128">
    <w:nsid w:val="1AFE3625"/>
    <w:multiLevelType w:val="hybridMultilevel"/>
    <w:lvl w:ilvl="0">
      <w:lvlJc w:val="left"/>
      <w:lvlText w:val="(%1)"/>
      <w:numFmt w:val="lowerRoman"/>
      <w:start w:val="3"/>
    </w:lvl>
  </w:abstractNum>
  <w:abstractNum w:abstractNumId="129">
    <w:nsid w:val="3CA88ECF"/>
    <w:multiLevelType w:val="hybridMultilevel"/>
    <w:lvl w:ilvl="0">
      <w:lvlJc w:val="left"/>
      <w:lvlText w:val="(%1)"/>
      <w:numFmt w:val="lowerLetter"/>
      <w:start w:val="3"/>
    </w:lvl>
  </w:abstractNum>
  <w:abstractNum w:abstractNumId="130">
    <w:nsid w:val="6EBE4208"/>
    <w:multiLevelType w:val="hybridMultilevel"/>
    <w:lvl w:ilvl="0">
      <w:lvlJc w:val="left"/>
      <w:lvlText w:val="-"/>
      <w:numFmt w:val="bullet"/>
      <w:start w:val="1"/>
    </w:lvl>
  </w:abstractNum>
  <w:abstractNum w:abstractNumId="131">
    <w:nsid w:val="C058DF5"/>
    <w:multiLevelType w:val="hybridMultilevel"/>
    <w:lvl w:ilvl="0">
      <w:lvlJc w:val="left"/>
      <w:lvlText w:val="(%1)"/>
      <w:numFmt w:val="lowerLetter"/>
      <w:start w:val="4"/>
    </w:lvl>
  </w:abstractNum>
  <w:abstractNum w:abstractNumId="132">
    <w:nsid w:val="CBE5BE9"/>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33">
    <w:nsid w:val="3102BBE2"/>
    <w:multiLevelType w:val="hybridMultilevel"/>
    <w:lvl w:ilvl="0">
      <w:lvlJc w:val="left"/>
      <w:lvlText w:val="(%1)"/>
      <w:numFmt w:val="lowerRoman"/>
      <w:start w:val="2"/>
    </w:lvl>
  </w:abstractNum>
  <w:abstractNum w:abstractNumId="134">
    <w:nsid w:val="26A02C5E"/>
    <w:multiLevelType w:val="hybridMultilevel"/>
    <w:lvl w:ilvl="0">
      <w:lvlJc w:val="left"/>
      <w:lvlText w:val="(%1)"/>
      <w:numFmt w:val="lowerRoman"/>
      <w:start w:val="4"/>
    </w:lvl>
  </w:abstractNum>
  <w:abstractNum w:abstractNumId="135">
    <w:nsid w:val="541C8153"/>
    <w:multiLevelType w:val="hybridMultilevel"/>
    <w:lvl w:ilvl="0">
      <w:lvlJc w:val="left"/>
      <w:lvlText w:val="(%1)"/>
      <w:numFmt w:val="lowerLetter"/>
      <w:start w:val="7"/>
    </w:lvl>
  </w:abstractNum>
  <w:abstractNum w:abstractNumId="136">
    <w:nsid w:val="67906F60"/>
    <w:multiLevelType w:val="hybridMultilevel"/>
    <w:lvl w:ilvl="0">
      <w:lvlJc w:val="left"/>
      <w:lvlText w:val="(%1)"/>
      <w:numFmt w:val="lowerLetter"/>
      <w:start w:val="8"/>
    </w:lvl>
  </w:abstractNum>
  <w:abstractNum w:abstractNumId="137">
    <w:nsid w:val="10DB9DAA"/>
    <w:multiLevelType w:val="hybridMultilevel"/>
    <w:lvl w:ilvl="0">
      <w:lvlJc w:val="left"/>
      <w:lvlText w:val="(%1)"/>
      <w:numFmt w:val="lowerRoman"/>
      <w:start w:val="1"/>
    </w:lvl>
    <w:lvl w:ilvl="1">
      <w:lvlJc w:val="left"/>
      <w:lvlText w:val="(%2)"/>
      <w:numFmt w:val="lowerRoman"/>
      <w:start w:val="1"/>
    </w:lvl>
  </w:abstractNum>
  <w:abstractNum w:abstractNumId="138">
    <w:nsid w:val="697D2D2"/>
    <w:multiLevelType w:val="hybridMultilevel"/>
    <w:lvl w:ilvl="0">
      <w:lvlJc w:val="left"/>
      <w:lvlText w:val="(%1)"/>
      <w:numFmt w:val="lowerRoman"/>
      <w:start w:val="2"/>
    </w:lvl>
  </w:abstractNum>
  <w:abstractNum w:abstractNumId="139">
    <w:nsid w:val="6D68AB2"/>
    <w:multiLevelType w:val="hybridMultilevel"/>
    <w:lvl w:ilvl="0">
      <w:lvlJc w:val="left"/>
      <w:lvlText w:val="(%1)"/>
      <w:numFmt w:val="lowerLetter"/>
      <w:start w:val="10"/>
    </w:lvl>
  </w:abstractNum>
  <w:abstractNum w:abstractNumId="140">
    <w:nsid w:val="3A966CD0"/>
    <w:multiLevelType w:val="hybridMultilevel"/>
    <w:lvl w:ilvl="0">
      <w:lvlJc w:val="left"/>
      <w:lvlText w:val="(%1)"/>
      <w:numFmt w:val="lowerLetter"/>
      <w:start w:val="12"/>
    </w:lvl>
  </w:abstractNum>
  <w:abstractNum w:abstractNumId="141">
    <w:nsid w:val="63F37E85"/>
    <w:multiLevelType w:val="hybridMultilevel"/>
    <w:lvl w:ilvl="0">
      <w:lvlJc w:val="left"/>
      <w:lvlText w:val="(%1)"/>
      <w:numFmt w:val="lowerLetter"/>
      <w:start w:val="13"/>
    </w:lvl>
  </w:abstractNum>
  <w:abstractNum w:abstractNumId="142">
    <w:nsid w:val="5895F5FA"/>
    <w:multiLevelType w:val="hybridMultilevel"/>
    <w:lvl w:ilvl="0">
      <w:lvlJc w:val="left"/>
      <w:lvlText w:val="(%1)"/>
      <w:numFmt w:val="lowerLetter"/>
      <w:start w:val="16"/>
    </w:lvl>
  </w:abstractNum>
  <w:abstractNum w:abstractNumId="143">
    <w:nsid w:val="38A5D054"/>
    <w:multiLevelType w:val="hybridMultilevel"/>
    <w:lvl w:ilvl="0">
      <w:lvlJc w:val="left"/>
      <w:lvlText w:val="(%1)"/>
      <w:numFmt w:val="lowerLetter"/>
      <w:start w:val="22"/>
    </w:lvl>
  </w:abstractNum>
  <w:abstractNum w:abstractNumId="144">
    <w:nsid w:val="F3F09D8"/>
    <w:multiLevelType w:val="hybridMultilevel"/>
    <w:lvl w:ilvl="0">
      <w:lvlJc w:val="left"/>
      <w:lvlText w:val="(%1)"/>
      <w:numFmt w:val="lowerRoman"/>
      <w:start w:val="10"/>
    </w:lvl>
  </w:abstractNum>
  <w:abstractNum w:abstractNumId="145">
    <w:nsid w:val="4B793735"/>
    <w:multiLevelType w:val="hybridMultilevel"/>
    <w:lvl w:ilvl="0">
      <w:lvlJc w:val="left"/>
      <w:lvlText w:val="(%1)"/>
      <w:numFmt w:val="lowerLetter"/>
      <w:start w:val="25"/>
    </w:lvl>
  </w:abstractNum>
  <w:abstractNum w:abstractNumId="146">
    <w:nsid w:val="4A10B4E8"/>
    <w:multiLevelType w:val="hybridMultilevel"/>
    <w:lvl w:ilvl="0">
      <w:lvlJc w:val="left"/>
      <w:lvlText w:val="(%1)"/>
      <w:numFmt w:val="lowerLetter"/>
      <w:start w:val="27"/>
    </w:lvl>
  </w:abstractNum>
  <w:abstractNum w:abstractNumId="147">
    <w:nsid w:val="43D3BCD4"/>
    <w:multiLevelType w:val="hybridMultilevel"/>
    <w:lvl w:ilvl="0">
      <w:lvlJc w:val="left"/>
      <w:lvlText w:val="-"/>
      <w:numFmt w:val="bullet"/>
      <w:start w:val="1"/>
    </w:lvl>
  </w:abstractNum>
  <w:abstractNum w:abstractNumId="148">
    <w:nsid w:val="4C2A7166"/>
    <w:multiLevelType w:val="hybridMultilevel"/>
    <w:lvl w:ilvl="0">
      <w:lvlJc w:val="left"/>
      <w:lvlText w:val="%1"/>
      <w:numFmt w:val="decimal"/>
      <w:start w:val="1"/>
    </w:lvl>
    <w:lvl w:ilvl="1">
      <w:lvlJc w:val="left"/>
      <w:lvlText w:val="(%2)"/>
      <w:numFmt w:val="lowerLetter"/>
      <w:start w:val="2"/>
    </w:lvl>
  </w:abstractNum>
  <w:abstractNum w:abstractNumId="149">
    <w:nsid w:val="2E534A82"/>
    <w:multiLevelType w:val="hybridMultilevel"/>
    <w:lvl w:ilvl="0">
      <w:lvlJc w:val="left"/>
      <w:lvlText w:val="%1."/>
      <w:numFmt w:val="decimal"/>
      <w:start w:val="5"/>
    </w:lvl>
    <w:lvl w:ilvl="1">
      <w:lvlJc w:val="left"/>
      <w:lvlText w:val="(%2)"/>
      <w:numFmt w:val="lowerLetter"/>
      <w:start w:val="1"/>
    </w:lvl>
  </w:abstractNum>
  <w:abstractNum w:abstractNumId="150">
    <w:nsid w:val="26F2D364"/>
    <w:multiLevelType w:val="hybridMultilevel"/>
    <w:lvl w:ilvl="0">
      <w:lvlJc w:val="left"/>
      <w:lvlText w:val="(%1)"/>
      <w:numFmt w:val="lowerLetter"/>
      <w:start w:val="2"/>
    </w:lvl>
  </w:abstractNum>
  <w:abstractNum w:abstractNumId="151">
    <w:nsid w:val="71C1AF98"/>
    <w:multiLevelType w:val="hybridMultilevel"/>
    <w:lvl w:ilvl="0">
      <w:lvlJc w:val="left"/>
      <w:lvlText w:val="%1."/>
      <w:numFmt w:val="decimal"/>
      <w:start w:val="6"/>
    </w:lvl>
    <w:lvl w:ilvl="1">
      <w:lvlJc w:val="left"/>
      <w:lvlText w:val="(%2)"/>
      <w:numFmt w:val="lowerLetter"/>
      <w:start w:val="1"/>
    </w:lvl>
  </w:abstractNum>
  <w:abstractNum w:abstractNumId="152">
    <w:nsid w:val="3D00B9D9"/>
    <w:multiLevelType w:val="hybridMultilevel"/>
    <w:lvl w:ilvl="0">
      <w:lvlJc w:val="left"/>
      <w:lvlText w:val="(%1)"/>
      <w:numFmt w:val="lowerLetter"/>
      <w:start w:val="2"/>
    </w:lvl>
  </w:abstractNum>
  <w:abstractNum w:abstractNumId="153">
    <w:nsid w:val="15BCABA8"/>
    <w:multiLevelType w:val="hybridMultilevel"/>
    <w:lvl w:ilvl="0">
      <w:lvlJc w:val="left"/>
      <w:lvlText w:val="(%1)"/>
      <w:numFmt w:val="lowerLetter"/>
      <w:start w:val="3"/>
    </w:lvl>
  </w:abstractNum>
  <w:abstractNum w:abstractNumId="154">
    <w:nsid w:val="4E0B9A87"/>
    <w:multiLevelType w:val="hybridMultilevel"/>
    <w:lvl w:ilvl="0">
      <w:lvlJc w:val="left"/>
      <w:lvlText w:val="(%1)"/>
      <w:numFmt w:val="lowerLetter"/>
      <w:start w:val="4"/>
    </w:lvl>
  </w:abstractNum>
  <w:abstractNum w:abstractNumId="155">
    <w:nsid w:val="434BAE75"/>
    <w:multiLevelType w:val="hybridMultilevel"/>
    <w:lvl w:ilvl="0">
      <w:lvlJc w:val="left"/>
      <w:lvlText w:val="(%1)"/>
      <w:numFmt w:val="lowerLetter"/>
      <w:start w:val="7"/>
    </w:lvl>
  </w:abstractNum>
  <w:abstractNum w:abstractNumId="156">
    <w:nsid w:val="4F38F265"/>
    <w:multiLevelType w:val="hybridMultilevel"/>
    <w:lvl w:ilvl="0">
      <w:lvlJc w:val="left"/>
      <w:lvlText w:val="(%1)"/>
      <w:numFmt w:val="lowerLetter"/>
      <w:start w:val="11"/>
    </w:lvl>
  </w:abstractNum>
  <w:abstractNum w:abstractNumId="157">
    <w:nsid w:val="4C502870"/>
    <w:multiLevelType w:val="hybridMultilevel"/>
    <w:lvl w:ilvl="0">
      <w:lvlJc w:val="left"/>
      <w:lvlText w:val="(%1)"/>
      <w:numFmt w:val="lowerLetter"/>
      <w:start w:val="2"/>
    </w:lvl>
  </w:abstractNum>
  <w:abstractNum w:abstractNumId="158">
    <w:nsid w:val="1DE8725A"/>
    <w:multiLevelType w:val="hybridMultilevel"/>
    <w:lvl w:ilvl="0">
      <w:lvlJc w:val="left"/>
      <w:lvlText w:val="(%1)"/>
      <w:numFmt w:val="lowerLetter"/>
      <w:start w:val="3"/>
    </w:lvl>
  </w:abstractNum>
  <w:abstractNum w:abstractNumId="159">
    <w:nsid w:val="6A37288A"/>
    <w:multiLevelType w:val="hybridMultilevel"/>
    <w:lvl w:ilvl="0">
      <w:lvlJc w:val="left"/>
      <w:lvlText w:val="(*)"/>
      <w:numFmt w:val="bullet"/>
      <w:start w:val="1"/>
    </w:lvl>
  </w:abstractNum>
  <w:abstractNum w:abstractNumId="160">
    <w:nsid w:val="8F8B73F"/>
    <w:multiLevelType w:val="hybridMultilevel"/>
    <w:lvl w:ilvl="0">
      <w:lvlJc w:val="left"/>
      <w:lvlText w:val="(%1)"/>
      <w:numFmt w:val="lowerLetter"/>
      <w:start w:val="5"/>
    </w:lvl>
  </w:abstractNum>
  <w:abstractNum w:abstractNumId="161">
    <w:nsid w:val="CA6B462"/>
    <w:multiLevelType w:val="hybridMultilevel"/>
    <w:lvl w:ilvl="0">
      <w:lvlJc w:val="left"/>
      <w:lvlText w:val="(%1)"/>
      <w:numFmt w:val="lowerLetter"/>
      <w:start w:val="7"/>
    </w:lvl>
  </w:abstractNum>
  <w:abstractNum w:abstractNumId="162">
    <w:nsid w:val="763CB680"/>
    <w:multiLevelType w:val="hybridMultilevel"/>
    <w:lvl w:ilvl="0">
      <w:lvlJc w:val="left"/>
      <w:lvlText w:val="%1."/>
      <w:numFmt w:val="decimal"/>
      <w:start w:val="8"/>
    </w:lvl>
    <w:lvl w:ilvl="1">
      <w:lvlJc w:val="left"/>
      <w:lvlText w:val="(%2)"/>
      <w:numFmt w:val="lowerLetter"/>
      <w:start w:val="1"/>
    </w:lvl>
  </w:abstractNum>
  <w:abstractNum w:abstractNumId="163">
    <w:nsid w:val="15B71329"/>
    <w:multiLevelType w:val="hybridMultilevel"/>
    <w:lvl w:ilvl="0">
      <w:lvlJc w:val="left"/>
      <w:lvlText w:val="(%1)"/>
      <w:numFmt w:val="lowerLetter"/>
      <w:start w:val="2"/>
    </w:lvl>
  </w:abstractNum>
  <w:abstractNum w:abstractNumId="164">
    <w:nsid w:val="3DA97044"/>
    <w:multiLevelType w:val="hybridMultilevel"/>
    <w:lvl w:ilvl="0">
      <w:lvlJc w:val="left"/>
      <w:lvlText w:val="(%1)"/>
      <w:numFmt w:val="lowerLetter"/>
      <w:start w:val="3"/>
    </w:lvl>
  </w:abstractNum>
  <w:abstractNum w:abstractNumId="165">
    <w:nsid w:val="1CDCE2DE"/>
    <w:multiLevelType w:val="hybridMultilevel"/>
    <w:lvl w:ilvl="0">
      <w:lvlJc w:val="left"/>
      <w:lvlText w:val="%1."/>
      <w:numFmt w:val="decimal"/>
      <w:start w:val="9"/>
    </w:lvl>
    <w:lvl w:ilvl="1">
      <w:lvlJc w:val="left"/>
      <w:lvlText w:val="(%2)"/>
      <w:numFmt w:val="lowerLetter"/>
      <w:start w:val="1"/>
    </w:lvl>
  </w:abstractNum>
  <w:abstractNum w:abstractNumId="166">
    <w:nsid w:val="69D3947C"/>
    <w:multiLevelType w:val="hybridMultilevel"/>
    <w:lvl w:ilvl="0">
      <w:lvlJc w:val="left"/>
      <w:lvlText w:val="(%1)"/>
      <w:numFmt w:val="lowerLetter"/>
      <w:start w:val="2"/>
    </w:lvl>
  </w:abstractNum>
  <w:abstractNum w:abstractNumId="167">
    <w:nsid w:val="2539DFA5"/>
    <w:multiLevelType w:val="hybridMultilevel"/>
    <w:lvl w:ilvl="0">
      <w:lvlJc w:val="left"/>
      <w:lvlText w:val="(%1)"/>
      <w:numFmt w:val="lowerLetter"/>
      <w:start w:val="2"/>
    </w:lvl>
  </w:abstractNum>
  <w:abstractNum w:abstractNumId="168">
    <w:nsid w:val="2DB88089"/>
    <w:multiLevelType w:val="hybridMultilevel"/>
    <w:lvl w:ilvl="0">
      <w:lvlJc w:val="left"/>
      <w:lvlText w:val="%1."/>
      <w:numFmt w:val="decimal"/>
      <w:start w:val="10"/>
    </w:lvl>
    <w:lvl w:ilvl="1">
      <w:lvlJc w:val="left"/>
      <w:lvlText w:val="(%2)"/>
      <w:numFmt w:val="lowerLetter"/>
      <w:start w:val="1"/>
    </w:lvl>
  </w:abstractNum>
  <w:abstractNum w:abstractNumId="169">
    <w:nsid w:val="706B674E"/>
    <w:multiLevelType w:val="hybridMultilevel"/>
    <w:lvl w:ilvl="0">
      <w:lvlJc w:val="left"/>
      <w:lvlText w:val="(%1)"/>
      <w:numFmt w:val="lowerLetter"/>
      <w:start w:val="2"/>
    </w:lvl>
  </w:abstractNum>
  <w:abstractNum w:abstractNumId="170">
    <w:nsid w:val="2C106A57"/>
    <w:multiLevelType w:val="hybridMultilevel"/>
    <w:lvl w:ilvl="0">
      <w:lvlJc w:val="left"/>
      <w:lvlText w:val="%1"/>
      <w:numFmt w:val="decimal"/>
      <w:start w:val="1"/>
    </w:lvl>
    <w:lvl w:ilvl="1">
      <w:lvlJc w:val="left"/>
      <w:lvlText w:val="(%2)"/>
      <w:numFmt w:val="lowerLetter"/>
      <w:start w:val="3"/>
    </w:lvl>
  </w:abstractNum>
  <w:abstractNum w:abstractNumId="171">
    <w:nsid w:val="684EED59"/>
    <w:multiLevelType w:val="hybridMultilevel"/>
    <w:lvl w:ilvl="0">
      <w:lvlJc w:val="left"/>
      <w:lvlText w:val="%1."/>
      <w:numFmt w:val="decimal"/>
      <w:start w:val="11"/>
    </w:lvl>
    <w:lvl w:ilvl="1">
      <w:lvlJc w:val="left"/>
      <w:lvlText w:val="(%2)"/>
      <w:numFmt w:val="lowerLetter"/>
      <w:start w:val="1"/>
    </w:lvl>
  </w:abstractNum>
  <w:abstractNum w:abstractNumId="172">
    <w:nsid w:val="545EE5D3"/>
    <w:multiLevelType w:val="hybridMultilevel"/>
    <w:lvl w:ilvl="0">
      <w:lvlJc w:val="left"/>
      <w:lvlText w:val="(%1)"/>
      <w:numFmt w:val="lowerLetter"/>
      <w:start w:val="2"/>
    </w:lvl>
  </w:abstractNum>
  <w:abstractNum w:abstractNumId="173">
    <w:nsid w:val="4A66051"/>
    <w:multiLevelType w:val="hybridMultilevel"/>
    <w:lvl w:ilvl="0">
      <w:lvlJc w:val="left"/>
      <w:lvlText w:val="%1."/>
      <w:numFmt w:val="decimal"/>
      <w:start w:val="12"/>
    </w:lvl>
    <w:lvl w:ilvl="1">
      <w:lvlJc w:val="left"/>
      <w:lvlText w:val="(%2)"/>
      <w:numFmt w:val="lowerLetter"/>
      <w:start w:val="1"/>
    </w:lvl>
  </w:abstractNum>
  <w:abstractNum w:abstractNumId="174">
    <w:nsid w:val="20F4BDAD"/>
    <w:multiLevelType w:val="hybridMultilevel"/>
    <w:lvl w:ilvl="0">
      <w:lvlJc w:val="left"/>
      <w:lvlText w:val="(%1)"/>
      <w:numFmt w:val="lowerRoman"/>
      <w:start w:val="1"/>
    </w:lvl>
  </w:abstractNum>
  <w:abstractNum w:abstractNumId="175">
    <w:nsid w:val="639DEFAC"/>
    <w:multiLevelType w:val="hybridMultilevel"/>
    <w:lvl w:ilvl="0">
      <w:lvlJc w:val="left"/>
      <w:lvlText w:val="(%1)"/>
      <w:numFmt w:val="lowerLetter"/>
      <w:start w:val="2"/>
    </w:lvl>
  </w:abstractNum>
  <w:abstractNum w:abstractNumId="176">
    <w:nsid w:val="501F9786"/>
    <w:multiLevelType w:val="hybridMultilevel"/>
    <w:lvl w:ilvl="0">
      <w:lvlJc w:val="left"/>
      <w:lvlText w:val="(%1)"/>
      <w:numFmt w:val="lowerLetter"/>
      <w:start w:val="2"/>
    </w:lvl>
  </w:abstractNum>
  <w:abstractNum w:abstractNumId="177">
    <w:nsid w:val="6B057295"/>
    <w:multiLevelType w:val="hybridMultilevel"/>
    <w:lvl w:ilvl="0">
      <w:lvlJc w:val="left"/>
      <w:lvlText w:val="(%1)"/>
      <w:numFmt w:val="lowerRoman"/>
      <w:start w:val="1"/>
    </w:lvl>
  </w:abstractNum>
  <w:abstractNum w:abstractNumId="178">
    <w:nsid w:val="2771AC80"/>
    <w:multiLevelType w:val="hybridMultilevel"/>
    <w:lvl w:ilvl="0">
      <w:lvlJc w:val="left"/>
      <w:lvlText w:val="(%1)"/>
      <w:numFmt w:val="lowerRoman"/>
      <w:start w:val="2"/>
    </w:lvl>
  </w:abstractNum>
  <w:abstractNum w:abstractNumId="179">
    <w:nsid w:val="1C4A08EC"/>
    <w:multiLevelType w:val="hybridMultilevel"/>
    <w:lvl w:ilvl="0">
      <w:lvlJc w:val="left"/>
      <w:lvlText w:val="(%1)"/>
      <w:numFmt w:val="lowerLetter"/>
      <w:start w:val="3"/>
    </w:lvl>
  </w:abstractNum>
  <w:abstractNum w:abstractNumId="180">
    <w:nsid w:val="1958BD17"/>
    <w:multiLevelType w:val="hybridMultilevel"/>
    <w:lvl w:ilvl="0">
      <w:lvlJc w:val="left"/>
      <w:lvlText w:val="%1."/>
      <w:numFmt w:val="decimal"/>
      <w:start w:val="14"/>
    </w:lvl>
    <w:lvl w:ilvl="1">
      <w:lvlJc w:val="left"/>
      <w:lvlText w:val="(%2)"/>
      <w:numFmt w:val="lowerLetter"/>
      <w:start w:val="1"/>
    </w:lvl>
  </w:abstractNum>
  <w:abstractNum w:abstractNumId="181">
    <w:nsid w:val="4E647FE4"/>
    <w:multiLevelType w:val="hybridMultilevel"/>
    <w:lvl w:ilvl="0">
      <w:lvlJc w:val="left"/>
      <w:lvlText w:val="(%1)"/>
      <w:numFmt w:val="lowerLetter"/>
      <w:start w:val="2"/>
    </w:lvl>
  </w:abstractNum>
  <w:abstractNum w:abstractNumId="182">
    <w:nsid w:val="E0BB885"/>
    <w:multiLevelType w:val="hybridMultilevel"/>
    <w:lvl w:ilvl="0">
      <w:lvlJc w:val="left"/>
      <w:lvlText w:val="(%1)"/>
      <w:numFmt w:val="lowerLetter"/>
      <w:start w:val="3"/>
    </w:lvl>
  </w:abstractNum>
  <w:abstractNum w:abstractNumId="183">
    <w:nsid w:val="565976F1"/>
    <w:multiLevelType w:val="hybridMultilevel"/>
    <w:lvl w:ilvl="0">
      <w:lvlJc w:val="left"/>
      <w:lvlText w:val="%1."/>
      <w:numFmt w:val="decimal"/>
      <w:start w:val="15"/>
    </w:lvl>
    <w:lvl w:ilvl="1">
      <w:lvlJc w:val="left"/>
      <w:lvlText w:val="(%2)"/>
      <w:numFmt w:val="lowerLetter"/>
      <w:start w:val="1"/>
    </w:lvl>
  </w:abstractNum>
  <w:abstractNum w:abstractNumId="184">
    <w:nsid w:val="64212B8C"/>
    <w:multiLevelType w:val="hybridMultilevel"/>
    <w:lvl w:ilvl="0">
      <w:lvlJc w:val="left"/>
      <w:lvlText w:val="(%1)"/>
      <w:numFmt w:val="lowerRoman"/>
      <w:start w:val="1"/>
    </w:lvl>
  </w:abstractNum>
  <w:abstractNum w:abstractNumId="185">
    <w:nsid w:val="5C17530C"/>
    <w:multiLevelType w:val="hybridMultilevel"/>
    <w:lvl w:ilvl="0">
      <w:lvlJc w:val="left"/>
      <w:lvlText w:val="(*)"/>
      <w:numFmt w:val="bullet"/>
      <w:start w:val="1"/>
    </w:lvl>
  </w:abstractNum>
  <w:abstractNum w:abstractNumId="186">
    <w:nsid w:val="19A52566"/>
    <w:multiLevelType w:val="hybridMultilevel"/>
    <w:lvl w:ilvl="0">
      <w:lvlJc w:val="left"/>
      <w:lvlText w:val="%1"/>
      <w:numFmt w:val="lowerLetter"/>
      <w:start w:val="1"/>
    </w:lvl>
    <w:lvl w:ilvl="1">
      <w:lvlJc w:val="left"/>
      <w:lvlText w:val="(%2)"/>
      <w:numFmt w:val="lowerLetter"/>
      <w:start w:val="35"/>
    </w:lvl>
  </w:abstractNum>
  <w:abstractNum w:abstractNumId="187">
    <w:nsid w:val="335A1DF1"/>
    <w:multiLevelType w:val="hybridMultilevel"/>
    <w:lvl w:ilvl="0">
      <w:lvlJc w:val="left"/>
      <w:lvlText w:val="(%1)"/>
      <w:numFmt w:val="lowerLetter"/>
      <w:start w:val="2"/>
    </w:lvl>
    <w:lvl w:ilvl="1">
      <w:lvlJc w:val="left"/>
      <w:lvlText w:val="%2"/>
      <w:numFmt w:val="lowerLetter"/>
      <w:start w:val="1"/>
    </w:lvl>
  </w:abstractNum>
  <w:abstractNum w:abstractNumId="188">
    <w:nsid w:val="28677B7C"/>
    <w:multiLevelType w:val="hybridMultilevel"/>
    <w:lvl w:ilvl="0">
      <w:lvlJc w:val="left"/>
      <w:lvlText w:val="(%1)"/>
      <w:numFmt w:val="lowerRoman"/>
      <w:start w:val="1"/>
    </w:lvl>
  </w:abstractNum>
  <w:abstractNum w:abstractNumId="189">
    <w:nsid w:val="378D97C0"/>
    <w:multiLevelType w:val="hybridMultilevel"/>
    <w:lvl w:ilvl="0">
      <w:lvlJc w:val="left"/>
      <w:lvlText w:val="(%1)"/>
      <w:numFmt w:val="lowerRoman"/>
      <w:start w:val="3"/>
    </w:lvl>
  </w:abstractNum>
  <w:abstractNum w:abstractNumId="190">
    <w:nsid w:val="1D91467C"/>
    <w:multiLevelType w:val="hybridMultilevel"/>
    <w:lvl w:ilvl="0">
      <w:lvlJc w:val="left"/>
      <w:lvlText w:val="(%1)"/>
      <w:numFmt w:val="lowerLetter"/>
      <w:start w:val="3"/>
    </w:lvl>
  </w:abstractNum>
  <w:abstractNum w:abstractNumId="191">
    <w:nsid w:val="316032BB"/>
    <w:multiLevelType w:val="hybridMultilevel"/>
    <w:lvl w:ilvl="0">
      <w:lvlJc w:val="left"/>
      <w:lvlText w:val="(%1)"/>
      <w:numFmt w:val="lowerLetter"/>
      <w:start w:val="4"/>
    </w:lvl>
  </w:abstractNum>
  <w:abstractNum w:abstractNumId="192">
    <w:nsid w:val="44344C22"/>
    <w:multiLevelType w:val="hybridMultilevel"/>
    <w:lvl w:ilvl="0">
      <w:lvlJc w:val="left"/>
      <w:lvlText w:val="%1."/>
      <w:numFmt w:val="decimal"/>
      <w:start w:val="16"/>
    </w:lvl>
    <w:lvl w:ilvl="1">
      <w:lvlJc w:val="left"/>
      <w:lvlText w:val="(%2)"/>
      <w:numFmt w:val="lowerLetter"/>
      <w:start w:val="1"/>
    </w:lvl>
  </w:abstractNum>
  <w:abstractNum w:abstractNumId="193">
    <w:nsid w:val="13CDFCFC"/>
    <w:multiLevelType w:val="hybridMultilevel"/>
    <w:lvl w:ilvl="0">
      <w:lvlJc w:val="left"/>
      <w:lvlText w:val="(%1)"/>
      <w:numFmt w:val="lowerLetter"/>
      <w:start w:val="2"/>
    </w:lvl>
  </w:abstractNum>
  <w:abstractNum w:abstractNumId="194">
    <w:nsid w:val="471745E4"/>
    <w:multiLevelType w:val="hybridMultilevel"/>
    <w:lvl w:ilvl="0">
      <w:lvlJc w:val="left"/>
      <w:lvlText w:val="(%1)"/>
      <w:numFmt w:val="lowerRoman"/>
      <w:start w:val="1"/>
    </w:lvl>
  </w:abstractNum>
  <w:abstractNum w:abstractNumId="195">
    <w:nsid w:val="1DDBC66"/>
    <w:multiLevelType w:val="hybridMultilevel"/>
    <w:lvl w:ilvl="0">
      <w:lvlJc w:val="left"/>
      <w:lvlText w:val="(%1)"/>
      <w:numFmt w:val="lowerRoman"/>
      <w:start w:val="1"/>
    </w:lvl>
    <w:lvl w:ilvl="1">
      <w:lvlJc w:val="left"/>
      <w:lvlText w:val="(*)"/>
      <w:numFmt w:val="bullet"/>
      <w:start w:val="1"/>
    </w:lvl>
  </w:abstractNum>
  <w:abstractNum w:abstractNumId="196">
    <w:nsid w:val="30AADFDA"/>
    <w:multiLevelType w:val="hybridMultilevel"/>
    <w:lvl w:ilvl="0">
      <w:lvlJc w:val="left"/>
      <w:lvlText w:val="%1."/>
      <w:numFmt w:val="decimal"/>
      <w:start w:val="18"/>
    </w:lvl>
    <w:lvl w:ilvl="1">
      <w:lvlJc w:val="left"/>
      <w:lvlText w:val="(%2)"/>
      <w:numFmt w:val="lowerLetter"/>
      <w:start w:val="1"/>
    </w:lvl>
  </w:abstractNum>
  <w:abstractNum w:abstractNumId="197">
    <w:nsid w:val="30EADA61"/>
    <w:multiLevelType w:val="hybridMultilevel"/>
    <w:lvl w:ilvl="0">
      <w:lvlJc w:val="left"/>
      <w:lvlText w:val="%1"/>
      <w:numFmt w:val="decimal"/>
      <w:start w:val="1"/>
    </w:lvl>
    <w:lvl w:ilvl="1">
      <w:lvlJc w:val="left"/>
      <w:lvlText w:val="(%2)"/>
      <w:numFmt w:val="lowerLetter"/>
      <w:start w:val="4"/>
    </w:lvl>
  </w:abstractNum>
  <w:abstractNum w:abstractNumId="198">
    <w:nsid w:val="27179C0B"/>
    <w:multiLevelType w:val="hybridMultilevel"/>
    <w:lvl w:ilvl="0">
      <w:lvlJc w:val="left"/>
      <w:lvlText w:val="%1."/>
      <w:numFmt w:val="decimal"/>
      <w:start w:val="19"/>
    </w:lvl>
    <w:lvl w:ilvl="1">
      <w:lvlJc w:val="left"/>
      <w:lvlText w:val="(%2)"/>
      <w:numFmt w:val="lowerLetter"/>
      <w:start w:val="1"/>
    </w:lvl>
  </w:abstractNum>
  <w:abstractNum w:abstractNumId="199">
    <w:nsid w:val="5E636063"/>
    <w:multiLevelType w:val="hybridMultilevel"/>
    <w:lvl w:ilvl="0">
      <w:lvlJc w:val="left"/>
      <w:lvlText w:val="(%1)"/>
      <w:numFmt w:val="lowerRoman"/>
      <w:start w:val="1"/>
    </w:lvl>
  </w:abstractNum>
  <w:abstractNum w:abstractNumId="200">
    <w:nsid w:val="215641AF"/>
    <w:multiLevelType w:val="hybridMultilevel"/>
    <w:lvl w:ilvl="0">
      <w:lvlJc w:val="left"/>
      <w:lvlText w:val="(%1)"/>
      <w:numFmt w:val="lowerLetter"/>
      <w:start w:val="2"/>
    </w:lvl>
  </w:abstractNum>
  <w:abstractNum w:abstractNumId="201">
    <w:nsid w:val="53280662"/>
    <w:multiLevelType w:val="hybridMultilevel"/>
    <w:lvl w:ilvl="0">
      <w:lvlJc w:val="left"/>
      <w:lvlText w:val="(%1)"/>
      <w:numFmt w:val="lowerLetter"/>
      <w:start w:val="3"/>
    </w:lvl>
  </w:abstractNum>
  <w:abstractNum w:abstractNumId="202">
    <w:nsid w:val="46B24DBC"/>
    <w:multiLevelType w:val="hybridMultilevel"/>
    <w:lvl w:ilvl="0">
      <w:lvlJc w:val="left"/>
      <w:lvlText w:val="%1"/>
      <w:numFmt w:val="decimal"/>
      <w:start w:val="1"/>
    </w:lvl>
    <w:lvl w:ilvl="1">
      <w:lvlJc w:val="left"/>
      <w:lvlText w:val="(%2)"/>
      <w:numFmt w:val="lowerLetter"/>
      <w:start w:val="4"/>
    </w:lvl>
  </w:abstractNum>
  <w:abstractNum w:abstractNumId="203">
    <w:nsid w:val="75B52783"/>
    <w:multiLevelType w:val="hybridMultilevel"/>
    <w:lvl w:ilvl="0">
      <w:lvlJc w:val="left"/>
      <w:lvlText w:val="%1."/>
      <w:numFmt w:val="decimal"/>
      <w:start w:val="20"/>
    </w:lvl>
    <w:lvl w:ilvl="1">
      <w:lvlJc w:val="left"/>
      <w:lvlText w:val="%2"/>
      <w:numFmt w:val="lowerLetter"/>
      <w:start w:val="1"/>
    </w:lvl>
  </w:abstractNum>
  <w:abstractNum w:abstractNumId="204">
    <w:nsid w:val="57CE66B4"/>
    <w:multiLevelType w:val="hybridMultilevel"/>
    <w:lvl w:ilvl="0">
      <w:lvlJc w:val="left"/>
      <w:lvlText w:val="(%1)"/>
      <w:numFmt w:val="lowerLetter"/>
      <w:start w:val="2"/>
    </w:lvl>
  </w:abstractNum>
  <w:abstractNum w:abstractNumId="205">
    <w:nsid w:val="67A70B69"/>
    <w:multiLevelType w:val="hybridMultilevel"/>
    <w:lvl w:ilvl="0">
      <w:lvlJc w:val="left"/>
      <w:lvlText w:val="(%1)"/>
      <w:numFmt w:val="lowerLetter"/>
      <w:start w:val="4"/>
    </w:lvl>
  </w:abstractNum>
  <w:abstractNum w:abstractNumId="206">
    <w:nsid w:val="5953172F"/>
    <w:multiLevelType w:val="hybridMultilevel"/>
    <w:lvl w:ilvl="0">
      <w:lvlJc w:val="left"/>
      <w:lvlText w:val="(%1)"/>
      <w:numFmt w:val="lowerLetter"/>
      <w:start w:val="5"/>
    </w:lvl>
  </w:abstractNum>
  <w:abstractNum w:abstractNumId="207">
    <w:nsid w:val="27EDFE3A"/>
    <w:multiLevelType w:val="hybridMultilevel"/>
    <w:lvl w:ilvl="0">
      <w:lvlJc w:val="left"/>
      <w:lvlText w:val="%1."/>
      <w:numFmt w:val="decimal"/>
      <w:start w:val="22"/>
    </w:lvl>
  </w:abstractNum>
  <w:abstractNum w:abstractNumId="208">
    <w:nsid w:val="52AC7DFF"/>
    <w:multiLevelType w:val="hybridMultilevel"/>
    <w:lvl w:ilvl="0">
      <w:lvlJc w:val="left"/>
      <w:lvlText w:val="%1."/>
      <w:numFmt w:val="decimal"/>
      <w:start w:val="23"/>
    </w:lvl>
  </w:abstractNum>
  <w:abstractNum w:abstractNumId="209">
    <w:nsid w:val="C4C3AF"/>
    <w:multiLevelType w:val="hybridMultilevel"/>
    <w:lvl w:ilvl="0">
      <w:lvlJc w:val="left"/>
      <w:lvlText w:val="%1."/>
      <w:numFmt w:val="decimal"/>
      <w:start w:val="24"/>
    </w:lvl>
  </w:abstractNum>
  <w:abstractNum w:abstractNumId="210">
    <w:nsid w:val="44380727"/>
    <w:multiLevelType w:val="hybridMultilevel"/>
    <w:lvl w:ilvl="0">
      <w:lvlJc w:val="left"/>
      <w:lvlText w:val="(*)"/>
      <w:numFmt w:val="bullet"/>
      <w:start w:val="1"/>
    </w:lvl>
  </w:abstractNum>
  <w:abstractNum w:abstractNumId="211">
    <w:nsid w:val="6C053B16"/>
    <w:multiLevelType w:val="hybridMultilevel"/>
    <w:lvl w:ilvl="0">
      <w:lvlJc w:val="left"/>
      <w:lvlText w:val="%1."/>
      <w:numFmt w:val="decimal"/>
      <w:start w:val="25"/>
    </w:lvl>
  </w:abstractNum>
  <w:abstractNum w:abstractNumId="212">
    <w:nsid w:val="4F294393"/>
    <w:multiLevelType w:val="hybridMultilevel"/>
    <w:lvl w:ilvl="0">
      <w:lvlJc w:val="left"/>
      <w:lvlText w:val="%1."/>
      <w:numFmt w:val="decimal"/>
      <w:start w:val="27"/>
    </w:lvl>
  </w:abstractNum>
  <w:abstractNum w:abstractNumId="213">
    <w:nsid w:val="5243BFAC"/>
    <w:multiLevelType w:val="hybridMultilevel"/>
    <w:lvl w:ilvl="0">
      <w:lvlJc w:val="left"/>
      <w:lvlText w:val="%1."/>
      <w:numFmt w:val="decimal"/>
      <w:start w:val="28"/>
    </w:lvl>
  </w:abstractNum>
  <w:abstractNum w:abstractNumId="214">
    <w:nsid w:val="425EB207"/>
    <w:multiLevelType w:val="hybridMultilevel"/>
    <w:lvl w:ilvl="0">
      <w:lvlJc w:val="left"/>
      <w:lvlText w:val="(%1)"/>
      <w:numFmt w:val="lowerRoman"/>
      <w:start w:val="1"/>
    </w:lvl>
  </w:abstractNum>
  <w:abstractNum w:abstractNumId="215">
    <w:nsid w:val="334A6F1F"/>
    <w:multiLevelType w:val="hybridMultilevel"/>
    <w:lvl w:ilvl="0">
      <w:lvlJc w:val="left"/>
      <w:lvlText w:val="(*)"/>
      <w:numFmt w:val="bullet"/>
      <w:start w:val="1"/>
    </w:lvl>
  </w:abstractNum>
  <w:abstractNum w:abstractNumId="216">
    <w:nsid w:val="2E5B12B8"/>
    <w:multiLevelType w:val="hybridMultilevel"/>
    <w:lvl w:ilvl="0">
      <w:lvlJc w:val="left"/>
      <w:lvlText w:val="(**)"/>
      <w:numFmt w:val="bullet"/>
      <w:start w:val="1"/>
    </w:lvl>
  </w:abstractNum>
  <w:abstractNum w:abstractNumId="217">
    <w:nsid w:val="5C03D76D"/>
    <w:multiLevelType w:val="hybridMultilevel"/>
    <w:lvl w:ilvl="0">
      <w:lvlJc w:val="left"/>
      <w:lvlText w:val="(***)"/>
      <w:numFmt w:val="bullet"/>
      <w:start w:val="1"/>
    </w:lvl>
  </w:abstractNum>
  <w:abstractNum w:abstractNumId="218">
    <w:nsid w:val="66A48D11"/>
    <w:multiLevelType w:val="hybridMultilevel"/>
    <w:lvl w:ilvl="0">
      <w:lvlJc w:val="left"/>
      <w:lvlText w:val="%1."/>
      <w:numFmt w:val="decimal"/>
      <w:start w:val="29"/>
    </w:lvl>
    <w:lvl w:ilvl="1">
      <w:lvlJc w:val="left"/>
      <w:lvlText w:val="(%2)"/>
      <w:numFmt w:val="lowerLetter"/>
      <w:start w:val="1"/>
    </w:lvl>
  </w:abstractNum>
  <w:abstractNum w:abstractNumId="219">
    <w:nsid w:val="56C28E34"/>
    <w:multiLevelType w:val="hybridMultilevel"/>
    <w:lvl w:ilvl="0">
      <w:lvlJc w:val="left"/>
      <w:lvlText w:val="(%1)"/>
      <w:numFmt w:val="lowerLetter"/>
      <w:start w:val="3"/>
    </w:lvl>
  </w:abstractNum>
  <w:abstractNum w:abstractNumId="220">
    <w:nsid w:val="13916F2D"/>
    <w:multiLevelType w:val="hybridMultilevel"/>
    <w:lvl w:ilvl="0">
      <w:lvlJc w:val="left"/>
      <w:lvlText w:val="%1."/>
      <w:numFmt w:val="decimal"/>
      <w:start w:val="30"/>
    </w:lvl>
  </w:abstractNum>
  <w:abstractNum w:abstractNumId="221">
    <w:nsid w:val="435D38D"/>
    <w:multiLevelType w:val="hybridMultilevel"/>
    <w:lvl w:ilvl="0">
      <w:lvlJc w:val="left"/>
      <w:lvlText w:val="%1."/>
      <w:numFmt w:val="decimal"/>
      <w:start w:val="31"/>
    </w:lvl>
    <w:lvl w:ilvl="1">
      <w:lvlJc w:val="left"/>
      <w:lvlText w:val="(%2)"/>
      <w:numFmt w:val="lowerLetter"/>
      <w:start w:val="1"/>
    </w:lvl>
    <w:lvl w:ilvl="2">
      <w:lvlJc w:val="left"/>
      <w:lvlText w:val="(%3)"/>
      <w:numFmt w:val="lowerRoman"/>
      <w:start w:val="1"/>
    </w:lvl>
  </w:abstractNum>
  <w:abstractNum w:abstractNumId="222">
    <w:nsid w:val="822C0EF"/>
    <w:multiLevelType w:val="hybridMultilevel"/>
    <w:lvl w:ilvl="0">
      <w:lvlJc w:val="left"/>
      <w:lvlText w:val="%1"/>
      <w:numFmt w:val="lowerLetter"/>
      <w:start w:val="1"/>
    </w:lvl>
    <w:lvl w:ilvl="1">
      <w:lvlJc w:val="left"/>
      <w:lvlText w:val="(%2)"/>
      <w:numFmt w:val="lowerRoman"/>
      <w:start w:val="2"/>
    </w:lvl>
  </w:abstractNum>
  <w:abstractNum w:abstractNumId="223">
    <w:nsid w:val="57C5BB4F"/>
    <w:multiLevelType w:val="hybridMultilevel"/>
    <w:lvl w:ilvl="0">
      <w:lvlJc w:val="left"/>
      <w:lvlText w:val="(%1)"/>
      <w:numFmt w:val="lowerLetter"/>
      <w:start w:val="2"/>
    </w:lvl>
    <w:lvl w:ilvl="1">
      <w:lvlJc w:val="left"/>
      <w:lvlText w:val="%2"/>
      <w:numFmt w:val="lowerRoman"/>
      <w:start w:val="1"/>
    </w:lvl>
  </w:abstractNum>
  <w:abstractNum w:abstractNumId="224">
    <w:nsid w:val="1803D089"/>
    <w:multiLevelType w:val="hybridMultilevel"/>
    <w:lvl w:ilvl="0">
      <w:lvlJc w:val="left"/>
      <w:lvlText w:val="(%1)"/>
      <w:numFmt w:val="lowerLetter"/>
      <w:start w:val="3"/>
    </w:lvl>
  </w:abstractNum>
  <w:abstractNum w:abstractNumId="225">
    <w:nsid w:val="4F3A06D4"/>
    <w:multiLevelType w:val="hybridMultilevel"/>
    <w:lvl w:ilvl="0">
      <w:lvlJc w:val="left"/>
      <w:lvlText w:val="(%1)"/>
      <w:numFmt w:val="lowerLetter"/>
      <w:start w:val="1"/>
    </w:lvl>
  </w:abstractNum>
  <w:abstractNum w:abstractNumId="226">
    <w:nsid w:val="59A377B6"/>
    <w:multiLevelType w:val="hybridMultilevel"/>
    <w:lvl w:ilvl="0">
      <w:lvlJc w:val="left"/>
      <w:lvlText w:val="(%1)"/>
      <w:numFmt w:val="lowerRoman"/>
      <w:start w:val="1"/>
    </w:lvl>
  </w:abstractNum>
  <w:abstractNum w:abstractNumId="227">
    <w:nsid w:val="48AEB063"/>
    <w:multiLevelType w:val="hybridMultilevel"/>
    <w:lvl w:ilvl="0">
      <w:lvlJc w:val="left"/>
      <w:lvlText w:val="(%1)"/>
      <w:numFmt w:val="lowerRoman"/>
      <w:start w:val="2"/>
    </w:lvl>
  </w:abstractNum>
  <w:abstractNum w:abstractNumId="228">
    <w:nsid w:val="24E135"/>
    <w:multiLevelType w:val="hybridMultilevel"/>
    <w:lvl w:ilvl="0">
      <w:lvlJc w:val="left"/>
      <w:lvlText w:val="(%1)"/>
      <w:numFmt w:val="lowerLetter"/>
      <w:start w:val="2"/>
    </w:lvl>
  </w:abstractNum>
  <w:abstractNum w:abstractNumId="229">
    <w:nsid w:val="BB13C1"/>
    <w:multiLevelType w:val="hybridMultilevel"/>
    <w:lvl w:ilvl="0">
      <w:lvlJc w:val="left"/>
      <w:lvlText w:val="(%1)"/>
      <w:numFmt w:val="lowerLetter"/>
      <w:start w:val="2"/>
    </w:lvl>
    <w:lvl w:ilvl="1">
      <w:lvlJc w:val="left"/>
      <w:lvlText w:val="-"/>
      <w:numFmt w:val="bullet"/>
      <w:start w:val="1"/>
    </w:lvl>
  </w:abstractNum>
  <w:abstractNum w:abstractNumId="230">
    <w:nsid w:val="271210C7"/>
    <w:multiLevelType w:val="hybridMultilevel"/>
    <w:lvl w:ilvl="0">
      <w:lvlJc w:val="left"/>
      <w:lvlText w:val="(%1)"/>
      <w:numFmt w:val="lowerLetter"/>
      <w:start w:val="4"/>
    </w:lvl>
  </w:abstractNum>
  <w:abstractNum w:abstractNumId="231">
    <w:nsid w:val="217B22E4"/>
    <w:multiLevelType w:val="hybridMultilevel"/>
    <w:lvl w:ilvl="0">
      <w:lvlJc w:val="left"/>
      <w:lvlText w:val="(*)"/>
      <w:numFmt w:val="bullet"/>
      <w:start w:val="1"/>
    </w:lvl>
  </w:abstractNum>
  <w:abstractNum w:abstractNumId="232">
    <w:nsid w:val="53E31A24"/>
    <w:multiLevelType w:val="hybridMultilevel"/>
    <w:lvl w:ilvl="0">
      <w:lvlJc w:val="left"/>
      <w:lvlText w:val="(%1)"/>
      <w:numFmt w:val="lowerLetter"/>
      <w:start w:val="5"/>
    </w:lvl>
  </w:abstractNum>
  <w:abstractNum w:abstractNumId="233">
    <w:nsid w:val="6DC45E83"/>
    <w:multiLevelType w:val="hybridMultilevel"/>
    <w:lvl w:ilvl="0">
      <w:lvlJc w:val="left"/>
      <w:lvlText w:val="(%1)"/>
      <w:numFmt w:val="lowerLetter"/>
      <w:start w:val="1"/>
    </w:lvl>
  </w:abstractNum>
  <w:abstractNum w:abstractNumId="234">
    <w:nsid w:val="17304A67"/>
    <w:multiLevelType w:val="hybridMultilevel"/>
    <w:lvl w:ilvl="0">
      <w:lvlJc w:val="left"/>
      <w:lvlText w:val="(%1)"/>
      <w:numFmt w:val="lowerLetter"/>
      <w:start w:val="2"/>
    </w:lvl>
    <w:lvl w:ilvl="1">
      <w:lvlJc w:val="left"/>
      <w:lvlText w:val="(%2)"/>
      <w:numFmt w:val="lowerRoman"/>
      <w:start w:val="1"/>
    </w:lvl>
  </w:abstractNum>
  <w:abstractNum w:abstractNumId="235">
    <w:nsid w:val="2BB180D8"/>
    <w:multiLevelType w:val="hybridMultilevel"/>
    <w:lvl w:ilvl="0">
      <w:lvlJc w:val="left"/>
      <w:lvlText w:val="(%1)"/>
      <w:numFmt w:val="lowerRoman"/>
      <w:start w:val="2"/>
    </w:lvl>
  </w:abstractNum>
  <w:abstractNum w:abstractNumId="236">
    <w:nsid w:val="556B69ED"/>
    <w:multiLevelType w:val="hybridMultilevel"/>
    <w:lvl w:ilvl="0">
      <w:lvlJc w:val="left"/>
      <w:lvlText w:val="-"/>
      <w:numFmt w:val="bullet"/>
      <w:start w:val="1"/>
    </w:lvl>
  </w:abstractNum>
  <w:abstractNum w:abstractNumId="237">
    <w:nsid w:val="70836196"/>
    <w:multiLevelType w:val="hybridMultilevel"/>
    <w:lvl w:ilvl="0">
      <w:lvlJc w:val="left"/>
      <w:lvlText w:val="(%1)"/>
      <w:numFmt w:val="lowerLetter"/>
      <w:start w:val="1"/>
    </w:lvl>
  </w:abstractNum>
  <w:abstractNum w:abstractNumId="238">
    <w:nsid w:val="539F7F12"/>
    <w:multiLevelType w:val="hybridMultilevel"/>
    <w:lvl w:ilvl="0">
      <w:lvlJc w:val="left"/>
      <w:lvlText w:val="(%1)"/>
      <w:numFmt w:val="lowerLetter"/>
      <w:start w:val="2"/>
    </w:lvl>
  </w:abstractNum>
  <w:abstractNum w:abstractNumId="239">
    <w:nsid w:val="2817E7EC"/>
    <w:multiLevelType w:val="hybridMultilevel"/>
    <w:lvl w:ilvl="0">
      <w:lvlJc w:val="left"/>
      <w:lvlText w:val="(%1)"/>
      <w:numFmt w:val="lowerLetter"/>
      <w:start w:val="3"/>
    </w:lvl>
  </w:abstractNum>
  <w:abstractNum w:abstractNumId="240">
    <w:nsid w:val="71482545"/>
    <w:multiLevelType w:val="hybridMultilevel"/>
    <w:lvl w:ilvl="0">
      <w:lvlJc w:val="left"/>
      <w:lvlText w:val="(%1)"/>
      <w:numFmt w:val="lowerLetter"/>
      <w:start w:val="4"/>
    </w:lvl>
    <w:lvl w:ilvl="1">
      <w:lvlJc w:val="left"/>
      <w:lvlText w:val="-"/>
      <w:numFmt w:val="bullet"/>
      <w:start w:val="1"/>
    </w:lvl>
  </w:abstractNum>
  <w:abstractNum w:abstractNumId="241">
    <w:nsid w:val="17D78639"/>
    <w:multiLevelType w:val="hybridMultilevel"/>
    <w:lvl w:ilvl="0">
      <w:lvlJc w:val="left"/>
      <w:lvlText w:val="(%1)"/>
      <w:numFmt w:val="lowerLetter"/>
      <w:start w:val="1"/>
    </w:lvl>
  </w:abstractNum>
  <w:abstractNum w:abstractNumId="242">
    <w:nsid w:val="141D2302"/>
    <w:multiLevelType w:val="hybridMultilevel"/>
    <w:lvl w:ilvl="0">
      <w:lvlJc w:val="left"/>
      <w:lvlText w:val="©"/>
      <w:numFmt w:val="bullet"/>
      <w:start w:val="1"/>
    </w:lvl>
  </w:abstractNum>
  <w:abstractNum w:abstractNumId="243">
    <w:nsid w:val="407168D8"/>
    <w:multiLevelType w:val="hybridMultilevel"/>
    <w:lvl w:ilvl="0">
      <w:lvlJc w:val="left"/>
      <w:lvlText w:val="8"/>
      <w:numFmt w:val="bullet"/>
      <w:start w:val="1"/>
    </w:lvl>
  </w:abstractNum>
  <w:abstractNum w:abstractNumId="244">
    <w:nsid w:val="6A1B45E5"/>
    <w:multiLevelType w:val="hybridMultilevel"/>
    <w:lvl w:ilvl="0">
      <w:lvlJc w:val="left"/>
      <w:lvlText w:val="%1."/>
      <w:numFmt w:val="decimal"/>
      <w:start w:val="1"/>
    </w:lvl>
  </w:abstractNum>
  <w:abstractNum w:abstractNumId="245">
    <w:nsid w:val="567BD50A"/>
    <w:multiLevelType w:val="hybridMultilevel"/>
    <w:lvl w:ilvl="0">
      <w:lvlJc w:val="left"/>
      <w:lvlText w:val="%1)"/>
      <w:numFmt w:val="lowerLetter"/>
      <w:start w:val="1"/>
    </w:lvl>
  </w:abstractNum>
  <w:abstractNum w:abstractNumId="246">
    <w:nsid w:val="73BBD7F8"/>
    <w:multiLevelType w:val="hybridMultilevel"/>
    <w:lvl w:ilvl="0">
      <w:lvlJc w:val="left"/>
      <w:lvlText w:val="%1."/>
      <w:numFmt w:val="decimal"/>
      <w:start w:val="5"/>
    </w:lvl>
  </w:abstractNum>
  <w:abstractNum w:abstractNumId="247">
    <w:nsid w:val="1876589D"/>
    <w:multiLevelType w:val="hybridMultilevel"/>
    <w:lvl w:ilvl="0">
      <w:lvlJc w:val="left"/>
      <w:lvlText w:val="%1)"/>
      <w:numFmt w:val="lowerLetter"/>
      <w:start w:val="1"/>
    </w:lvl>
  </w:abstractNum>
  <w:abstractNum w:abstractNumId="248">
    <w:nsid w:val="327FAC77"/>
    <w:multiLevelType w:val="hybridMultilevel"/>
    <w:lvl w:ilvl="0">
      <w:lvlJc w:val="left"/>
      <w:lvlText w:val="%1."/>
      <w:numFmt w:val="decimal"/>
      <w:start w:val="1"/>
    </w:lvl>
  </w:abstractNum>
  <w:abstractNum w:abstractNumId="249">
    <w:nsid w:val="5A606509"/>
    <w:multiLevelType w:val="hybridMultilevel"/>
    <w:lvl w:ilvl="0">
      <w:lvlJc w:val="left"/>
      <w:lvlText w:val="%1)"/>
      <w:numFmt w:val="lowerLetter"/>
      <w:start w:val="1"/>
    </w:lvl>
  </w:abstractNum>
  <w:abstractNum w:abstractNumId="250">
    <w:nsid w:val="6F38E6D1"/>
    <w:multiLevelType w:val="hybridMultilevel"/>
    <w:lvl w:ilvl="0">
      <w:lvlJc w:val="left"/>
      <w:lvlText w:val="%1."/>
      <w:numFmt w:val="decimal"/>
      <w:start w:val="5"/>
    </w:lvl>
  </w:abstractNum>
  <w:abstractNum w:abstractNumId="251">
    <w:nsid w:val="46111BA5"/>
    <w:multiLevelType w:val="hybridMultilevel"/>
    <w:lvl w:ilvl="0">
      <w:lvlJc w:val="left"/>
      <w:lvlText w:val="%1)"/>
      <w:numFmt w:val="lowerLetter"/>
      <w:start w:val="1"/>
    </w:lvl>
  </w:abstractNum>
  <w:abstractNum w:abstractNumId="252">
    <w:nsid w:val="5E963896"/>
    <w:multiLevelType w:val="hybridMultilevel"/>
    <w:lvl w:ilvl="0">
      <w:lvlJc w:val="left"/>
      <w:lvlText w:val="%1."/>
      <w:numFmt w:val="decimal"/>
      <w:start w:val="1"/>
    </w:lvl>
  </w:abstractNum>
  <w:abstractNum w:abstractNumId="253">
    <w:nsid w:val="775BA7C1"/>
    <w:multiLevelType w:val="hybridMultilevel"/>
    <w:lvl w:ilvl="0">
      <w:lvlJc w:val="left"/>
      <w:lvlText w:val="(%1)"/>
      <w:numFmt w:val="upperLetter"/>
      <w:start w:val="1"/>
    </w:lvl>
  </w:abstractNum>
  <w:abstractNum w:abstractNumId="254">
    <w:nsid w:val="1DD6D6F4"/>
    <w:multiLevelType w:val="hybridMultilevel"/>
    <w:lvl w:ilvl="0">
      <w:lvlJc w:val="left"/>
      <w:lvlText w:val="%1."/>
      <w:numFmt w:val="decimal"/>
      <w:start w:val="1"/>
    </w:lvl>
  </w:abstractNum>
  <w:abstractNum w:abstractNumId="255">
    <w:nsid w:val="769A091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2019-12-14T06:44:40Z</dcterms:created>
  <dcterms:modified xsi:type="dcterms:W3CDTF">2019-12-14T06:44:40Z</dcterms:modified>
</cp:coreProperties>
</file>