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6-K</w:t>
      </w:r>
    </w:p>
    <w:p>
      <w:pPr>
        <w:spacing w:after="0" w:line="259"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Report of Foreign Private Issuer</w:t>
      </w:r>
    </w:p>
    <w:p>
      <w:pPr>
        <w:jc w:val="center"/>
        <w:ind w:right="-159"/>
        <w:spacing w:after="0" w:line="238" w:lineRule="auto"/>
        <w:rPr>
          <w:sz w:val="20"/>
          <w:szCs w:val="20"/>
          <w:color w:val="auto"/>
        </w:rPr>
      </w:pPr>
      <w:r>
        <w:rPr>
          <w:rFonts w:ascii="Arial" w:cs="Arial" w:eastAsia="Arial" w:hAnsi="Arial"/>
          <w:sz w:val="22"/>
          <w:szCs w:val="22"/>
          <w:color w:val="auto"/>
        </w:rPr>
        <w:t>Pursuant to Rule 13a-16 or 15d-16 under the</w:t>
      </w:r>
    </w:p>
    <w:p>
      <w:pPr>
        <w:jc w:val="center"/>
        <w:ind w:right="-159"/>
        <w:spacing w:after="0"/>
        <w:rPr>
          <w:sz w:val="20"/>
          <w:szCs w:val="20"/>
          <w:color w:val="auto"/>
        </w:rPr>
      </w:pPr>
      <w:r>
        <w:rPr>
          <w:rFonts w:ascii="Arial" w:cs="Arial" w:eastAsia="Arial" w:hAnsi="Arial"/>
          <w:sz w:val="22"/>
          <w:szCs w:val="22"/>
          <w:color w:val="auto"/>
        </w:rPr>
        <w:t>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 the month of March 2022</w:t>
      </w:r>
    </w:p>
    <w:p>
      <w:pPr>
        <w:spacing w:after="0" w:line="239"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Commission File Number: 001-14014</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CREDICORP LTD.</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(Translation of registrant’s name into English)</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Of our subsidiary</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Banco de Credito del Peru:</w:t>
      </w:r>
    </w:p>
    <w:p>
      <w:pPr>
        <w:jc w:val="center"/>
        <w:ind w:right="-159"/>
        <w:spacing w:after="0" w:line="230" w:lineRule="auto"/>
        <w:rPr>
          <w:sz w:val="20"/>
          <w:szCs w:val="20"/>
          <w:color w:val="auto"/>
        </w:rPr>
      </w:pPr>
      <w:r>
        <w:rPr>
          <w:rFonts w:ascii="Arial" w:cs="Arial" w:eastAsia="Arial" w:hAnsi="Arial"/>
          <w:sz w:val="22"/>
          <w:szCs w:val="22"/>
          <w:b w:val="1"/>
          <w:bCs w:val="1"/>
          <w:color w:val="auto"/>
        </w:rPr>
        <w:t>Calle Centenario 156</w:t>
      </w:r>
    </w:p>
    <w:p>
      <w:pPr>
        <w:jc w:val="center"/>
        <w:ind w:right="-159"/>
        <w:spacing w:after="0" w:line="231" w:lineRule="auto"/>
        <w:rPr>
          <w:sz w:val="20"/>
          <w:szCs w:val="20"/>
          <w:color w:val="auto"/>
        </w:rPr>
      </w:pPr>
      <w:r>
        <w:rPr>
          <w:rFonts w:ascii="Arial" w:cs="Arial" w:eastAsia="Arial" w:hAnsi="Arial"/>
          <w:sz w:val="22"/>
          <w:szCs w:val="22"/>
          <w:b w:val="1"/>
          <w:bCs w:val="1"/>
          <w:color w:val="auto"/>
        </w:rPr>
        <w:t>La Molina</w:t>
      </w:r>
    </w:p>
    <w:p>
      <w:pPr>
        <w:jc w:val="center"/>
        <w:ind w:right="-159"/>
        <w:spacing w:after="0" w:line="230" w:lineRule="auto"/>
        <w:rPr>
          <w:sz w:val="20"/>
          <w:szCs w:val="20"/>
          <w:color w:val="auto"/>
        </w:rPr>
      </w:pPr>
      <w:r>
        <w:rPr>
          <w:rFonts w:ascii="Arial" w:cs="Arial" w:eastAsia="Arial" w:hAnsi="Arial"/>
          <w:sz w:val="22"/>
          <w:szCs w:val="22"/>
          <w:b w:val="1"/>
          <w:bCs w:val="1"/>
          <w:color w:val="auto"/>
        </w:rPr>
        <w:t>Lima 12, Peru</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jc w:val="center"/>
        <w:ind w:right="-15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47"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277495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371475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517525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80" w:top="535" w:right="5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5145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51455" cy="325755"/>
                    </a:xfrm>
                    <a:prstGeom prst="rect">
                      <a:avLst/>
                    </a:prstGeom>
                    <a:noFill/>
                  </pic:spPr>
                </pic:pic>
              </a:graphicData>
            </a:graphic>
          </wp:anchor>
        </w:drawing>
        <w:t>March 21,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 - SEC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 MATERIAL EVENT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hereby notify you as a Material Event that the company S&amp;P Global Ratings has confirmed the credit rating of Credicorp Ltd. (Credicorp) at 'BBB' and the outlook at negative. Also, as a result of the change in rating and outlook for long-term sovereign ratings on Peru, the rating agency has changed the credit rating from 'BBB+' to 'BBB' and the outlook from negative to stable of 7 Peruvian financial entities, including Banco de Credito del Peru (BCP), BCP Panama and Mibanco, Banco de la Microempresa, subsidiaries of Credicorp.</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information in this Form 6-K regarding the rating of S&amp;P Global Ratings has been disclosed in Peru in conformity with Peruvian law (Article 28 of the Capital Markets Law, approved by Supreme Decree 093-2002-EF, and by the Regulation of the Disclosure of Material Events and Reserved Information approved by Resolution 005-2014-SMV/01 of the Peruvian Capital Markets Superintendency). The ratings of S&amp;P Global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Miriam Böttger</w:t>
      </w:r>
    </w:p>
    <w:p>
      <w:pPr>
        <w:spacing w:after="0" w:line="238" w:lineRule="auto"/>
        <w:rPr>
          <w:sz w:val="20"/>
          <w:szCs w:val="20"/>
          <w:color w:val="auto"/>
        </w:rPr>
      </w:pPr>
      <w:r>
        <w:rPr>
          <w:rFonts w:ascii="Arial" w:cs="Arial" w:eastAsia="Arial" w:hAnsi="Arial"/>
          <w:sz w:val="22"/>
          <w:szCs w:val="22"/>
          <w:color w:val="auto"/>
        </w:rPr>
        <w:t>Authorized Representative</w:t>
      </w:r>
    </w:p>
    <w:p>
      <w:pPr>
        <w:spacing w:after="0"/>
        <w:rPr>
          <w:sz w:val="20"/>
          <w:szCs w:val="20"/>
          <w:color w:val="auto"/>
        </w:rPr>
      </w:pPr>
      <w:r>
        <w:rPr>
          <w:rFonts w:ascii="Arial" w:cs="Arial" w:eastAsia="Arial" w:hAnsi="Arial"/>
          <w:sz w:val="22"/>
          <w:szCs w:val="2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535"/>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Date: March 21, 2022</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25203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Miriam Böttger</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 w:name="page4"/>
    <w:bookmarkEnd w:id="3"/>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125984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59840" cy="617220"/>
                    </a:xfrm>
                    <a:prstGeom prst="rect">
                      <a:avLst/>
                    </a:prstGeom>
                    <a:noFill/>
                  </pic:spPr>
                </pic:pic>
              </a:graphicData>
            </a:graphic>
          </wp:anchor>
        </w:drawing>
        <w:drawing>
          <wp:anchor simplePos="0" relativeHeight="251657728" behindDoc="1" locked="0" layoutInCell="0" allowOverlap="1">
            <wp:simplePos x="0" y="0"/>
            <wp:positionH relativeFrom="page">
              <wp:posOffset>5102860</wp:posOffset>
            </wp:positionH>
            <wp:positionV relativeFrom="page">
              <wp:posOffset>397510</wp:posOffset>
            </wp:positionV>
            <wp:extent cx="16541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086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Seven Peruvian Financial Institutions Downgraded On Same Action On Sovereign, Outlook Stable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March 21, 2022</w:t>
      </w:r>
    </w:p>
    <w:p>
      <w:pPr>
        <w:spacing w:after="0" w:line="246" w:lineRule="exact"/>
        <w:rPr>
          <w:sz w:val="20"/>
          <w:szCs w:val="20"/>
          <w:color w:val="auto"/>
        </w:rPr>
      </w:pPr>
    </w:p>
    <w:p>
      <w:pPr>
        <w:ind w:left="220" w:right="60" w:hanging="212"/>
        <w:spacing w:after="0" w:line="308"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March 18, 2022, S&amp;P Global Ratings lowered its long-term sovereign ratings on Peru--foreign currency to 'BBB' from 'BBB+' and local currency to 'BBB+' from 'A-'. The downgrade reflects the impact of shifting political environment on growth and sovereign debt composition.</w:t>
      </w:r>
    </w:p>
    <w:p>
      <w:pPr>
        <w:spacing w:after="0" w:line="173" w:lineRule="exact"/>
        <w:rPr>
          <w:rFonts w:ascii="Arial" w:cs="Arial" w:eastAsia="Arial" w:hAnsi="Arial"/>
          <w:sz w:val="17"/>
          <w:szCs w:val="17"/>
          <w:color w:val="auto"/>
        </w:rPr>
      </w:pPr>
    </w:p>
    <w:p>
      <w:pPr>
        <w:ind w:left="220" w:right="60" w:hanging="212"/>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outlook on the sovereign is now stable, incorporating expectations of maintenance of prudent fiscal management, monetary flexibility, and external position amid favorable conditions for global metals exporters such as Peru.</w:t>
      </w:r>
    </w:p>
    <w:p>
      <w:pPr>
        <w:spacing w:after="0" w:line="197" w:lineRule="exact"/>
        <w:rPr>
          <w:rFonts w:ascii="Arial" w:cs="Arial" w:eastAsia="Arial" w:hAnsi="Arial"/>
          <w:sz w:val="18"/>
          <w:szCs w:val="18"/>
          <w:color w:val="auto"/>
        </w:rPr>
      </w:pPr>
    </w:p>
    <w:p>
      <w:pPr>
        <w:ind w:left="220" w:hanging="212"/>
        <w:spacing w:after="0" w:line="342"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After this action, we're downgrading seven banks operating in the country, reflecting the sovereign credit quality influence on ratings on these banks and the weakening in Peru's capacity to provide support to the entities. The outlook on these banks is now stable, reflecting the one on the sovereign.</w:t>
      </w:r>
    </w:p>
    <w:p>
      <w:pPr>
        <w:spacing w:after="0" w:line="150" w:lineRule="exact"/>
        <w:rPr>
          <w:rFonts w:ascii="Arial" w:cs="Arial" w:eastAsia="Arial" w:hAnsi="Arial"/>
          <w:sz w:val="16"/>
          <w:szCs w:val="16"/>
          <w:color w:val="auto"/>
        </w:rPr>
      </w:pPr>
    </w:p>
    <w:p>
      <w:pPr>
        <w:ind w:left="220" w:right="140" w:hanging="212"/>
        <w:spacing w:after="0" w:line="263"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the same time, we're affirming the ratings on two holding companies, the bulk of operations of which are in Peru. The outlook on both entities remains negative, reflecting the pressures from the negative trend on the economic risk in our Banking Industry Country Risk Assessment (BICRA) of Peru.</w:t>
      </w:r>
    </w:p>
    <w:p>
      <w:pPr>
        <w:spacing w:after="0" w:line="203"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MEXICO CITY (S&amp;P Global Ratings) March 21, 2022--S&amp;P Global Ratings lowered its ratings on Banco de Credito del Peru (BCP), MiBanco, Banco de La Microempresa S.A., Scotiabank Peru S.A.A., Banco BBVA Peru, Banco Internacional del Peru S.A.A - Interbank, Corporacion Financiera de Desarrollo S.A. (COFIDE), Fondo Mivivienda S.A. (FMV; see the ratings list below). The outlook on all entities is now stable. At the same time, we affirmed the ratings on Credicorp Ltd. at 'BBB' and Intercorp Financial Services Inc. (IFS) at 'BBB-'. The outlook on both entities remains negative.</w:t>
      </w:r>
    </w:p>
    <w:p>
      <w:pPr>
        <w:spacing w:after="0" w:line="174"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The rating action on the financial entities follows the downgrade of the sovereign. Our ratings on Peru limit those on domestic financial institutions, because we don't consider that the entities could withstand a sovereign default scenario, given their large exposure to the country in the form of loans and securities. In addition, the deterioration in the sovereign's credit fundamentals reduces its capacity to provide extraordinary government support to the financial system and government-related financial entities if needed.</w:t>
      </w:r>
    </w:p>
    <w:p>
      <w:pPr>
        <w:spacing w:after="0" w:line="214"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The downgrade of Peru reflects the erosion of the institutional assessment of the sovereign after a prolonged period of political instability, due to continued tensions between the executive and legislative powers. This has reduced the capacity to implement timely policies to maintain growth in the medium term, which we believe weighs on investor confidence, reducing economic growth to a moderate pace. At the same time, we believe that political uncertainty will limit private investment plans, while bottlenecks to execute public spending remain.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PRIMARY CREDIT ANALYST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Ivana L Recalde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Buenos Aires</w:t>
      </w:r>
    </w:p>
    <w:p>
      <w:pPr>
        <w:spacing w:after="0" w:line="233" w:lineRule="exact"/>
        <w:rPr>
          <w:sz w:val="20"/>
          <w:szCs w:val="20"/>
          <w:color w:val="auto"/>
        </w:rPr>
      </w:pPr>
    </w:p>
    <w:p>
      <w:pPr>
        <w:ind w:right="8640" w:firstLine="8"/>
        <w:spacing w:after="0" w:line="530" w:lineRule="auto"/>
        <w:tabs>
          <w:tab w:leader="none" w:pos="176" w:val="left"/>
        </w:tabs>
        <w:numPr>
          <w:ilvl w:val="0"/>
          <w:numId w:val="2"/>
        </w:numPr>
        <w:rPr>
          <w:rFonts w:ascii="Arial" w:cs="Arial" w:eastAsia="Arial" w:hAnsi="Arial"/>
          <w:sz w:val="19"/>
          <w:szCs w:val="19"/>
          <w:color w:val="auto"/>
        </w:rPr>
      </w:pPr>
      <w:r>
        <w:rPr>
          <w:rFonts w:ascii="Arial" w:cs="Arial" w:eastAsia="Arial" w:hAnsi="Arial"/>
          <w:sz w:val="19"/>
          <w:szCs w:val="19"/>
          <w:color w:val="auto"/>
        </w:rPr>
        <w:t>54 11 4891 2127 ivana.recalde @spglobal.com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SECONDARY CONTACT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Sergio A Garibian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Sao Paulo</w:t>
      </w:r>
    </w:p>
    <w:p>
      <w:pPr>
        <w:spacing w:after="0" w:line="233" w:lineRule="exact"/>
        <w:rPr>
          <w:sz w:val="20"/>
          <w:szCs w:val="20"/>
          <w:color w:val="auto"/>
        </w:rPr>
      </w:pPr>
    </w:p>
    <w:p>
      <w:pPr>
        <w:ind w:right="8500" w:firstLine="8"/>
        <w:spacing w:after="0" w:line="530" w:lineRule="auto"/>
        <w:tabs>
          <w:tab w:leader="none" w:pos="176" w:val="left"/>
        </w:tabs>
        <w:numPr>
          <w:ilvl w:val="0"/>
          <w:numId w:val="3"/>
        </w:numPr>
        <w:rPr>
          <w:rFonts w:ascii="Arial" w:cs="Arial" w:eastAsia="Arial" w:hAnsi="Arial"/>
          <w:sz w:val="19"/>
          <w:szCs w:val="19"/>
          <w:color w:val="auto"/>
        </w:rPr>
      </w:pPr>
      <w:r>
        <w:rPr>
          <w:rFonts w:ascii="Arial" w:cs="Arial" w:eastAsia="Arial" w:hAnsi="Arial"/>
          <w:sz w:val="19"/>
          <w:szCs w:val="19"/>
          <w:color w:val="auto"/>
        </w:rPr>
        <w:t>55 11 3039 9749 sergio.garibian @spglobal.com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SOVEREIGN ANALYST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Constanza M Perez Aquino</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Buenos Aires</w:t>
      </w:r>
    </w:p>
    <w:p>
      <w:pPr>
        <w:spacing w:after="0" w:line="233" w:lineRule="exact"/>
        <w:rPr>
          <w:sz w:val="20"/>
          <w:szCs w:val="20"/>
          <w:color w:val="auto"/>
        </w:rPr>
      </w:pPr>
    </w:p>
    <w:p>
      <w:pPr>
        <w:ind w:right="7760" w:firstLine="8"/>
        <w:spacing w:after="0" w:line="478" w:lineRule="auto"/>
        <w:tabs>
          <w:tab w:leader="none" w:pos="176" w:val="left"/>
        </w:tabs>
        <w:numPr>
          <w:ilvl w:val="0"/>
          <w:numId w:val="4"/>
        </w:numPr>
        <w:rPr>
          <w:rFonts w:ascii="Arial" w:cs="Arial" w:eastAsia="Arial" w:hAnsi="Arial"/>
          <w:sz w:val="19"/>
          <w:szCs w:val="19"/>
          <w:color w:val="auto"/>
        </w:rPr>
      </w:pPr>
      <w:r>
        <w:rPr>
          <w:rFonts w:ascii="Arial" w:cs="Arial" w:eastAsia="Arial" w:hAnsi="Arial"/>
          <w:sz w:val="19"/>
          <w:szCs w:val="19"/>
          <w:color w:val="auto"/>
        </w:rPr>
        <w:t>54 11 4891 2167 constanza.perez.aquino @spglobal.com</w:t>
      </w:r>
    </w:p>
    <w:p>
      <w:pPr>
        <w:sectPr>
          <w:pgSz w:w="11900" w:h="17038" w:orient="portrait"/>
          <w:cols w:equalWidth="0" w:num="1">
            <w:col w:w="11200"/>
          </w:cols>
          <w:pgMar w:left="320" w:top="1381" w:right="379" w:bottom="0" w:gutter="0" w:footer="0" w:header="0"/>
        </w:sectPr>
      </w:pPr>
    </w:p>
    <w:bookmarkStart w:id="4" w:name="page5"/>
    <w:bookmarkEnd w:id="4"/>
    <w:p>
      <w:pPr>
        <w:spacing w:after="0"/>
        <w:tabs>
          <w:tab w:leader="none" w:pos="10160" w:val="left"/>
        </w:tabs>
        <w:rPr>
          <w:sz w:val="20"/>
          <w:szCs w:val="20"/>
          <w:color w:val="auto"/>
        </w:rPr>
      </w:pPr>
      <w:r>
        <w:rPr>
          <w:rFonts w:ascii="Arial" w:cs="Arial" w:eastAsia="Arial" w:hAnsi="Arial"/>
          <w:sz w:val="13"/>
          <w:szCs w:val="13"/>
          <w:b w:val="1"/>
          <w:bCs w:val="1"/>
          <w:color w:val="auto"/>
        </w:rPr>
        <w:t>www.spglobal.com/ratingsdirect</w:t>
      </w:r>
      <w:r>
        <w:rPr>
          <w:sz w:val="20"/>
          <w:szCs w:val="20"/>
          <w:color w:val="auto"/>
        </w:rPr>
        <w:tab/>
      </w:r>
      <w:r>
        <w:rPr>
          <w:rFonts w:ascii="Arial" w:cs="Arial" w:eastAsia="Arial" w:hAnsi="Arial"/>
          <w:sz w:val="13"/>
          <w:szCs w:val="13"/>
          <w:b w:val="1"/>
          <w:bCs w:val="1"/>
          <w:color w:val="auto"/>
        </w:rPr>
        <w:t>March 21, 2022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Seven Peruvian Financial Institutions Downgraded On Same Action On Sovereign, Outlook Stable</w:t>
      </w:r>
    </w:p>
    <w:p>
      <w:pPr>
        <w:spacing w:after="0" w:line="240"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 addition, the knock-on effect of the pandemic-related pension withdrawals increased reliance on external financing in 2020 and 2021 led to changes in Peru's debt composition, making its debt profile more vulnerable. Foreign currency-denominated debt is now 54% of the total (from just above 30% prior to the pandemic), and nonresident holdings of commercial debt account for more than 70%.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BCP</w:t>
      </w:r>
    </w:p>
    <w:p>
      <w:pPr>
        <w:spacing w:after="0" w:line="239"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The stable outlook on BCP reflects the outlook on Peru, and our expectation that the ratings on the bank will move in tandem with those on the sovereign in the next 12-24 months because of BCP's high exposure to the domestic market. The negative trend in the economic risk in our BICRA of Peru could weaken BCP's capitalization metrics, resulting in a downward revision of the bank's stand-alone credit profile (SACP), but not in the final ratings, which are currently limited by those on the sovereign. BCP's conservative provisioning and loan guarantees under government programs should help slow the weakening of its asset quality and the increase in credit losses once the deferred loans begin to mature in the second half of the year.</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Downside scenario. </w:t>
      </w:r>
      <w:r>
        <w:rPr>
          <w:rFonts w:ascii="Arial" w:cs="Arial" w:eastAsia="Arial" w:hAnsi="Arial"/>
          <w:sz w:val="21"/>
          <w:szCs w:val="21"/>
          <w:color w:val="auto"/>
        </w:rPr>
        <w:t>We could take a negative rating action on BCP if we were to take a similar action on the sovereign.</w:t>
      </w:r>
    </w:p>
    <w:p>
      <w:pPr>
        <w:spacing w:after="0" w:line="245" w:lineRule="exact"/>
        <w:rPr>
          <w:sz w:val="20"/>
          <w:szCs w:val="20"/>
          <w:color w:val="auto"/>
        </w:rPr>
      </w:pPr>
    </w:p>
    <w:p>
      <w:pPr>
        <w:spacing w:after="0" w:line="280" w:lineRule="auto"/>
        <w:rPr>
          <w:sz w:val="20"/>
          <w:szCs w:val="20"/>
          <w:color w:val="auto"/>
        </w:rPr>
      </w:pPr>
      <w:r>
        <w:rPr>
          <w:rFonts w:ascii="Arial" w:cs="Arial" w:eastAsia="Arial" w:hAnsi="Arial"/>
          <w:sz w:val="21"/>
          <w:szCs w:val="21"/>
          <w:b w:val="1"/>
          <w:bCs w:val="1"/>
          <w:color w:val="auto"/>
        </w:rPr>
        <w:t xml:space="preserve">Upside scenario. </w:t>
      </w:r>
      <w:r>
        <w:rPr>
          <w:rFonts w:ascii="Arial" w:cs="Arial" w:eastAsia="Arial" w:hAnsi="Arial"/>
          <w:sz w:val="21"/>
          <w:szCs w:val="21"/>
          <w:color w:val="auto"/>
        </w:rPr>
        <w:t>We could take a positive rating action on BCP if we were to take a similar action on the sovereign, while the</w:t>
      </w:r>
      <w:r>
        <w:rPr>
          <w:rFonts w:ascii="Arial" w:cs="Arial" w:eastAsia="Arial" w:hAnsi="Arial"/>
          <w:sz w:val="21"/>
          <w:szCs w:val="21"/>
          <w:b w:val="1"/>
          <w:bCs w:val="1"/>
          <w:color w:val="auto"/>
        </w:rPr>
        <w:t xml:space="preserve"> </w:t>
      </w:r>
      <w:r>
        <w:rPr>
          <w:rFonts w:ascii="Arial" w:cs="Arial" w:eastAsia="Arial" w:hAnsi="Arial"/>
          <w:sz w:val="21"/>
          <w:szCs w:val="21"/>
          <w:color w:val="auto"/>
        </w:rPr>
        <w:t>bank's all other rating fundamentals remain unchanged. However, this scenario seems unlikely at this point.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MiBanco</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stable outlook on MiBanco reflects the one on its owner, BCP. Ratings on MiBanco will move in tandem with those on BCP as long as the former remains an important subsidiary.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Scotiabank Peru</w:t>
      </w:r>
    </w:p>
    <w:p>
      <w:pPr>
        <w:spacing w:after="0" w:line="239"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The stable outlook on Scotiabank Peru reflects the outlook on Peru, and our expectation that the ratings on the bank will move in tandem with those on the sovereign in the next 12-24 months because of its high exposure to the domestic market. We consider the bank to be a strategically important subsidiary of Bank of Nova Scotia (BNS), but we don't expect the entity would receive extraordinary support from its parent in case of sovereign distress. We expect tighter underwriting standards, adjustment of the loan portfolio, solid provisioning levels, and government loan guarantees to help the bank cope with the impact of deferred loans start coming due as the second half of the year.</w:t>
      </w:r>
    </w:p>
    <w:p>
      <w:pPr>
        <w:spacing w:after="0" w:line="198" w:lineRule="exact"/>
        <w:rPr>
          <w:sz w:val="20"/>
          <w:szCs w:val="20"/>
          <w:color w:val="auto"/>
        </w:rPr>
      </w:pPr>
    </w:p>
    <w:p>
      <w:pPr>
        <w:ind w:right="780"/>
        <w:spacing w:after="0" w:line="256" w:lineRule="auto"/>
        <w:rPr>
          <w:sz w:val="20"/>
          <w:szCs w:val="20"/>
          <w:color w:val="auto"/>
        </w:rPr>
      </w:pPr>
      <w:r>
        <w:rPr>
          <w:rFonts w:ascii="Arial" w:cs="Arial" w:eastAsia="Arial" w:hAnsi="Arial"/>
          <w:sz w:val="22"/>
          <w:szCs w:val="22"/>
          <w:b w:val="1"/>
          <w:bCs w:val="1"/>
          <w:color w:val="auto"/>
        </w:rPr>
        <w:t xml:space="preserve">Downside scenario. </w:t>
      </w:r>
      <w:r>
        <w:rPr>
          <w:rFonts w:ascii="Arial" w:cs="Arial" w:eastAsia="Arial" w:hAnsi="Arial"/>
          <w:sz w:val="22"/>
          <w:szCs w:val="22"/>
          <w:color w:val="auto"/>
        </w:rPr>
        <w:t>We could take a negative rating action on Scotiabank Peru if we were to take a similar action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sovereign.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Upside scenario. </w:t>
      </w:r>
      <w:r>
        <w:rPr>
          <w:rFonts w:ascii="Arial" w:cs="Arial" w:eastAsia="Arial" w:hAnsi="Arial"/>
          <w:sz w:val="19"/>
          <w:szCs w:val="19"/>
          <w:color w:val="auto"/>
        </w:rPr>
        <w:t>We could take a positive rating action on Scotiabank Peru if we were to take a similar action on the sovereign.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However, this scenario seems unlikely at this point.</w:t>
      </w:r>
    </w:p>
    <w:p>
      <w:pPr>
        <w:spacing w:after="0" w:line="389" w:lineRule="exact"/>
        <w:rPr>
          <w:sz w:val="20"/>
          <w:szCs w:val="20"/>
          <w:color w:val="auto"/>
        </w:rPr>
      </w:pPr>
    </w:p>
    <w:p>
      <w:pPr>
        <w:spacing w:after="0"/>
        <w:tabs>
          <w:tab w:leader="none" w:pos="10160" w:val="left"/>
        </w:tabs>
        <w:rPr>
          <w:sz w:val="20"/>
          <w:szCs w:val="20"/>
          <w:color w:val="auto"/>
        </w:rPr>
      </w:pPr>
      <w:r>
        <w:rPr>
          <w:rFonts w:ascii="Arial" w:cs="Arial" w:eastAsia="Arial" w:hAnsi="Arial"/>
          <w:sz w:val="13"/>
          <w:szCs w:val="13"/>
          <w:b w:val="1"/>
          <w:bCs w:val="1"/>
          <w:color w:val="auto"/>
        </w:rPr>
        <w:t>www.spglobal.com/ratingsdirect</w:t>
      </w:r>
      <w:r>
        <w:rPr>
          <w:sz w:val="20"/>
          <w:szCs w:val="20"/>
          <w:color w:val="auto"/>
        </w:rPr>
        <w:tab/>
      </w:r>
      <w:r>
        <w:rPr>
          <w:rFonts w:ascii="Arial" w:cs="Arial" w:eastAsia="Arial" w:hAnsi="Arial"/>
          <w:sz w:val="13"/>
          <w:szCs w:val="13"/>
          <w:b w:val="1"/>
          <w:bCs w:val="1"/>
          <w:color w:val="auto"/>
        </w:rPr>
        <w:t>March 21, 2022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100"/>
        <w:spacing w:after="0"/>
        <w:rPr>
          <w:sz w:val="20"/>
          <w:szCs w:val="20"/>
          <w:color w:val="auto"/>
        </w:rPr>
      </w:pPr>
      <w:r>
        <w:rPr>
          <w:rFonts w:ascii="Arial" w:cs="Arial" w:eastAsia="Arial" w:hAnsi="Arial"/>
          <w:sz w:val="22"/>
          <w:szCs w:val="22"/>
          <w:b w:val="1"/>
          <w:bCs w:val="1"/>
          <w:color w:val="auto"/>
        </w:rPr>
        <w:t>Seven Peruvian Financial Institutions Downgraded On Same Action On Sovereign, Outlook Stable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BBVA Peru</w:t>
      </w:r>
    </w:p>
    <w:p>
      <w:pPr>
        <w:spacing w:after="0" w:line="239"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The stable outlook on Banco BBVA Peru reflects the outlook on Peru, and our expectation that the ratings on the bank will move in tandem with those on the sovereign in the next 12-24 months because of its high exposure to the domestic market. We consider the bank to be a strategically important subsidiary of Banco Bilbao Vizcaya Argentaria S.A., but we don't expect the entity would receive extraordinary support from its parent in case of sovereign distress.</w:t>
      </w:r>
    </w:p>
    <w:p>
      <w:pPr>
        <w:spacing w:after="0" w:line="195" w:lineRule="exact"/>
        <w:rPr>
          <w:sz w:val="20"/>
          <w:szCs w:val="20"/>
          <w:color w:val="auto"/>
        </w:rPr>
      </w:pPr>
    </w:p>
    <w:p>
      <w:pPr>
        <w:ind w:right="560"/>
        <w:spacing w:after="0" w:line="256" w:lineRule="auto"/>
        <w:rPr>
          <w:sz w:val="20"/>
          <w:szCs w:val="20"/>
          <w:color w:val="auto"/>
        </w:rPr>
      </w:pPr>
      <w:r>
        <w:rPr>
          <w:rFonts w:ascii="Arial" w:cs="Arial" w:eastAsia="Arial" w:hAnsi="Arial"/>
          <w:sz w:val="22"/>
          <w:szCs w:val="22"/>
          <w:b w:val="1"/>
          <w:bCs w:val="1"/>
          <w:color w:val="auto"/>
        </w:rPr>
        <w:t xml:space="preserve">Downside scenario. </w:t>
      </w:r>
      <w:r>
        <w:rPr>
          <w:rFonts w:ascii="Arial" w:cs="Arial" w:eastAsia="Arial" w:hAnsi="Arial"/>
          <w:sz w:val="22"/>
          <w:szCs w:val="22"/>
          <w:color w:val="auto"/>
        </w:rPr>
        <w:t>We could take a negative rating action on Banco BBVA Peru if we were to take a similar action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sovereign.</w:t>
      </w:r>
    </w:p>
    <w:p>
      <w:pPr>
        <w:spacing w:after="0" w:line="189" w:lineRule="exact"/>
        <w:rPr>
          <w:sz w:val="20"/>
          <w:szCs w:val="20"/>
          <w:color w:val="auto"/>
        </w:rPr>
      </w:pPr>
    </w:p>
    <w:p>
      <w:pPr>
        <w:ind w:right="880"/>
        <w:spacing w:after="0" w:line="256" w:lineRule="auto"/>
        <w:rPr>
          <w:sz w:val="20"/>
          <w:szCs w:val="20"/>
          <w:color w:val="auto"/>
        </w:rPr>
      </w:pPr>
      <w:r>
        <w:rPr>
          <w:rFonts w:ascii="Arial" w:cs="Arial" w:eastAsia="Arial" w:hAnsi="Arial"/>
          <w:sz w:val="22"/>
          <w:szCs w:val="22"/>
          <w:b w:val="1"/>
          <w:bCs w:val="1"/>
          <w:color w:val="auto"/>
        </w:rPr>
        <w:t xml:space="preserve">Upside scenario. </w:t>
      </w:r>
      <w:r>
        <w:rPr>
          <w:rFonts w:ascii="Arial" w:cs="Arial" w:eastAsia="Arial" w:hAnsi="Arial"/>
          <w:sz w:val="22"/>
          <w:szCs w:val="22"/>
          <w:color w:val="auto"/>
        </w:rPr>
        <w:t>We could take a positive rating action on Banco BBVA Peru if we were to take a similar action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sovereign. But this scenario seems unlikely at this point.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Interbank</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stable outlook on Interbank in the next 24 months reflects our expectation that it will maintain stable credit fundamentals. A potential weakening of Interbank's intrinsic credit quality wouldn't automatically result in a downgrade because of the incorporation of the potential extraordinary support from the sovereign.</w:t>
      </w:r>
    </w:p>
    <w:p>
      <w:pPr>
        <w:spacing w:after="0" w:line="207"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b w:val="1"/>
          <w:bCs w:val="1"/>
          <w:color w:val="auto"/>
        </w:rPr>
        <w:t xml:space="preserve">Downside scenario. </w:t>
      </w:r>
      <w:r>
        <w:rPr>
          <w:rFonts w:ascii="Arial" w:cs="Arial" w:eastAsia="Arial" w:hAnsi="Arial"/>
          <w:sz w:val="22"/>
          <w:szCs w:val="22"/>
          <w:color w:val="auto"/>
        </w:rPr>
        <w:t>We could lower the ratings in the next 24 months following a downgrade of the sovereign, together with a</w:t>
      </w:r>
      <w:r>
        <w:rPr>
          <w:rFonts w:ascii="Arial" w:cs="Arial" w:eastAsia="Arial" w:hAnsi="Arial"/>
          <w:sz w:val="22"/>
          <w:szCs w:val="22"/>
          <w:b w:val="1"/>
          <w:bCs w:val="1"/>
          <w:color w:val="auto"/>
        </w:rPr>
        <w:t xml:space="preserve"> </w:t>
      </w:r>
      <w:r>
        <w:rPr>
          <w:rFonts w:ascii="Arial" w:cs="Arial" w:eastAsia="Arial" w:hAnsi="Arial"/>
          <w:sz w:val="22"/>
          <w:szCs w:val="22"/>
          <w:color w:val="auto"/>
        </w:rPr>
        <w:t>downward revision of Interbank's SACP by one notch. Also, the rating could fall if we were to revise downward the bank's SACP by two notches. However, both scenarios seem less likely at this point.</w:t>
      </w:r>
    </w:p>
    <w:p>
      <w:pPr>
        <w:spacing w:after="0" w:line="204" w:lineRule="exact"/>
        <w:rPr>
          <w:sz w:val="20"/>
          <w:szCs w:val="20"/>
          <w:color w:val="auto"/>
        </w:rPr>
      </w:pPr>
    </w:p>
    <w:p>
      <w:pPr>
        <w:ind w:right="460"/>
        <w:spacing w:after="0" w:line="256" w:lineRule="auto"/>
        <w:rPr>
          <w:sz w:val="20"/>
          <w:szCs w:val="20"/>
          <w:color w:val="auto"/>
        </w:rPr>
      </w:pPr>
      <w:r>
        <w:rPr>
          <w:rFonts w:ascii="Arial" w:cs="Arial" w:eastAsia="Arial" w:hAnsi="Arial"/>
          <w:sz w:val="22"/>
          <w:szCs w:val="22"/>
          <w:b w:val="1"/>
          <w:bCs w:val="1"/>
          <w:color w:val="auto"/>
        </w:rPr>
        <w:t xml:space="preserve">Upside scenario. </w:t>
      </w:r>
      <w:r>
        <w:rPr>
          <w:rFonts w:ascii="Arial" w:cs="Arial" w:eastAsia="Arial" w:hAnsi="Arial"/>
          <w:sz w:val="22"/>
          <w:szCs w:val="22"/>
          <w:color w:val="auto"/>
        </w:rPr>
        <w:t>We could take a positive rating action on the bank if we were to take a similar action on the sovereign or if</w:t>
      </w:r>
      <w:r>
        <w:rPr>
          <w:rFonts w:ascii="Arial" w:cs="Arial" w:eastAsia="Arial" w:hAnsi="Arial"/>
          <w:sz w:val="22"/>
          <w:szCs w:val="22"/>
          <w:b w:val="1"/>
          <w:bCs w:val="1"/>
          <w:color w:val="auto"/>
        </w:rPr>
        <w:t xml:space="preserve"> </w:t>
      </w:r>
      <w:r>
        <w:rPr>
          <w:rFonts w:ascii="Arial" w:cs="Arial" w:eastAsia="Arial" w:hAnsi="Arial"/>
          <w:sz w:val="22"/>
          <w:szCs w:val="22"/>
          <w:color w:val="auto"/>
        </w:rPr>
        <w:t>revise upward the bank's SACP, but these scenarios seem unlikely at this point.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COFIDE</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stable outlook on COFIDE in the next 24 months reflects our view that it will remain the government's important financing tool in its plans to restart the domestic infrastructure sector, while COFIDE continues to be a key intermediary of loans disbursed to small- to mid-size enterprises through the banking system.</w:t>
      </w:r>
    </w:p>
    <w:p>
      <w:pPr>
        <w:spacing w:after="0" w:line="207" w:lineRule="exact"/>
        <w:rPr>
          <w:sz w:val="20"/>
          <w:szCs w:val="20"/>
          <w:color w:val="auto"/>
        </w:rPr>
      </w:pPr>
    </w:p>
    <w:p>
      <w:pPr>
        <w:ind w:right="180"/>
        <w:spacing w:after="0" w:line="243" w:lineRule="auto"/>
        <w:rPr>
          <w:sz w:val="20"/>
          <w:szCs w:val="20"/>
          <w:color w:val="auto"/>
        </w:rPr>
      </w:pPr>
      <w:r>
        <w:rPr>
          <w:rFonts w:ascii="Arial" w:cs="Arial" w:eastAsia="Arial" w:hAnsi="Arial"/>
          <w:sz w:val="22"/>
          <w:szCs w:val="22"/>
          <w:b w:val="1"/>
          <w:bCs w:val="1"/>
          <w:color w:val="auto"/>
        </w:rPr>
        <w:t xml:space="preserve">Downside scenario. </w:t>
      </w:r>
      <w:r>
        <w:rPr>
          <w:rFonts w:ascii="Arial" w:cs="Arial" w:eastAsia="Arial" w:hAnsi="Arial"/>
          <w:sz w:val="22"/>
          <w:szCs w:val="22"/>
          <w:color w:val="auto"/>
        </w:rPr>
        <w:t>We could lower the ratings in the next 24 months following a downgrade of the sovereign, or if we were to</w:t>
      </w:r>
      <w:r>
        <w:rPr>
          <w:rFonts w:ascii="Arial" w:cs="Arial" w:eastAsia="Arial" w:hAnsi="Arial"/>
          <w:sz w:val="22"/>
          <w:szCs w:val="22"/>
          <w:b w:val="1"/>
          <w:bCs w:val="1"/>
          <w:color w:val="auto"/>
        </w:rPr>
        <w:t xml:space="preserve"> </w:t>
      </w:r>
      <w:r>
        <w:rPr>
          <w:rFonts w:ascii="Arial" w:cs="Arial" w:eastAsia="Arial" w:hAnsi="Arial"/>
          <w:sz w:val="22"/>
          <w:szCs w:val="22"/>
          <w:color w:val="auto"/>
        </w:rPr>
        <w:t>revise downward COFIDE's SACP by two notches to 'b+'. This could occur following deterioration of COFIDE's asset quality that would dent capitalization metrics as well.</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Upside scenario. </w:t>
      </w:r>
      <w:r>
        <w:rPr>
          <w:rFonts w:ascii="Arial" w:cs="Arial" w:eastAsia="Arial" w:hAnsi="Arial"/>
          <w:sz w:val="22"/>
          <w:szCs w:val="22"/>
          <w:color w:val="auto"/>
        </w:rPr>
        <w:t>We could raise the ratings on COFIDE in the next 24 months if we were to upgrade the sovereign while the</w:t>
      </w:r>
      <w:r>
        <w:rPr>
          <w:rFonts w:ascii="Arial" w:cs="Arial" w:eastAsia="Arial" w:hAnsi="Arial"/>
          <w:sz w:val="22"/>
          <w:szCs w:val="22"/>
          <w:b w:val="1"/>
          <w:bCs w:val="1"/>
          <w:color w:val="auto"/>
        </w:rPr>
        <w:t xml:space="preserve"> </w:t>
      </w:r>
      <w:r>
        <w:rPr>
          <w:rFonts w:ascii="Arial" w:cs="Arial" w:eastAsia="Arial" w:hAnsi="Arial"/>
          <w:sz w:val="22"/>
          <w:szCs w:val="22"/>
          <w:color w:val="auto"/>
        </w:rPr>
        <w:t>bank's all rating fundamentals remain unchanged. But this scenario seems unlikely at this point.</w:t>
      </w:r>
    </w:p>
    <w:p>
      <w:pPr>
        <w:spacing w:after="0" w:line="370" w:lineRule="exact"/>
        <w:rPr>
          <w:sz w:val="20"/>
          <w:szCs w:val="20"/>
          <w:color w:val="auto"/>
        </w:rPr>
      </w:pPr>
    </w:p>
    <w:p>
      <w:pPr>
        <w:spacing w:after="0"/>
        <w:tabs>
          <w:tab w:leader="none" w:pos="10160" w:val="left"/>
        </w:tabs>
        <w:rPr>
          <w:sz w:val="20"/>
          <w:szCs w:val="20"/>
          <w:color w:val="auto"/>
        </w:rPr>
      </w:pPr>
      <w:r>
        <w:rPr>
          <w:rFonts w:ascii="Arial" w:cs="Arial" w:eastAsia="Arial" w:hAnsi="Arial"/>
          <w:sz w:val="13"/>
          <w:szCs w:val="13"/>
          <w:b w:val="1"/>
          <w:bCs w:val="1"/>
          <w:color w:val="auto"/>
        </w:rPr>
        <w:t>www.spglobal.com/ratingsdirect</w:t>
      </w:r>
      <w:r>
        <w:rPr>
          <w:sz w:val="20"/>
          <w:szCs w:val="20"/>
          <w:color w:val="auto"/>
        </w:rPr>
        <w:tab/>
      </w:r>
      <w:r>
        <w:rPr>
          <w:rFonts w:ascii="Arial" w:cs="Arial" w:eastAsia="Arial" w:hAnsi="Arial"/>
          <w:sz w:val="13"/>
          <w:szCs w:val="13"/>
          <w:b w:val="1"/>
          <w:bCs w:val="1"/>
          <w:color w:val="auto"/>
        </w:rPr>
        <w:t>March 21, 2022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Seven Peruvian Financial Institutions Downgraded On Same Action On Sovereign, Outlook Stable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FMV</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stable outlook on FMV reflects that on the sovereign rating on Peru, given our view that FMV will continue to play an important public policy role in reducing Peru's housing deficit. Therefore, the ratings on FMV will likely move in tandem with those on the sovereign.</w:t>
      </w:r>
    </w:p>
    <w:p>
      <w:pPr>
        <w:spacing w:after="0" w:line="207" w:lineRule="exact"/>
        <w:rPr>
          <w:sz w:val="20"/>
          <w:szCs w:val="20"/>
          <w:color w:val="auto"/>
        </w:rPr>
      </w:pPr>
    </w:p>
    <w:p>
      <w:pPr>
        <w:ind w:right="300"/>
        <w:spacing w:after="0" w:line="334" w:lineRule="auto"/>
        <w:rPr>
          <w:sz w:val="20"/>
          <w:szCs w:val="20"/>
          <w:color w:val="auto"/>
        </w:rPr>
      </w:pPr>
      <w:r>
        <w:rPr>
          <w:rFonts w:ascii="Arial" w:cs="Arial" w:eastAsia="Arial" w:hAnsi="Arial"/>
          <w:sz w:val="19"/>
          <w:szCs w:val="19"/>
          <w:b w:val="1"/>
          <w:bCs w:val="1"/>
          <w:color w:val="auto"/>
        </w:rPr>
        <w:t xml:space="preserve">Downside scenario. </w:t>
      </w:r>
      <w:r>
        <w:rPr>
          <w:rFonts w:ascii="Arial" w:cs="Arial" w:eastAsia="Arial" w:hAnsi="Arial"/>
          <w:sz w:val="19"/>
          <w:szCs w:val="19"/>
          <w:color w:val="auto"/>
        </w:rPr>
        <w:t>We could lower the ratings in the next 24 months following a downgrade of the sovereign, or if we revise</w:t>
      </w:r>
      <w:r>
        <w:rPr>
          <w:rFonts w:ascii="Arial" w:cs="Arial" w:eastAsia="Arial" w:hAnsi="Arial"/>
          <w:sz w:val="19"/>
          <w:szCs w:val="19"/>
          <w:b w:val="1"/>
          <w:bCs w:val="1"/>
          <w:color w:val="auto"/>
        </w:rPr>
        <w:t xml:space="preserve"> </w:t>
      </w:r>
      <w:r>
        <w:rPr>
          <w:rFonts w:ascii="Arial" w:cs="Arial" w:eastAsia="Arial" w:hAnsi="Arial"/>
          <w:sz w:val="19"/>
          <w:szCs w:val="19"/>
          <w:color w:val="auto"/>
        </w:rPr>
        <w:t>downward FMV's SACP by three notches to 'bb'. However, a significant weakening of its credit profile is currently unlikely.</w:t>
      </w:r>
    </w:p>
    <w:p>
      <w:pPr>
        <w:spacing w:after="0" w:line="121" w:lineRule="exact"/>
        <w:rPr>
          <w:sz w:val="20"/>
          <w:szCs w:val="20"/>
          <w:color w:val="auto"/>
        </w:rPr>
      </w:pPr>
    </w:p>
    <w:p>
      <w:pPr>
        <w:ind w:right="620"/>
        <w:spacing w:after="0" w:line="256" w:lineRule="auto"/>
        <w:rPr>
          <w:sz w:val="20"/>
          <w:szCs w:val="20"/>
          <w:color w:val="auto"/>
        </w:rPr>
      </w:pPr>
      <w:r>
        <w:rPr>
          <w:rFonts w:ascii="Arial" w:cs="Arial" w:eastAsia="Arial" w:hAnsi="Arial"/>
          <w:sz w:val="22"/>
          <w:szCs w:val="22"/>
          <w:b w:val="1"/>
          <w:bCs w:val="1"/>
          <w:color w:val="auto"/>
        </w:rPr>
        <w:t xml:space="preserve">Upside scenario. </w:t>
      </w:r>
      <w:r>
        <w:rPr>
          <w:rFonts w:ascii="Arial" w:cs="Arial" w:eastAsia="Arial" w:hAnsi="Arial"/>
          <w:sz w:val="22"/>
          <w:szCs w:val="22"/>
          <w:color w:val="auto"/>
        </w:rPr>
        <w:t>We could raise the ratings on FMV in the next 24 months if we were to upgrade the sovereign, which we</w:t>
      </w:r>
      <w:r>
        <w:rPr>
          <w:rFonts w:ascii="Arial" w:cs="Arial" w:eastAsia="Arial" w:hAnsi="Arial"/>
          <w:sz w:val="22"/>
          <w:szCs w:val="22"/>
          <w:b w:val="1"/>
          <w:bCs w:val="1"/>
          <w:color w:val="auto"/>
        </w:rPr>
        <w:t xml:space="preserve"> </w:t>
      </w:r>
      <w:r>
        <w:rPr>
          <w:rFonts w:ascii="Arial" w:cs="Arial" w:eastAsia="Arial" w:hAnsi="Arial"/>
          <w:sz w:val="22"/>
          <w:szCs w:val="22"/>
          <w:color w:val="auto"/>
        </w:rPr>
        <w:t>believe is unlikely at this point.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w:t>
      </w:r>
    </w:p>
    <w:p>
      <w:pPr>
        <w:spacing w:after="0" w:line="239" w:lineRule="exact"/>
        <w:rPr>
          <w:sz w:val="20"/>
          <w:szCs w:val="20"/>
          <w:color w:val="auto"/>
        </w:rPr>
      </w:pPr>
    </w:p>
    <w:p>
      <w:pPr>
        <w:ind w:right="500"/>
        <w:spacing w:after="0" w:line="236" w:lineRule="auto"/>
        <w:rPr>
          <w:sz w:val="20"/>
          <w:szCs w:val="20"/>
          <w:color w:val="auto"/>
        </w:rPr>
      </w:pPr>
      <w:r>
        <w:rPr>
          <w:rFonts w:ascii="Arial" w:cs="Arial" w:eastAsia="Arial" w:hAnsi="Arial"/>
          <w:sz w:val="22"/>
          <w:szCs w:val="22"/>
          <w:color w:val="auto"/>
        </w:rPr>
        <w:t>The negative outlook on Credicorp reflects the effects of Peru's deteriorating credit fundamentals, along with those of the financial system, could have on the company's asset portfolio, fundamentals, and dividend stream. Despite operations in the region, Credicorp receives a substantial portion of dividends from its Peruvian operations across various financial segments. However, we believe this is tempered by Credicorp's substantial liquid assets that ensures debt service coverage, even in a scenario of low dividends.</w:t>
      </w:r>
    </w:p>
    <w:p>
      <w:pPr>
        <w:spacing w:after="0" w:line="208" w:lineRule="exact"/>
        <w:rPr>
          <w:sz w:val="20"/>
          <w:szCs w:val="20"/>
          <w:color w:val="auto"/>
        </w:rPr>
      </w:pPr>
    </w:p>
    <w:p>
      <w:pPr>
        <w:ind w:right="420"/>
        <w:spacing w:after="0" w:line="256" w:lineRule="auto"/>
        <w:rPr>
          <w:sz w:val="20"/>
          <w:szCs w:val="20"/>
          <w:color w:val="auto"/>
        </w:rPr>
      </w:pPr>
      <w:r>
        <w:rPr>
          <w:rFonts w:ascii="Arial" w:cs="Arial" w:eastAsia="Arial" w:hAnsi="Arial"/>
          <w:sz w:val="22"/>
          <w:szCs w:val="22"/>
          <w:b w:val="1"/>
          <w:bCs w:val="1"/>
          <w:color w:val="auto"/>
        </w:rPr>
        <w:t xml:space="preserve">Upside scenario. </w:t>
      </w:r>
      <w:r>
        <w:rPr>
          <w:rFonts w:ascii="Arial" w:cs="Arial" w:eastAsia="Arial" w:hAnsi="Arial"/>
          <w:sz w:val="22"/>
          <w:szCs w:val="22"/>
          <w:color w:val="auto"/>
        </w:rPr>
        <w:t>We could revise the outlook on Credicorp to stable if we were to revise the banking industry economic risk</w:t>
      </w:r>
      <w:r>
        <w:rPr>
          <w:rFonts w:ascii="Arial" w:cs="Arial" w:eastAsia="Arial" w:hAnsi="Arial"/>
          <w:sz w:val="22"/>
          <w:szCs w:val="22"/>
          <w:b w:val="1"/>
          <w:bCs w:val="1"/>
          <w:color w:val="auto"/>
        </w:rPr>
        <w:t xml:space="preserve"> </w:t>
      </w:r>
      <w:r>
        <w:rPr>
          <w:rFonts w:ascii="Arial" w:cs="Arial" w:eastAsia="Arial" w:hAnsi="Arial"/>
          <w:sz w:val="22"/>
          <w:szCs w:val="22"/>
          <w:color w:val="auto"/>
        </w:rPr>
        <w:t>trend in BICRA to stable, while the entity's credit fundamentals remain unchanged.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IFS</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The negative outlook on IFS reflects the negative trend on the economic risk of Peru's BICRA. We could revise the economic risk score to a weaker category in the next 24 months, putting pressure on IFS's risk-adjusted capital ratio. Consequently, we would revise our assessment of IFS's capital and group credit profile, triggering the downgrade of IFS.</w:t>
      </w:r>
    </w:p>
    <w:p>
      <w:pPr>
        <w:spacing w:after="0" w:line="190" w:lineRule="exact"/>
        <w:rPr>
          <w:sz w:val="20"/>
          <w:szCs w:val="20"/>
          <w:color w:val="auto"/>
        </w:rPr>
      </w:pPr>
    </w:p>
    <w:p>
      <w:pPr>
        <w:spacing w:after="0" w:line="280" w:lineRule="auto"/>
        <w:rPr>
          <w:sz w:val="20"/>
          <w:szCs w:val="20"/>
          <w:color w:val="auto"/>
        </w:rPr>
      </w:pPr>
      <w:r>
        <w:rPr>
          <w:rFonts w:ascii="Arial" w:cs="Arial" w:eastAsia="Arial" w:hAnsi="Arial"/>
          <w:sz w:val="21"/>
          <w:szCs w:val="21"/>
          <w:b w:val="1"/>
          <w:bCs w:val="1"/>
          <w:color w:val="auto"/>
        </w:rPr>
        <w:t xml:space="preserve">Upside scenario. </w:t>
      </w:r>
      <w:r>
        <w:rPr>
          <w:rFonts w:ascii="Arial" w:cs="Arial" w:eastAsia="Arial" w:hAnsi="Arial"/>
          <w:sz w:val="21"/>
          <w:szCs w:val="21"/>
          <w:color w:val="auto"/>
        </w:rPr>
        <w:t>We could revise the outlook on IFS to stable in the next 24 months if we were to revise the negative trend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economic risk in BICRA to stable, while the company's rating fundamentals remain unchanged.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 Factors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ESG factors have no material influence on our credit rating analysis of the financial institutions mentioned above.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Criteria</w:t>
      </w:r>
    </w:p>
    <w:p>
      <w:pPr>
        <w:spacing w:after="0" w:line="24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Criteria: Hybrid Capital: Methodology And Assumptions, March 2, 2022</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Criteria | Financial Institutions | General: Financial Institutions Rating Methodology, Dec. 9, 2021</w:t>
      </w:r>
    </w:p>
    <w:p>
      <w:pPr>
        <w:spacing w:after="0" w:line="200" w:lineRule="exact"/>
        <w:rPr>
          <w:sz w:val="20"/>
          <w:szCs w:val="20"/>
          <w:color w:val="auto"/>
        </w:rPr>
      </w:pPr>
    </w:p>
    <w:p>
      <w:pPr>
        <w:spacing w:after="0" w:line="219" w:lineRule="exact"/>
        <w:rPr>
          <w:sz w:val="20"/>
          <w:szCs w:val="20"/>
          <w:color w:val="auto"/>
        </w:rPr>
      </w:pPr>
    </w:p>
    <w:p>
      <w:pPr>
        <w:spacing w:after="0"/>
        <w:tabs>
          <w:tab w:leader="none" w:pos="10160" w:val="left"/>
        </w:tabs>
        <w:rPr>
          <w:sz w:val="20"/>
          <w:szCs w:val="20"/>
          <w:color w:val="auto"/>
        </w:rPr>
      </w:pPr>
      <w:r>
        <w:rPr>
          <w:rFonts w:ascii="Arial" w:cs="Arial" w:eastAsia="Arial" w:hAnsi="Arial"/>
          <w:sz w:val="13"/>
          <w:szCs w:val="13"/>
          <w:b w:val="1"/>
          <w:bCs w:val="1"/>
          <w:color w:val="auto"/>
        </w:rPr>
        <w:t>www.spglobal.com/ratingsdirect</w:t>
      </w:r>
      <w:r>
        <w:rPr>
          <w:sz w:val="20"/>
          <w:szCs w:val="20"/>
          <w:color w:val="auto"/>
        </w:rPr>
        <w:tab/>
      </w:r>
      <w:r>
        <w:rPr>
          <w:rFonts w:ascii="Arial" w:cs="Arial" w:eastAsia="Arial" w:hAnsi="Arial"/>
          <w:sz w:val="13"/>
          <w:szCs w:val="13"/>
          <w:b w:val="1"/>
          <w:bCs w:val="1"/>
          <w:color w:val="auto"/>
        </w:rPr>
        <w:t>March 21, 2022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Seven Peruvian Financial Institutions Downgraded On Same Action On Sovereign, Outlook Stable</w:t>
      </w:r>
    </w:p>
    <w:p>
      <w:pPr>
        <w:spacing w:after="0" w:line="247"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Criteria | Financial Institutions | Banks: Banking Industry Country Risk Assessment Methodology And Assumptions, Dec. 9, 2021</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Criteria: Environmental, Social, And Governance Principles In Credit Ratings, Oct. 10, 2021</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Criteria: Group Rating Methodology, July 1, 2019</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Criteria | Financial Institutions | General: Risk-Adjusted Capital Framework Methodology, July 20, 2017</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Criteria: Methodology For Linking Long-Term And Short-Term Ratings, April 7, 2017</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Criteria: Rating Government-Related Entities: Methodology And Assumptions, March 25, 2015</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Criteria: Ratings Above The Sovereign--Corporate And Government Ratings: Methodology And Assumptions, Nov. 19, 2013</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Criteria: Principles Of Credit Ratings, Feb. 16, 2011</w:t>
      </w:r>
    </w:p>
    <w:p>
      <w:pPr>
        <w:spacing w:after="0" w:line="252" w:lineRule="exact"/>
        <w:rPr>
          <w:rFonts w:ascii="Arial" w:cs="Arial" w:eastAsia="Arial" w:hAnsi="Arial"/>
          <w:sz w:val="18"/>
          <w:szCs w:val="18"/>
          <w:color w:val="auto"/>
        </w:rPr>
      </w:pPr>
    </w:p>
    <w:p>
      <w:pPr>
        <w:ind w:left="220" w:right="540" w:hanging="212"/>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Criteria | Insurance | General: Refined Methodology And Assumptions For Analyzing Insurer Capital Adequacy Using The Risk-Based Insurance Capital Model, June 7, 2010</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Research</w:t>
      </w:r>
    </w:p>
    <w:p>
      <w:pPr>
        <w:spacing w:after="0" w:line="24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Peru Long-Term Foreign Currency Rating Lowered To 'BBB' On Political Stalemate Limiting Growth Prospects; Outlook Stable, March 18,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Downgraded; CreditWatch/Outlook Action; Ratings Affirmed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To</w:t>
            </w:r>
          </w:p>
        </w:tc>
        <w:tc>
          <w:tcPr>
            <w:tcW w:w="16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From</w:t>
            </w:r>
          </w:p>
        </w:tc>
        <w:tc>
          <w:tcPr>
            <w:tcW w:w="3380" w:type="dxa"/>
            <w:vAlign w:val="bottom"/>
          </w:tcPr>
          <w:p>
            <w:pPr>
              <w:spacing w:after="0"/>
              <w:rPr>
                <w:sz w:val="20"/>
                <w:szCs w:val="20"/>
                <w:color w:val="auto"/>
              </w:rPr>
            </w:pPr>
          </w:p>
        </w:tc>
      </w:tr>
      <w:tr>
        <w:trPr>
          <w:trHeight w:val="223"/>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BBVA Peru</w:t>
            </w:r>
          </w:p>
        </w:tc>
        <w:tc>
          <w:tcPr>
            <w:tcW w:w="1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BBB/Stable/A-2</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BBB+/Negative/A-2</w:t>
            </w: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Unsecured</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BBB</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BBB+</w:t>
            </w: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Subordinated</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BBB-</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BBB</w:t>
            </w: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Downgraded; CreditWatch/Outlook Action; Ratings Affirmed</w:t>
            </w:r>
          </w:p>
        </w:tc>
        <w:tc>
          <w:tcPr>
            <w:tcW w:w="1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From</w:t>
            </w: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Scotiabank Peru S.A.A.</w:t>
            </w:r>
          </w:p>
        </w:tc>
        <w:tc>
          <w:tcPr>
            <w:tcW w:w="1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BBB/Stable/A-2</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BBB+/Negative/A-2</w:t>
            </w: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Downgraded; CreditWatch/Outlook Action; Ratings Affirmed</w:t>
            </w:r>
          </w:p>
        </w:tc>
        <w:tc>
          <w:tcPr>
            <w:tcW w:w="1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From</w:t>
            </w: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Credito del Peru</w:t>
            </w:r>
          </w:p>
        </w:tc>
        <w:tc>
          <w:tcPr>
            <w:tcW w:w="1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BBB/Stable/A-2</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BBB+/Negative/A-2</w:t>
            </w: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Unsecured</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BBB</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BBB+</w:t>
            </w:r>
          </w:p>
        </w:tc>
        <w:tc>
          <w:tcPr>
            <w:tcW w:w="3380" w:type="dxa"/>
            <w:vAlign w:val="bottom"/>
          </w:tcPr>
          <w:p>
            <w:pPr>
              <w:spacing w:after="0"/>
              <w:rPr>
                <w:sz w:val="19"/>
                <w:szCs w:val="19"/>
                <w:color w:val="auto"/>
              </w:rPr>
            </w:pPr>
          </w:p>
        </w:tc>
      </w:tr>
      <w:tr>
        <w:trPr>
          <w:trHeight w:val="22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Subordinated</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BBB-</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BBB</w:t>
            </w:r>
          </w:p>
        </w:tc>
        <w:tc>
          <w:tcPr>
            <w:tcW w:w="3380" w:type="dxa"/>
            <w:vAlign w:val="bottom"/>
          </w:tcPr>
          <w:p>
            <w:pPr>
              <w:spacing w:after="0"/>
              <w:rPr>
                <w:sz w:val="19"/>
                <w:szCs w:val="19"/>
                <w:color w:val="auto"/>
              </w:rPr>
            </w:pPr>
          </w:p>
        </w:tc>
      </w:tr>
      <w:tr>
        <w:trPr>
          <w:trHeight w:val="582"/>
        </w:trPr>
        <w:tc>
          <w:tcPr>
            <w:tcW w:w="4860" w:type="dxa"/>
            <w:vAlign w:val="bottom"/>
          </w:tcPr>
          <w:p>
            <w:pPr>
              <w:spacing w:after="0"/>
              <w:rPr>
                <w:sz w:val="20"/>
                <w:szCs w:val="20"/>
                <w:color w:val="auto"/>
              </w:rPr>
            </w:pPr>
            <w:r>
              <w:rPr>
                <w:rFonts w:ascii="Arial" w:cs="Arial" w:eastAsia="Arial" w:hAnsi="Arial"/>
                <w:sz w:val="14"/>
                <w:szCs w:val="14"/>
                <w:b w:val="1"/>
                <w:bCs w:val="1"/>
                <w:color w:val="auto"/>
              </w:rPr>
              <w:t>www.spglobal.com/ratingsdirect</w:t>
            </w: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80" w:type="dxa"/>
            <w:vAlign w:val="bottom"/>
          </w:tcPr>
          <w:p>
            <w:pPr>
              <w:ind w:left="2320"/>
              <w:spacing w:after="0"/>
              <w:rPr>
                <w:sz w:val="20"/>
                <w:szCs w:val="20"/>
                <w:color w:val="auto"/>
              </w:rPr>
            </w:pPr>
            <w:r>
              <w:rPr>
                <w:rFonts w:ascii="Arial" w:cs="Arial" w:eastAsia="Arial" w:hAnsi="Arial"/>
                <w:sz w:val="14"/>
                <w:szCs w:val="14"/>
                <w:b w:val="1"/>
                <w:bCs w:val="1"/>
                <w:color w:val="auto"/>
                <w:w w:val="93"/>
              </w:rPr>
              <w:t>March 21, 2022 5</w:t>
            </w:r>
          </w:p>
        </w:tc>
      </w:tr>
      <w:tr>
        <w:trPr>
          <w:trHeight w:val="46"/>
        </w:trPr>
        <w:tc>
          <w:tcPr>
            <w:tcW w:w="48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Seven Peruvian Financial Institutions Downgraded On Same Action On Sovereign, Outlook Stable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de Credito del Peru, Panama Branch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Subordinated</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w:t>
            </w:r>
          </w:p>
        </w:tc>
      </w:tr>
      <w:tr>
        <w:trPr>
          <w:trHeight w:val="198"/>
        </w:trPr>
        <w:tc>
          <w:tcPr>
            <w:tcW w:w="4400" w:type="dxa"/>
            <w:vAlign w:val="bottom"/>
          </w:tcPr>
          <w:p>
            <w:pPr>
              <w:spacing w:after="0" w:line="198" w:lineRule="exact"/>
              <w:rPr>
                <w:sz w:val="20"/>
                <w:szCs w:val="20"/>
                <w:color w:val="auto"/>
              </w:rPr>
            </w:pPr>
            <w:r>
              <w:rPr>
                <w:rFonts w:ascii="Arial" w:cs="Arial" w:eastAsia="Arial" w:hAnsi="Arial"/>
                <w:sz w:val="18"/>
                <w:szCs w:val="18"/>
                <w:b w:val="1"/>
                <w:bCs w:val="1"/>
                <w:color w:val="auto"/>
              </w:rPr>
              <w:t>Downgraded; CreditWatch/Outlook Action; Ratings</w:t>
            </w:r>
          </w:p>
        </w:tc>
        <w:tc>
          <w:tcPr>
            <w:tcW w:w="18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Affirmed</w:t>
            </w:r>
          </w:p>
        </w:tc>
        <w:tc>
          <w:tcPr>
            <w:tcW w:w="1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From</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MiBanco, Banco de La Microempresa S.A.</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BBB/Stable/A-2</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BBB+/Negative/A-2</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Downgraded; CreditWatch/Outlook Action</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From</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Internacional del Peru S.A.A - Interbank</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BBB-/Stable/--</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BBB/Negative/--</w:t>
            </w: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Unsecured</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w:t>
            </w: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Subordinated</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w:t>
            </w: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Downgraded; CreditWatch/Outlook Action</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From</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Corporacion Financiera de Desarrollo S.A.</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BBB-/Stable/A-3</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BBB/Negative/A-2</w:t>
            </w: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Unsecured</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w:t>
            </w: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Subordinated</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Downgraded; CreditWatch/Outlook Action</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From</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Fondo Mivivienda S.A.</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BBB/Stable/--</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BBB+/Negative/--</w:t>
            </w: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Unsecured</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Ratings Affirmed</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Credicorp Ltd.</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BBB/Negative/--</w:t>
            </w: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Unsecured</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w:t>
            </w: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Ratings Affirmed</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Intercorp Financial Services Inc.</w:t>
            </w:r>
          </w:p>
        </w:tc>
        <w:tc>
          <w:tcPr>
            <w:tcW w:w="1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6"/>
              </w:rPr>
              <w:t>BBB-/Negative/A-3</w:t>
            </w:r>
          </w:p>
        </w:tc>
        <w:tc>
          <w:tcPr>
            <w:tcW w:w="16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Unsecured</w:t>
            </w: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BBB</w:t>
            </w:r>
          </w:p>
        </w:tc>
        <w:tc>
          <w:tcPr>
            <w:tcW w:w="1620" w:type="dxa"/>
            <w:vAlign w:val="bottom"/>
            <w:tcBorders>
              <w:bottom w:val="single" w:sz="8" w:color="auto"/>
            </w:tcBorders>
          </w:tcPr>
          <w:p>
            <w:pPr>
              <w:spacing w:after="0"/>
              <w:rPr>
                <w:sz w:val="19"/>
                <w:szCs w:val="19"/>
                <w:color w:val="auto"/>
              </w:rPr>
            </w:pPr>
          </w:p>
        </w:tc>
      </w:tr>
    </w:tbl>
    <w:p>
      <w:pPr>
        <w:spacing w:after="0" w:line="195"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Certain terms used in this report, particularly certain adjectives used to express our view on rating relevant factors, have specific meanings ascribed to them in our criteria, and should therefore be read in conjunction with such criteria. Please see Ratings Criteria at www.standardandpoors.com for further information. Complete ratings information is available to subscribers of RatingsDirect at www.capitaliq.com. All ratings affected by this rating action can be found on S&amp;P Global Ratings' public website at www.standardandpoors.com. Use the Ratings search box located in the left column.</w:t>
      </w:r>
    </w:p>
    <w:p>
      <w:pPr>
        <w:spacing w:after="0" w:line="322" w:lineRule="exact"/>
        <w:rPr>
          <w:sz w:val="20"/>
          <w:szCs w:val="20"/>
          <w:color w:val="auto"/>
        </w:rPr>
      </w:pPr>
    </w:p>
    <w:p>
      <w:pPr>
        <w:spacing w:after="0"/>
        <w:tabs>
          <w:tab w:leader="none" w:pos="10160" w:val="left"/>
        </w:tabs>
        <w:rPr>
          <w:sz w:val="20"/>
          <w:szCs w:val="20"/>
          <w:color w:val="auto"/>
        </w:rPr>
      </w:pPr>
      <w:r>
        <w:rPr>
          <w:rFonts w:ascii="Arial" w:cs="Arial" w:eastAsia="Arial" w:hAnsi="Arial"/>
          <w:sz w:val="13"/>
          <w:szCs w:val="13"/>
          <w:b w:val="1"/>
          <w:bCs w:val="1"/>
          <w:color w:val="auto"/>
        </w:rPr>
        <w:t>www.spglobal.com/ratingsdirect</w:t>
      </w:r>
      <w:r>
        <w:rPr>
          <w:sz w:val="20"/>
          <w:szCs w:val="20"/>
          <w:color w:val="auto"/>
        </w:rPr>
        <w:tab/>
      </w:r>
      <w:r>
        <w:rPr>
          <w:rFonts w:ascii="Arial" w:cs="Arial" w:eastAsia="Arial" w:hAnsi="Arial"/>
          <w:sz w:val="13"/>
          <w:szCs w:val="13"/>
          <w:b w:val="1"/>
          <w:bCs w:val="1"/>
          <w:color w:val="auto"/>
        </w:rPr>
        <w:t>March 21, 2022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Seven Peruvian Financial Institutions Downgraded On Same Action On Sovereign, Outlook Stable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Copyright © 2022 by Standard &amp; Poor’s Financial Services LLC. All rights reserved.</w:t>
      </w:r>
    </w:p>
    <w:p>
      <w:pPr>
        <w:spacing w:after="0" w:line="233"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No content (including ratings, credit-related analyses and data, valuations, model, software or other application or output therefrom) or any part thereof (Content) may be modified, reverse engineered, reproduced or distributed in any form by any means, or stored in a database or retrieval system, without the prior written permission of Standard &amp; Poor’s Financial Services LLC or its affiliates (collectively, S&amp;P). The Content shall not be used for any unlawful or unauthorized purposes. S&amp;P and any third-party providers, as well as their directors, officers, shareholders, employees or agents (collectively S&amp;P Parties) do not guarantee the accuracy, completeness, timeliness or availability of the Content. S&amp;P Parties are not responsible for any errors or omissions (negligent or otherwise), regardless of the cause, for the results obtained from the use of the Content, or for the security or maintenance of any data input by the user. The Content is provided on an “as is” basis. S&amp;P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w:t>
      </w:r>
    </w:p>
    <w:p>
      <w:pPr>
        <w:spacing w:after="0" w:line="220"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CONFIGURATION. In no event shall S&amp;P Parties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w:t>
      </w:r>
    </w:p>
    <w:p>
      <w:pPr>
        <w:spacing w:after="0" w:line="215"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Credit-related and other analyses, including ratings, and statements in the Content are statements of opinion as of the date they are expressed and not statements of fact. S&amp;P’s opinions, analyses and rating acknowledgment decisions (described below) are not recommendations to purchase, hold, or sell any securities or to make any investment decisions, and do not address the suitability of any security. S&amp;P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S&amp;P does not act as a fiduciary or an investment advisor except where registered as such. While S&amp;P has obtained information from sources it believes to be reliable, S&amp;P does not perform an audit and undertakes no duty of due diligence or independent verification of any information it receives. Rating-related publications may be published for a variety of reasons that are not necessarily dependent on action by rating committees, including, but not limited to, the publication of a periodic update on a credit rating and related analyses.</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To the extent that regulatory authorities allow a rating agency to acknowledge in one jurisdiction a rating issued in another jurisdiction for certain regulatory purposes, S&amp;P reserves the right to assign, withdraw or suspend such acknowledgment at any time and in its sole discretion. S&amp;P Parties disclaim any duty whatsoever arising out of the assignment, withdrawal or suspension of an acknowledgment as well as any liability for any damage alleged to have been suffered on account thereof.</w:t>
      </w:r>
    </w:p>
    <w:p>
      <w:pPr>
        <w:spacing w:after="0" w:line="170"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S&amp;P keeps certain activities of its business units separate from each other in order to preserve the independence and objectivity of their respective activities. As a result, certain business units of S&amp;P may have information that is not available to other S&amp;P business units. S&amp;P has established policies and procedures to maintain the confidentiality of certain non-public information received in connection with each analytical process.</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S&amp;P may receive compensation for its ratings and certain analyses, normally from issuers or underwriters of securities or from obligors. S&amp;P reserves the right to disseminate its opinions and analyses. S&amp;P's public ratings and analyses are made available on its Web sites, www.standardandpoors.com (free of charge), and www.ratingsdirect.com (subscription), and may be distributed through other means, including via S&amp;P publications and third-party redistributors. Additional information about our ratings fees is available at www.standardandpoors.com/usratingsfees.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STANDARD &amp; POOR’S, S&amp;P and RATINGSDIRECT are registered trademarks of Standard &amp; Poor’s Financial Services LLC.</w:t>
      </w:r>
    </w:p>
    <w:p>
      <w:pPr>
        <w:spacing w:after="0" w:line="200" w:lineRule="exact"/>
        <w:rPr>
          <w:sz w:val="20"/>
          <w:szCs w:val="20"/>
          <w:color w:val="auto"/>
        </w:rPr>
      </w:pPr>
    </w:p>
    <w:p>
      <w:pPr>
        <w:spacing w:after="0" w:line="309" w:lineRule="exact"/>
        <w:rPr>
          <w:sz w:val="20"/>
          <w:szCs w:val="20"/>
          <w:color w:val="auto"/>
        </w:rPr>
      </w:pPr>
    </w:p>
    <w:p>
      <w:pPr>
        <w:spacing w:after="0"/>
        <w:tabs>
          <w:tab w:leader="none" w:pos="10160" w:val="left"/>
        </w:tabs>
        <w:rPr>
          <w:sz w:val="20"/>
          <w:szCs w:val="20"/>
          <w:color w:val="auto"/>
        </w:rPr>
      </w:pPr>
      <w:r>
        <w:rPr>
          <w:rFonts w:ascii="Arial" w:cs="Arial" w:eastAsia="Arial" w:hAnsi="Arial"/>
          <w:sz w:val="13"/>
          <w:szCs w:val="13"/>
          <w:b w:val="1"/>
          <w:bCs w:val="1"/>
          <w:color w:val="auto"/>
        </w:rPr>
        <w:t>www.spglobal.com/ratingsdirect</w:t>
      </w:r>
      <w:r>
        <w:rPr>
          <w:sz w:val="20"/>
          <w:szCs w:val="20"/>
          <w:color w:val="auto"/>
        </w:rPr>
        <w:tab/>
      </w:r>
      <w:r>
        <w:rPr>
          <w:rFonts w:ascii="Arial" w:cs="Arial" w:eastAsia="Arial" w:hAnsi="Arial"/>
          <w:sz w:val="13"/>
          <w:szCs w:val="13"/>
          <w:b w:val="1"/>
          <w:bCs w:val="1"/>
          <w:color w:val="auto"/>
        </w:rPr>
        <w:t>March 21, 2022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2022-03-23T05:15:23Z</dcterms:created>
  <dcterms:modified xsi:type="dcterms:W3CDTF">2022-03-23T05:15:23Z</dcterms:modified>
</cp:coreProperties>
</file>