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February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February 27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Today, February 27th, 2017, we have been given notice that our subsidiary Grupo Crédito S.A. has launched a voluntary purchase offer to acquire up to 1,619,916 shares representing 1.55% of the capital stock of El Pacífico Peruano-Suiza Cía. de Seguros y Reaseguros, at S/10.00 par value each, not currently held by Grupo Crédito S.A. or by any person related to Credicorp. It is worth mentioning that Grupo Crédito S.A. currently owns 36.35% of the capital stock of El Pacífico Peruano-Suiza Cía. de Seguros y Reaseguros.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offer are detailed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Issuer:</w:t>
            </w:r>
          </w:p>
        </w:tc>
        <w:tc>
          <w:tcPr>
            <w:tcW w:w="8940" w:type="dxa"/>
            <w:vAlign w:val="bottom"/>
            <w:tcBorders>
              <w:top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EL PACIFICO – PERUANO SUIZA CIA. DE SEGUROS Y REASEGUROS</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91"/>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Purchaser:</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Grupo Crédito S.A.</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5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Procedure:</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5"/>
              </w:rPr>
              <w:t>The purchase offer (the “Offer”) shall be in the form of a stock exchange operation, through an open purchase order</w:t>
            </w:r>
          </w:p>
        </w:tc>
      </w:tr>
      <w:tr>
        <w:trPr>
          <w:trHeight w:val="20"/>
        </w:trPr>
        <w:tc>
          <w:tcPr>
            <w:tcW w:w="2480" w:type="dxa"/>
            <w:vAlign w:val="bottom"/>
            <w:tcBorders>
              <w:left w:val="single" w:sz="8" w:color="auto"/>
              <w:righ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r>
      <w:tr>
        <w:trPr>
          <w:trHeight w:val="237"/>
        </w:trPr>
        <w:tc>
          <w:tcPr>
            <w:tcW w:w="248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within the Floor Trading centralized mechanism of the Lima Stock Exchange, by continuous trading.</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5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Broker:</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3"/>
              </w:rPr>
              <w:t>Credicorp Capital Sociedad Agente de Bolsa S.A. (“Credicorp Capital Bolsa”), with registered office at Av. El Derby N°</w:t>
            </w:r>
          </w:p>
        </w:tc>
      </w:tr>
      <w:tr>
        <w:trPr>
          <w:trHeight w:val="20"/>
        </w:trPr>
        <w:tc>
          <w:tcPr>
            <w:tcW w:w="2480" w:type="dxa"/>
            <w:vAlign w:val="bottom"/>
            <w:tcBorders>
              <w:left w:val="single" w:sz="8" w:color="auto"/>
              <w:right w:val="single" w:sz="8" w:color="auto"/>
            </w:tcBorders>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r>
      <w:tr>
        <w:trPr>
          <w:trHeight w:val="237"/>
        </w:trPr>
        <w:tc>
          <w:tcPr>
            <w:tcW w:w="248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055, Torre 4, Piso 8, District of Santiago de Surco, Province and Department of Lima, Peru.</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50"/>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Securities to be purchased:</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3"/>
              </w:rPr>
              <w:t>The Offer is made for up to 1,619,916 outstanding shares (the “Shares”) (mnemonic PSUIZAC1) representing 1.55% of</w:t>
            </w:r>
          </w:p>
        </w:tc>
      </w:tr>
      <w:tr>
        <w:trPr>
          <w:trHeight w:val="20"/>
        </w:trPr>
        <w:tc>
          <w:tcPr>
            <w:tcW w:w="2480" w:type="dxa"/>
            <w:vAlign w:val="bottom"/>
            <w:tcBorders>
              <w:left w:val="single" w:sz="8" w:color="auto"/>
              <w:right w:val="single" w:sz="8" w:color="auto"/>
            </w:tcBorders>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40" w:type="dxa"/>
            <w:vAlign w:val="bottom"/>
            <w:tcBorders>
              <w:right w:val="single" w:sz="8" w:color="auto"/>
            </w:tcBorders>
            <w:gridSpan w:val="2"/>
          </w:tcPr>
          <w:p>
            <w:pPr>
              <w:spacing w:after="0" w:line="20" w:lineRule="exact"/>
              <w:rPr>
                <w:sz w:val="1"/>
                <w:szCs w:val="1"/>
                <w:color w:val="auto"/>
              </w:rPr>
            </w:pPr>
          </w:p>
        </w:tc>
      </w:tr>
      <w:tr>
        <w:trPr>
          <w:trHeight w:val="222"/>
        </w:trPr>
        <w:tc>
          <w:tcPr>
            <w:tcW w:w="2480" w:type="dxa"/>
            <w:vAlign w:val="bottom"/>
            <w:tcBorders>
              <w:left w:val="single" w:sz="8" w:color="auto"/>
              <w:right w:val="single" w:sz="8" w:color="auto"/>
            </w:tcBorders>
          </w:tcPr>
          <w:p>
            <w:pPr>
              <w:spacing w:after="0"/>
              <w:rPr>
                <w:sz w:val="19"/>
                <w:szCs w:val="19"/>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1"/>
              </w:rPr>
              <w:t>the capital stock of the Issuer. The Shares are S/10.00 par value each and entered in the Public Registry of the Securities</w:t>
            </w:r>
          </w:p>
        </w:tc>
      </w:tr>
      <w:tr>
        <w:trPr>
          <w:trHeight w:val="230"/>
        </w:trPr>
        <w:tc>
          <w:tcPr>
            <w:tcW w:w="248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Market of the Securities Market Superintendence and listed on the Lima Stock Exchange.</w:t>
            </w:r>
          </w:p>
        </w:tc>
      </w:tr>
      <w:tr>
        <w:trPr>
          <w:trHeight w:val="432"/>
        </w:trPr>
        <w:tc>
          <w:tcPr>
            <w:tcW w:w="24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The effect of the Offer is not subject to the purchase of a minimum number of Shares.</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91"/>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Price:</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The Offer price is S/34.06 per Share. Payment shall be made in cash, upfront and in Soles.</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Term of the Offer:</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3"/>
              </w:rPr>
              <w:t>The term of the Offer is 15 days of Floor Trading as from Tuesday, February 28, 2017. This term may be extended if so</w:t>
            </w:r>
          </w:p>
        </w:tc>
      </w:tr>
      <w:tr>
        <w:trPr>
          <w:trHeight w:val="230"/>
        </w:trPr>
        <w:tc>
          <w:tcPr>
            <w:tcW w:w="248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decided by the Purchaser.</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272"/>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Deadline to enter proposals:</w:t>
            </w: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5"/>
              </w:rPr>
              <w:t>Stock brokerage firms who have obtained purchase orders shall enter the proposals in the Standard Ledger, with the</w:t>
            </w:r>
          </w:p>
        </w:tc>
      </w:tr>
      <w:tr>
        <w:trPr>
          <w:trHeight w:val="220"/>
        </w:trPr>
        <w:tc>
          <w:tcPr>
            <w:tcW w:w="2480" w:type="dxa"/>
            <w:vAlign w:val="bottom"/>
            <w:tcBorders>
              <w:left w:val="single" w:sz="8" w:color="auto"/>
              <w:right w:val="single" w:sz="8" w:color="auto"/>
            </w:tcBorders>
          </w:tcPr>
          <w:p>
            <w:pPr>
              <w:spacing w:after="0"/>
              <w:rPr>
                <w:sz w:val="19"/>
                <w:szCs w:val="19"/>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2"/>
              </w:rPr>
              <w:t xml:space="preserve">mnemonic </w:t>
            </w:r>
            <w:r>
              <w:rPr>
                <w:rFonts w:ascii="Arial" w:cs="Arial" w:eastAsia="Arial" w:hAnsi="Arial"/>
                <w:sz w:val="18"/>
                <w:szCs w:val="18"/>
                <w:b w:val="1"/>
                <w:bCs w:val="1"/>
                <w:color w:val="auto"/>
                <w:w w:val="92"/>
              </w:rPr>
              <w:t>PSUIZAC1</w:t>
            </w:r>
            <w:r>
              <w:rPr>
                <w:rFonts w:ascii="Arial" w:cs="Arial" w:eastAsia="Arial" w:hAnsi="Arial"/>
                <w:sz w:val="18"/>
                <w:szCs w:val="18"/>
                <w:color w:val="auto"/>
                <w:w w:val="92"/>
              </w:rPr>
              <w:t>, at the continuous trading hours for cash operations applicable to the security, from February 28,</w:t>
            </w:r>
          </w:p>
        </w:tc>
      </w:tr>
      <w:tr>
        <w:trPr>
          <w:trHeight w:val="230"/>
        </w:trPr>
        <w:tc>
          <w:tcPr>
            <w:tcW w:w="2480" w:type="dxa"/>
            <w:vAlign w:val="bottom"/>
            <w:tcBorders>
              <w:left w:val="single" w:sz="8" w:color="auto"/>
              <w:right w:val="single" w:sz="8" w:color="auto"/>
            </w:tcBorders>
          </w:tcPr>
          <w:p>
            <w:pPr>
              <w:spacing w:after="0"/>
              <w:rPr>
                <w:sz w:val="20"/>
                <w:szCs w:val="20"/>
                <w:color w:val="auto"/>
              </w:rPr>
            </w:pPr>
          </w:p>
        </w:tc>
        <w:tc>
          <w:tcPr>
            <w:tcW w:w="894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2017 to March 30, 2017, unless the Offer is extended.</w:t>
            </w:r>
          </w:p>
        </w:tc>
      </w:tr>
      <w:tr>
        <w:trPr>
          <w:trHeight w:val="81"/>
        </w:trPr>
        <w:tc>
          <w:tcPr>
            <w:tcW w:w="248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480"/>
        </w:trPr>
        <w:tc>
          <w:tcPr>
            <w:tcW w:w="2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4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Settlement of</w:t>
            </w:r>
          </w:p>
        </w:tc>
        <w:tc>
          <w:tcPr>
            <w:tcW w:w="9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Settlement shall be made at the T+3 as from completion of the operations arising from the Offer, in Soles, through Cavali S.A. ICLV,</w:t>
            </w:r>
          </w:p>
        </w:tc>
      </w:tr>
      <w:tr>
        <w:trPr>
          <w:trHeight w:val="234"/>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the Offer:</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 the usual settlement mechanism for cash operations in continuous trading at the secondary stock market.</w:t>
            </w:r>
          </w:p>
        </w:tc>
      </w:tr>
      <w:tr>
        <w:trPr>
          <w:trHeight w:val="81"/>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9980" w:type="dxa"/>
            <w:vAlign w:val="bottom"/>
            <w:tcBorders>
              <w:bottom w:val="single" w:sz="8" w:color="auto"/>
              <w:right w:val="single" w:sz="8" w:color="auto"/>
            </w:tcBorders>
          </w:tcPr>
          <w:p>
            <w:pPr>
              <w:spacing w:after="0"/>
              <w:rPr>
                <w:sz w:val="7"/>
                <w:szCs w:val="7"/>
                <w:color w:val="auto"/>
              </w:rPr>
            </w:pPr>
          </w:p>
        </w:tc>
      </w:tr>
      <w:tr>
        <w:trPr>
          <w:trHeight w:val="272"/>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Place and</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Within the term of the Offer, holders of Shares wishing to participate in Offer shall issue a sale order to the stock brokerage firm with</w:t>
            </w:r>
          </w:p>
        </w:tc>
      </w:tr>
      <w:tr>
        <w:trPr>
          <w:trHeight w:val="216"/>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procedure of</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whom they work.</w:t>
            </w:r>
          </w:p>
        </w:tc>
      </w:tr>
      <w:tr>
        <w:trPr>
          <w:trHeight w:val="216"/>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acceptance of</w:t>
            </w:r>
          </w:p>
        </w:tc>
        <w:tc>
          <w:tcPr>
            <w:tcW w:w="9980" w:type="dxa"/>
            <w:vAlign w:val="bottom"/>
            <w:tcBorders>
              <w:right w:val="single" w:sz="8" w:color="auto"/>
            </w:tcBorders>
          </w:tcPr>
          <w:p>
            <w:pPr>
              <w:spacing w:after="0"/>
              <w:rPr>
                <w:sz w:val="18"/>
                <w:szCs w:val="18"/>
                <w:color w:val="auto"/>
              </w:rPr>
            </w:pPr>
          </w:p>
        </w:tc>
      </w:tr>
      <w:tr>
        <w:trPr>
          <w:trHeight w:val="220"/>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the Offer:</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Placement of a sale proposal by a stock brokerage firm implies full acceptance of the terms and conditions of the Offer as they appear</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this document.</w:t>
            </w:r>
          </w:p>
        </w:tc>
      </w:tr>
      <w:tr>
        <w:trPr>
          <w:trHeight w:val="418"/>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If the Shares are represented by physical certificates, prior to submitting the sale order, the shareholder shall coordinate with its stock</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brokerage firm to proceed to dematerialize the shares within the term of the Offer.</w:t>
            </w:r>
          </w:p>
        </w:tc>
      </w:tr>
      <w:tr>
        <w:trPr>
          <w:trHeight w:val="81"/>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9980" w:type="dxa"/>
            <w:vAlign w:val="bottom"/>
            <w:tcBorders>
              <w:bottom w:val="single" w:sz="8" w:color="auto"/>
              <w:right w:val="single" w:sz="8" w:color="auto"/>
            </w:tcBorders>
          </w:tcPr>
          <w:p>
            <w:pPr>
              <w:spacing w:after="0"/>
              <w:rPr>
                <w:sz w:val="7"/>
                <w:szCs w:val="7"/>
                <w:color w:val="auto"/>
              </w:rPr>
            </w:pPr>
          </w:p>
        </w:tc>
      </w:tr>
      <w:tr>
        <w:trPr>
          <w:trHeight w:val="276"/>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Offer expenses:</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The Purchaser shall bear all costs, expenses and fees which, as purchaser, may arise as a result of the participation of Credicorp Capital</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Bolsa as stock broker for the Offer.</w:t>
            </w:r>
          </w:p>
        </w:tc>
      </w:tr>
      <w:tr>
        <w:trPr>
          <w:trHeight w:val="418"/>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 parties accepting the Offer shall bear and pay at their sole cost and expense all brokerage costs on account of stock broker fees,</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payments to the Securities Market Superintendence, the Lima Stock Exchange, Security Fund, CAVALI S.A. I.C.L.V. and all other</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costs, expenses and taxes due by parties accepting the offer as a result of the floor-traded sale of their shares.</w:t>
            </w:r>
          </w:p>
        </w:tc>
      </w:tr>
      <w:tr>
        <w:trPr>
          <w:trHeight w:val="81"/>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9980" w:type="dxa"/>
            <w:vAlign w:val="bottom"/>
            <w:tcBorders>
              <w:bottom w:val="single" w:sz="8" w:color="auto"/>
              <w:right w:val="single" w:sz="8" w:color="auto"/>
            </w:tcBorders>
          </w:tcPr>
          <w:p>
            <w:pPr>
              <w:spacing w:after="0"/>
              <w:rPr>
                <w:sz w:val="7"/>
                <w:szCs w:val="7"/>
                <w:color w:val="auto"/>
              </w:rPr>
            </w:pPr>
          </w:p>
        </w:tc>
      </w:tr>
      <w:tr>
        <w:trPr>
          <w:trHeight w:val="291"/>
        </w:trPr>
        <w:tc>
          <w:tcPr>
            <w:tcW w:w="1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Tax treatment</w:t>
            </w: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parties accepting the Offer shall assess with their tax advisors the tax effects associated with the sale of the Shares.</w:t>
            </w:r>
          </w:p>
        </w:tc>
      </w:tr>
      <w:tr>
        <w:trPr>
          <w:trHeight w:val="418"/>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As of the date of the Offer, the Shares are not listed in the stock exchange, whereby any capital gains from the sale thereof is subject to</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9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payment of Income Tax, as provided in Law N° 30341 and its Regulations, approved by Supreme Decree N° 382-2015-EF.</w:t>
            </w:r>
          </w:p>
        </w:tc>
      </w:tr>
      <w:tr>
        <w:trPr>
          <w:trHeight w:val="81"/>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9980" w:type="dxa"/>
            <w:vAlign w:val="bottom"/>
            <w:tcBorders>
              <w:bottom w:val="single" w:sz="8" w:color="auto"/>
              <w:right w:val="single" w:sz="8" w:color="auto"/>
            </w:tcBorders>
          </w:tcPr>
          <w:p>
            <w:pPr>
              <w:spacing w:after="0"/>
              <w:rPr>
                <w:sz w:val="7"/>
                <w:szCs w:val="7"/>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2019-12-06T02:54:25Z</dcterms:created>
  <dcterms:modified xsi:type="dcterms:W3CDTF">2019-12-06T02:54:25Z</dcterms:modified>
</cp:coreProperties>
</file>