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Credicorp Ltd</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G2519Y108</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31st May 2014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jc w:val="both"/>
        <w:ind w:left="420" w:right="7779" w:firstLine="9"/>
        <w:spacing w:after="0" w:line="612" w:lineRule="auto"/>
        <w:tabs>
          <w:tab w:leader="none" w:pos="105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jc w:val="both"/>
        <w:ind w:right="283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3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both"/>
        <w:ind w:right="2839"/>
        <w:spacing w:after="0" w:line="292"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4"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G2519Y108</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Baillie Gifford &amp; Co (Scottish partnership)</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w:t>
      </w:r>
    </w:p>
    <w:p>
      <w:pPr>
        <w:spacing w:after="0" w:line="21" w:lineRule="exact"/>
        <w:rPr>
          <w:rFonts w:ascii="Courier New" w:cs="Courier New" w:eastAsia="Courier New" w:hAnsi="Courier New"/>
          <w:sz w:val="16"/>
          <w:szCs w:val="16"/>
          <w:color w:val="auto"/>
        </w:rPr>
      </w:pPr>
    </w:p>
    <w:p>
      <w:pPr>
        <w:ind w:left="320" w:hanging="312"/>
        <w:spacing w:after="0" w:line="238"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SCOTLAND UK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tbl>
      <w:tblPr>
        <w:tblLayout w:type="fixed"/>
        <w:tblInd w:w="0" w:type="dxa"/>
        <w:tblCellMar>
          <w:top w:w="0" w:type="dxa"/>
          <w:left w:w="0" w:type="dxa"/>
          <w:bottom w:w="0" w:type="dxa"/>
          <w:right w:w="0" w:type="dxa"/>
        </w:tblCellMar>
      </w:tblPr>
      <w:tr>
        <w:trPr>
          <w:trHeight w:val="192"/>
        </w:trPr>
        <w:tc>
          <w:tcPr>
            <w:tcW w:w="1580" w:type="dxa"/>
            <w:vAlign w:val="bottom"/>
            <w:gridSpan w:val="2"/>
          </w:tcPr>
          <w:p>
            <w:pPr>
              <w:spacing w:after="0" w:line="192" w:lineRule="exact"/>
              <w:rPr>
                <w:sz w:val="20"/>
                <w:szCs w:val="20"/>
                <w:color w:val="auto"/>
              </w:rPr>
            </w:pPr>
            <w:r>
              <w:rPr>
                <w:rFonts w:ascii="Courier New" w:cs="Courier New" w:eastAsia="Courier New" w:hAnsi="Courier New"/>
                <w:sz w:val="18"/>
                <w:szCs w:val="18"/>
                <w:color w:val="auto"/>
              </w:rPr>
              <w:t>Number of</w:t>
            </w:r>
          </w:p>
        </w:tc>
        <w:tc>
          <w:tcPr>
            <w:tcW w:w="48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5.</w:t>
            </w:r>
          </w:p>
        </w:tc>
        <w:tc>
          <w:tcPr>
            <w:tcW w:w="2420" w:type="dxa"/>
            <w:vAlign w:val="bottom"/>
          </w:tcPr>
          <w:p>
            <w:pPr>
              <w:ind w:left="60"/>
              <w:spacing w:after="0" w:line="192" w:lineRule="exact"/>
              <w:rPr>
                <w:sz w:val="20"/>
                <w:szCs w:val="20"/>
                <w:color w:val="auto"/>
              </w:rPr>
            </w:pPr>
            <w:r>
              <w:rPr>
                <w:rFonts w:ascii="Courier New" w:cs="Courier New" w:eastAsia="Courier New" w:hAnsi="Courier New"/>
                <w:sz w:val="18"/>
                <w:szCs w:val="18"/>
                <w:color w:val="auto"/>
              </w:rPr>
              <w:t>Sole Voting Power</w:t>
            </w:r>
          </w:p>
        </w:tc>
        <w:tc>
          <w:tcPr>
            <w:tcW w:w="3000" w:type="dxa"/>
            <w:vAlign w:val="bottom"/>
          </w:tcPr>
          <w:p>
            <w:pPr>
              <w:ind w:left="380"/>
              <w:spacing w:after="0" w:line="192" w:lineRule="exact"/>
              <w:rPr>
                <w:sz w:val="20"/>
                <w:szCs w:val="20"/>
                <w:color w:val="auto"/>
              </w:rPr>
            </w:pPr>
            <w:r>
              <w:rPr>
                <w:rFonts w:ascii="Courier New" w:cs="Courier New" w:eastAsia="Courier New" w:hAnsi="Courier New"/>
                <w:sz w:val="18"/>
                <w:szCs w:val="18"/>
                <w:color w:val="auto"/>
              </w:rPr>
              <w:t>1840360</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5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Each</w:t>
            </w:r>
          </w:p>
        </w:tc>
        <w:tc>
          <w:tcPr>
            <w:tcW w:w="590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7"/>
              </w:rPr>
              <w:t>______________________________________________________</w:t>
            </w:r>
          </w:p>
        </w:tc>
      </w:tr>
    </w:tbl>
    <w:p>
      <w:pPr>
        <w:sectPr>
          <w:pgSz w:w="11900" w:h="16921" w:orient="portrait"/>
          <w:cols w:equalWidth="0" w:num="1">
            <w:col w:w="10219"/>
          </w:cols>
          <w:pgMar w:left="240" w:top="218" w:right="1440" w:bottom="0" w:gutter="0" w:footer="0" w:header="0"/>
        </w:sectPr>
      </w:pPr>
    </w:p>
    <w:bookmarkStart w:id="1" w:name="page2"/>
    <w:bookmarkEnd w:id="1"/>
    <w:p>
      <w:pPr>
        <w:spacing w:after="0"/>
        <w:tabs>
          <w:tab w:leader="none" w:pos="1780" w:val="left"/>
          <w:tab w:leader="none" w:pos="484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6"/>
          <w:szCs w:val="16"/>
          <w:color w:val="auto"/>
        </w:rPr>
        <w:t>3693679</w:t>
      </w:r>
    </w:p>
    <w:p>
      <w:pPr>
        <w:spacing w:after="0" w:line="29"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Person With:</w:t>
      </w:r>
      <w:r>
        <w:rPr>
          <w:sz w:val="20"/>
          <w:szCs w:val="20"/>
          <w:color w:val="auto"/>
        </w:rPr>
        <w:tab/>
      </w:r>
      <w:r>
        <w:rPr>
          <w:rFonts w:ascii="Courier New" w:cs="Courier New" w:eastAsia="Courier New" w:hAnsi="Courier New"/>
          <w:sz w:val="16"/>
          <w:szCs w:val="16"/>
          <w:color w:val="auto"/>
        </w:rPr>
        <w:t>______________________________________________________</w:t>
      </w:r>
    </w:p>
    <w:p>
      <w:pPr>
        <w:ind w:left="2120" w:hanging="321"/>
        <w:spacing w:after="0" w:line="238" w:lineRule="auto"/>
        <w:tabs>
          <w:tab w:leader="none" w:pos="2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w:t>
      </w:r>
    </w:p>
    <w:p>
      <w:pPr>
        <w:spacing w:after="0" w:line="191" w:lineRule="exact"/>
        <w:rPr>
          <w:rFonts w:ascii="Courier New" w:cs="Courier New" w:eastAsia="Courier New" w:hAnsi="Courier New"/>
          <w:sz w:val="18"/>
          <w:szCs w:val="18"/>
          <w:color w:val="auto"/>
        </w:rPr>
      </w:pPr>
    </w:p>
    <w:p>
      <w:pPr>
        <w:ind w:left="5380" w:right="2739" w:hanging="5372"/>
        <w:spacing w:after="0" w:line="402" w:lineRule="auto"/>
        <w:tabs>
          <w:tab w:leader="none" w:pos="32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3693679 common stock</w:t>
      </w:r>
    </w:p>
    <w:p>
      <w:pPr>
        <w:ind w:left="320" w:right="3039" w:hanging="312"/>
        <w:spacing w:after="0" w:line="347" w:lineRule="auto"/>
        <w:tabs>
          <w:tab w:leader="none" w:pos="42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8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4.63%</w:t>
            </w:r>
          </w:p>
        </w:tc>
      </w:tr>
    </w:tbl>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192" w:lineRule="exact"/>
        <w:rPr>
          <w:sz w:val="20"/>
          <w:szCs w:val="20"/>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2280" w:type="dxa"/>
            <w:vAlign w:val="bottom"/>
            <w:vMerge w:val="restart"/>
          </w:tcPr>
          <w:p>
            <w:pPr>
              <w:ind w:left="1220"/>
              <w:spacing w:after="0"/>
              <w:rPr>
                <w:sz w:val="20"/>
                <w:szCs w:val="20"/>
                <w:color w:val="auto"/>
              </w:rPr>
            </w:pPr>
            <w:r>
              <w:rPr>
                <w:rFonts w:ascii="Courier New" w:cs="Courier New" w:eastAsia="Courier New" w:hAnsi="Courier New"/>
                <w:sz w:val="18"/>
                <w:szCs w:val="18"/>
                <w:color w:val="auto"/>
                <w:w w:val="96"/>
              </w:rPr>
              <w:t>Credicorp.</w:t>
            </w:r>
          </w:p>
        </w:tc>
        <w:tc>
          <w:tcPr>
            <w:tcW w:w="0" w:type="dxa"/>
            <w:vAlign w:val="bottom"/>
          </w:tcPr>
          <w:p>
            <w:pPr>
              <w:spacing w:after="0"/>
              <w:rPr>
                <w:sz w:val="1"/>
                <w:szCs w:val="1"/>
                <w:color w:val="auto"/>
              </w:rPr>
            </w:pPr>
          </w:p>
        </w:tc>
      </w:tr>
      <w:tr>
        <w:trPr>
          <w:trHeight w:val="296"/>
        </w:trPr>
        <w:tc>
          <w:tcPr>
            <w:tcW w:w="3740" w:type="dxa"/>
            <w:vAlign w:val="bottom"/>
          </w:tcPr>
          <w:p>
            <w:pPr>
              <w:ind w:left="640"/>
              <w:spacing w:after="0"/>
              <w:rPr>
                <w:sz w:val="20"/>
                <w:szCs w:val="20"/>
                <w:color w:val="auto"/>
              </w:rPr>
            </w:pPr>
            <w:r>
              <w:rPr>
                <w:rFonts w:ascii="Courier New" w:cs="Courier New" w:eastAsia="Courier New" w:hAnsi="Courier New"/>
                <w:sz w:val="18"/>
                <w:szCs w:val="18"/>
                <w:color w:val="auto"/>
              </w:rPr>
              <w:t>(a) Name of Issuer</w:t>
            </w:r>
          </w:p>
        </w:tc>
        <w:tc>
          <w:tcPr>
            <w:tcW w:w="2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156 Calle Centenario</w:t>
      </w:r>
    </w:p>
    <w:p>
      <w:pPr>
        <w:spacing w:after="0" w:line="29"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La Molina</w:t>
      </w:r>
    </w:p>
    <w:p>
      <w:pPr>
        <w:ind w:left="4960"/>
        <w:spacing w:after="0" w:line="238" w:lineRule="auto"/>
        <w:rPr>
          <w:sz w:val="20"/>
          <w:szCs w:val="20"/>
          <w:color w:val="auto"/>
        </w:rPr>
      </w:pPr>
      <w:r>
        <w:rPr>
          <w:rFonts w:ascii="Courier New" w:cs="Courier New" w:eastAsia="Courier New" w:hAnsi="Courier New"/>
          <w:sz w:val="18"/>
          <w:szCs w:val="18"/>
          <w:color w:val="auto"/>
        </w:rPr>
        <w:t>Lima 12</w:t>
      </w:r>
    </w:p>
    <w:p>
      <w:pPr>
        <w:ind w:left="4960"/>
        <w:spacing w:after="0"/>
        <w:rPr>
          <w:sz w:val="20"/>
          <w:szCs w:val="20"/>
          <w:color w:val="auto"/>
        </w:rPr>
      </w:pPr>
      <w:r>
        <w:rPr>
          <w:rFonts w:ascii="Courier New" w:cs="Courier New" w:eastAsia="Courier New" w:hAnsi="Courier New"/>
          <w:sz w:val="18"/>
          <w:szCs w:val="18"/>
          <w:color w:val="auto"/>
        </w:rPr>
        <w:t>Peru</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2940" w:type="dxa"/>
            <w:vAlign w:val="bottom"/>
            <w:vMerge w:val="restart"/>
          </w:tcPr>
          <w:p>
            <w:pPr>
              <w:ind w:left="840"/>
              <w:spacing w:after="0"/>
              <w:rPr>
                <w:sz w:val="20"/>
                <w:szCs w:val="20"/>
                <w:color w:val="auto"/>
              </w:rPr>
            </w:pPr>
            <w:r>
              <w:rPr>
                <w:rFonts w:ascii="Courier New" w:cs="Courier New" w:eastAsia="Courier New" w:hAnsi="Courier New"/>
                <w:sz w:val="18"/>
                <w:szCs w:val="18"/>
                <w:color w:val="auto"/>
                <w:w w:val="96"/>
              </w:rPr>
              <w:t>Baillie Gifford &amp; Co</w:t>
            </w:r>
          </w:p>
        </w:tc>
        <w:tc>
          <w:tcPr>
            <w:tcW w:w="0" w:type="dxa"/>
            <w:vAlign w:val="bottom"/>
          </w:tcPr>
          <w:p>
            <w:pPr>
              <w:spacing w:after="0"/>
              <w:rPr>
                <w:sz w:val="1"/>
                <w:szCs w:val="1"/>
                <w:color w:val="auto"/>
              </w:rPr>
            </w:pPr>
          </w:p>
        </w:tc>
      </w:tr>
      <w:tr>
        <w:trPr>
          <w:trHeight w:val="296"/>
        </w:trPr>
        <w:tc>
          <w:tcPr>
            <w:tcW w:w="4120" w:type="dxa"/>
            <w:vAlign w:val="bottom"/>
          </w:tcPr>
          <w:p>
            <w:pPr>
              <w:ind w:left="640"/>
              <w:spacing w:after="0"/>
              <w:rPr>
                <w:sz w:val="20"/>
                <w:szCs w:val="20"/>
                <w:color w:val="auto"/>
              </w:rPr>
            </w:pPr>
            <w:r>
              <w:rPr>
                <w:rFonts w:ascii="Courier New" w:cs="Courier New" w:eastAsia="Courier New" w:hAnsi="Courier New"/>
                <w:sz w:val="18"/>
                <w:szCs w:val="18"/>
                <w:color w:val="auto"/>
              </w:rPr>
              <w:t>(a) Name of Person Filing</w:t>
            </w:r>
          </w:p>
        </w:tc>
        <w:tc>
          <w:tcPr>
            <w:tcW w:w="2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 Address of Principal Business Office or, if none, Residence</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Calton Square</w:t>
      </w:r>
    </w:p>
    <w:p>
      <w:pPr>
        <w:spacing w:after="0" w:line="29"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1 Greenside Row</w:t>
      </w:r>
    </w:p>
    <w:p>
      <w:pPr>
        <w:ind w:left="4960"/>
        <w:spacing w:after="0" w:line="238" w:lineRule="auto"/>
        <w:rPr>
          <w:sz w:val="20"/>
          <w:szCs w:val="20"/>
          <w:color w:val="auto"/>
        </w:rPr>
      </w:pPr>
      <w:r>
        <w:rPr>
          <w:rFonts w:ascii="Courier New" w:cs="Courier New" w:eastAsia="Courier New" w:hAnsi="Courier New"/>
          <w:sz w:val="18"/>
          <w:szCs w:val="18"/>
          <w:color w:val="auto"/>
        </w:rPr>
        <w:t>Edinburgh EH1 3AN</w:t>
      </w:r>
    </w:p>
    <w:p>
      <w:pPr>
        <w:ind w:left="4960"/>
        <w:spacing w:after="0"/>
        <w:rPr>
          <w:sz w:val="20"/>
          <w:szCs w:val="20"/>
          <w:color w:val="auto"/>
        </w:rPr>
      </w:pPr>
      <w:r>
        <w:rPr>
          <w:rFonts w:ascii="Courier New" w:cs="Courier New" w:eastAsia="Courier New" w:hAnsi="Courier New"/>
          <w:sz w:val="18"/>
          <w:szCs w:val="18"/>
          <w:color w:val="auto"/>
        </w:rPr>
        <w:t>Scotland</w:t>
      </w:r>
    </w:p>
    <w:p>
      <w:pPr>
        <w:ind w:left="4960"/>
        <w:spacing w:after="0"/>
        <w:rPr>
          <w:sz w:val="20"/>
          <w:szCs w:val="20"/>
          <w:color w:val="auto"/>
        </w:rPr>
      </w:pPr>
      <w:r>
        <w:rPr>
          <w:rFonts w:ascii="Courier New" w:cs="Courier New" w:eastAsia="Courier New" w:hAnsi="Courier New"/>
          <w:sz w:val="18"/>
          <w:szCs w:val="18"/>
          <w:color w:val="auto"/>
        </w:rPr>
        <w:t>UK</w:t>
      </w:r>
    </w:p>
    <w:p>
      <w:pPr>
        <w:sectPr>
          <w:pgSz w:w="11900" w:h="16838" w:orient="portrait"/>
          <w:cols w:equalWidth="0" w:num="1">
            <w:col w:w="10219"/>
          </w:cols>
          <w:pgMar w:left="240" w:top="110" w:right="1440" w:bottom="0" w:gutter="0" w:footer="0" w:header="0"/>
        </w:sectPr>
      </w:pP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 Citizenship</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Scotland UK</w:t>
      </w:r>
    </w:p>
    <w:p>
      <w:pPr>
        <w:spacing w:after="0" w:line="200" w:lineRule="exact"/>
        <w:rPr>
          <w:sz w:val="20"/>
          <w:szCs w:val="20"/>
          <w:color w:val="auto"/>
        </w:rPr>
      </w:pPr>
    </w:p>
    <w:p>
      <w:pPr>
        <w:sectPr>
          <w:pgSz w:w="11900" w:h="16838" w:orient="portrait"/>
          <w:cols w:equalWidth="0" w:num="2">
            <w:col w:w="4240" w:space="720"/>
            <w:col w:w="5259"/>
          </w:cols>
          <w:pgMar w:left="240" w:top="110"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 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0"/>
          <w:szCs w:val="20"/>
          <w:color w:val="auto"/>
        </w:rPr>
      </w:pPr>
    </w:p>
    <w:p>
      <w:pPr>
        <w:sectPr>
          <w:pgSz w:w="11900" w:h="16838" w:orient="portrait"/>
          <w:cols w:equalWidth="0" w:num="2">
            <w:col w:w="4240" w:space="720"/>
            <w:col w:w="5259"/>
          </w:cols>
          <w:pgMar w:left="240" w:top="110"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 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G2519Y108</w:t>
      </w:r>
    </w:p>
    <w:p>
      <w:pPr>
        <w:spacing w:after="0" w:line="200" w:lineRule="exact"/>
        <w:rPr>
          <w:sz w:val="20"/>
          <w:szCs w:val="20"/>
          <w:color w:val="auto"/>
        </w:rPr>
      </w:pPr>
    </w:p>
    <w:p>
      <w:pPr>
        <w:sectPr>
          <w:pgSz w:w="11900" w:h="16838" w:orient="portrait"/>
          <w:cols w:equalWidth="0" w:num="2">
            <w:col w:w="4240" w:space="720"/>
            <w:col w:w="5259"/>
          </w:cols>
          <w:pgMar w:left="240" w:top="110" w:right="1440" w:bottom="0" w:gutter="0" w:footer="0" w:header="0"/>
          <w:type w:val="continuous"/>
        </w:sectPr>
      </w:pPr>
    </w:p>
    <w:p>
      <w:pPr>
        <w:spacing w:after="0" w:line="24" w:lineRule="exact"/>
        <w:rPr>
          <w:sz w:val="20"/>
          <w:szCs w:val="20"/>
          <w:color w:val="auto"/>
        </w:rPr>
      </w:pPr>
    </w:p>
    <w:p>
      <w:pPr>
        <w:ind w:right="3159"/>
        <w:spacing w:after="0" w:line="347" w:lineRule="auto"/>
        <w:rPr>
          <w:sz w:val="20"/>
          <w:szCs w:val="20"/>
          <w:color w:val="auto"/>
        </w:rPr>
      </w:pPr>
      <w:r>
        <w:rPr>
          <w:rFonts w:ascii="Courier New" w:cs="Courier New" w:eastAsia="Courier New" w:hAnsi="Courier New"/>
          <w:sz w:val="18"/>
          <w:szCs w:val="18"/>
          <w:color w:val="auto"/>
        </w:rPr>
        <w:t>Item 3. If this statement is filed pursuant to rule 240.13d-1(b) or 240.13d-2(b) or (c), check whether the person filing is a:</w:t>
      </w:r>
    </w:p>
    <w:p>
      <w:pPr>
        <w:spacing w:after="0" w:line="18" w:lineRule="exact"/>
        <w:rPr>
          <w:sz w:val="20"/>
          <w:szCs w:val="20"/>
          <w:color w:val="auto"/>
        </w:rPr>
      </w:pPr>
    </w:p>
    <w:p>
      <w:pPr>
        <w:ind w:left="640" w:right="3679" w:hanging="632"/>
        <w:spacing w:after="0" w:line="347" w:lineRule="auto"/>
        <w:tabs>
          <w:tab w:leader="none" w:pos="74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Act (15 U.S.C. 78o).</w:t>
      </w:r>
    </w:p>
    <w:p>
      <w:pPr>
        <w:spacing w:after="0" w:line="18"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 as defined in section 3(a)(6) of the Act (15 U.S.C. 78c).</w:t>
      </w:r>
    </w:p>
    <w:p>
      <w:pPr>
        <w:spacing w:after="0" w:line="223" w:lineRule="exact"/>
        <w:rPr>
          <w:rFonts w:ascii="Courier New" w:cs="Courier New" w:eastAsia="Courier New" w:hAnsi="Courier New"/>
          <w:sz w:val="16"/>
          <w:szCs w:val="16"/>
          <w:color w:val="auto"/>
        </w:rPr>
      </w:pPr>
    </w:p>
    <w:p>
      <w:pPr>
        <w:ind w:left="640" w:right="3259" w:hanging="632"/>
        <w:spacing w:after="0" w:line="347" w:lineRule="auto"/>
        <w:tabs>
          <w:tab w:leader="none" w:pos="74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Act (15 U.S.C. 78c).</w:t>
      </w:r>
    </w:p>
    <w:p>
      <w:pPr>
        <w:spacing w:after="0" w:line="18" w:lineRule="exact"/>
        <w:rPr>
          <w:rFonts w:ascii="Courier New" w:cs="Courier New" w:eastAsia="Courier New" w:hAnsi="Courier New"/>
          <w:sz w:val="18"/>
          <w:szCs w:val="18"/>
          <w:color w:val="auto"/>
        </w:rPr>
      </w:pPr>
    </w:p>
    <w:p>
      <w:pPr>
        <w:ind w:left="740" w:right="2839" w:hanging="732"/>
        <w:spacing w:after="0" w:line="347"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1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240.13d-</w:t>
      </w:r>
    </w:p>
    <w:p>
      <w:pPr>
        <w:sectPr>
          <w:pgSz w:w="11900" w:h="16838" w:orient="portrait"/>
          <w:cols w:equalWidth="0" w:num="1">
            <w:col w:w="10219"/>
          </w:cols>
          <w:pgMar w:left="240" w:top="110" w:right="1440" w:bottom="0" w:gutter="0" w:footer="0" w:header="0"/>
          <w:type w:val="continuous"/>
        </w:sectPr>
      </w:pPr>
    </w:p>
    <w:bookmarkStart w:id="2" w:name="page3"/>
    <w:bookmarkEnd w:id="2"/>
    <w:p>
      <w:pPr>
        <w:spacing w:after="0" w:line="6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1(b)(1)(ii)(E)</w:t>
      </w:r>
    </w:p>
    <w:p>
      <w:pPr>
        <w:spacing w:after="0" w:line="201" w:lineRule="exact"/>
        <w:rPr>
          <w:sz w:val="20"/>
          <w:szCs w:val="20"/>
          <w:color w:val="auto"/>
        </w:rPr>
      </w:pPr>
    </w:p>
    <w:p>
      <w:pPr>
        <w:ind w:left="740" w:right="3039" w:hanging="732"/>
        <w:spacing w:after="0" w:line="347"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 or endowment fund in accordance with 240.13d-1(b)(1)(ii)(F)</w:t>
      </w:r>
    </w:p>
    <w:p>
      <w:pPr>
        <w:spacing w:after="0" w:line="18" w:lineRule="exact"/>
        <w:rPr>
          <w:rFonts w:ascii="Courier New" w:cs="Courier New" w:eastAsia="Courier New" w:hAnsi="Courier New"/>
          <w:sz w:val="18"/>
          <w:szCs w:val="18"/>
          <w:color w:val="auto"/>
        </w:rPr>
      </w:pPr>
    </w:p>
    <w:p>
      <w:pPr>
        <w:ind w:left="740" w:right="3039" w:hanging="732"/>
        <w:spacing w:after="0" w:line="347"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240.13d-1(b) (1)(ii)(G)</w:t>
      </w:r>
    </w:p>
    <w:p>
      <w:pPr>
        <w:spacing w:after="0" w:line="18" w:lineRule="exact"/>
        <w:rPr>
          <w:rFonts w:ascii="Courier New" w:cs="Courier New" w:eastAsia="Courier New" w:hAnsi="Courier New"/>
          <w:sz w:val="18"/>
          <w:szCs w:val="18"/>
          <w:color w:val="auto"/>
        </w:rPr>
      </w:pPr>
    </w:p>
    <w:p>
      <w:pPr>
        <w:ind w:left="740" w:right="2739" w:hanging="732"/>
        <w:spacing w:after="0" w:line="347"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18" w:lineRule="exact"/>
        <w:rPr>
          <w:rFonts w:ascii="Courier New" w:cs="Courier New" w:eastAsia="Courier New" w:hAnsi="Courier New"/>
          <w:sz w:val="18"/>
          <w:szCs w:val="18"/>
          <w:color w:val="auto"/>
        </w:rPr>
      </w:pPr>
    </w:p>
    <w:p>
      <w:pPr>
        <w:ind w:left="740" w:right="3259" w:hanging="732"/>
        <w:spacing w:after="0" w:line="292"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66"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rule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right="2519"/>
        <w:spacing w:after="0" w:line="402"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see row (9) on page 2.</w:t>
      </w:r>
    </w:p>
    <w:p>
      <w:pPr>
        <w:spacing w:after="0" w:line="201" w:lineRule="exact"/>
        <w:rPr>
          <w:sz w:val="20"/>
          <w:szCs w:val="20"/>
          <w:color w:val="auto"/>
        </w:rPr>
      </w:pPr>
    </w:p>
    <w:p>
      <w:pPr>
        <w:spacing w:after="0"/>
        <w:tabs>
          <w:tab w:leader="none" w:pos="620" w:val="left"/>
          <w:tab w:leader="none" w:pos="3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see row (11) on page 2.</w:t>
      </w:r>
    </w:p>
    <w:p>
      <w:pPr>
        <w:spacing w:after="0" w:line="201"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31" w:lineRule="exact"/>
        <w:rPr>
          <w:sz w:val="20"/>
          <w:szCs w:val="20"/>
          <w:color w:val="auto"/>
        </w:rPr>
      </w:pPr>
    </w:p>
    <w:p>
      <w:pPr>
        <w:ind w:left="640" w:right="5359" w:hanging="632"/>
        <w:spacing w:after="0" w:line="238"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row (5) on page 2.</w:t>
      </w:r>
    </w:p>
    <w:p>
      <w:pPr>
        <w:ind w:left="640" w:right="5159" w:hanging="632"/>
        <w:spacing w:after="0" w:line="238"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row (6) on page 2</w:t>
      </w:r>
    </w:p>
    <w:p>
      <w:pPr>
        <w:ind w:left="640" w:right="3999" w:hanging="632"/>
        <w:spacing w:after="0" w:line="238"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row (7) on page 2</w:t>
      </w:r>
    </w:p>
    <w:p>
      <w:pPr>
        <w:ind w:left="640" w:right="3779" w:hanging="632"/>
        <w:spacing w:after="0" w:line="309"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row (8) on page 2</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273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24" w:lineRule="exact"/>
        <w:rPr>
          <w:sz w:val="20"/>
          <w:szCs w:val="20"/>
          <w:color w:val="auto"/>
        </w:rPr>
      </w:pPr>
    </w:p>
    <w:p>
      <w:pPr>
        <w:ind w:right="2519"/>
        <w:spacing w:after="0" w:line="256" w:lineRule="auto"/>
        <w:rPr>
          <w:sz w:val="20"/>
          <w:szCs w:val="20"/>
          <w:color w:val="auto"/>
        </w:rPr>
      </w:pPr>
      <w:r>
        <w:rPr>
          <w:rFonts w:ascii="Courier New" w:cs="Courier New" w:eastAsia="Courier New" w:hAnsi="Courier New"/>
          <w:sz w:val="18"/>
          <w:szCs w:val="18"/>
          <w:color w:val="auto"/>
        </w:rPr>
        <w:t>Securities reported on this Schedule 13G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w:t>
      </w:r>
    </w:p>
    <w:p>
      <w:pPr>
        <w:spacing w:after="0" w:line="200" w:lineRule="exact"/>
        <w:rPr>
          <w:sz w:val="20"/>
          <w:szCs w:val="20"/>
          <w:color w:val="auto"/>
        </w:rPr>
      </w:pPr>
    </w:p>
    <w:p>
      <w:pPr>
        <w:spacing w:after="0" w:line="303" w:lineRule="exact"/>
        <w:rPr>
          <w:sz w:val="20"/>
          <w:szCs w:val="20"/>
          <w:color w:val="auto"/>
        </w:rPr>
      </w:pPr>
    </w:p>
    <w:p>
      <w:pPr>
        <w:ind w:right="293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3479"/>
        <w:spacing w:after="0" w:line="347" w:lineRule="auto"/>
        <w:rPr>
          <w:sz w:val="20"/>
          <w:szCs w:val="20"/>
          <w:color w:val="auto"/>
        </w:rPr>
      </w:pPr>
      <w:r>
        <w:rPr>
          <w:rFonts w:ascii="Courier New" w:cs="Courier New" w:eastAsia="Courier New" w:hAnsi="Courier New"/>
          <w:sz w:val="18"/>
          <w:szCs w:val="18"/>
          <w:color w:val="auto"/>
        </w:rPr>
        <w:t>By signing below I certify that, to the best of my knowledge and belief:</w:t>
      </w:r>
    </w:p>
    <w:p>
      <w:pPr>
        <w:sectPr>
          <w:pgSz w:w="11900" w:h="16904" w:orient="portrait"/>
          <w:cols w:equalWidth="0" w:num="1">
            <w:col w:w="10219"/>
          </w:cols>
          <w:pgMar w:left="24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 the securities referred to above were acquired and are held in</w:t>
      </w:r>
    </w:p>
    <w:p>
      <w:pPr>
        <w:spacing w:after="0" w:line="31"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8"/>
          <w:szCs w:val="18"/>
          <w:color w:val="auto"/>
        </w:rPr>
        <w:t>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 w:lineRule="exact"/>
        <w:rPr>
          <w:sz w:val="20"/>
          <w:szCs w:val="20"/>
          <w:color w:val="auto"/>
        </w:rPr>
      </w:pPr>
    </w:p>
    <w:p>
      <w:pPr>
        <w:ind w:right="3039" w:firstLine="8"/>
        <w:spacing w:after="0" w:line="238" w:lineRule="auto"/>
        <w:tabs>
          <w:tab w:leader="none" w:pos="21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foreign regulatory scheme applicable to investment advisers is substantially comparable to the functionally equivalent U.S. institution(s).</w:t>
      </w:r>
    </w:p>
    <w:p>
      <w:pPr>
        <w:spacing w:after="0" w:line="1" w:lineRule="exact"/>
        <w:rPr>
          <w:rFonts w:ascii="Courier New" w:cs="Courier New" w:eastAsia="Courier New" w:hAnsi="Courier New"/>
          <w:sz w:val="18"/>
          <w:szCs w:val="18"/>
          <w:color w:val="auto"/>
        </w:rPr>
      </w:pPr>
    </w:p>
    <w:p>
      <w:pPr>
        <w:ind w:right="347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 also undertake to furnish the Commission staff, upon request, information that would otherwise be disclosed in a Schedule 13D.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839"/>
        <w:spacing w:after="0" w:line="292" w:lineRule="auto"/>
        <w:rPr>
          <w:sz w:val="20"/>
          <w:szCs w:val="20"/>
          <w:color w:val="auto"/>
        </w:rPr>
      </w:pPr>
      <w:r>
        <w:rPr>
          <w:rFonts w:ascii="Courier New" w:cs="Courier New" w:eastAsia="Courier New" w:hAnsi="Courier New"/>
          <w:sz w:val="18"/>
          <w:szCs w:val="18"/>
          <w:color w:val="auto"/>
        </w:rPr>
        <w:t>After reasonable enquiry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Angus Macdonald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w:t>
      </w: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Angus Macdonald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Head of Group Legal - Baillie Gifford &amp; Co</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spacing w:after="0"/>
        <w:rPr>
          <w:sz w:val="20"/>
          <w:szCs w:val="20"/>
          <w:color w:val="auto"/>
        </w:rPr>
      </w:pPr>
      <w:r>
        <w:rPr>
          <w:rFonts w:ascii="Courier New" w:cs="Courier New" w:eastAsia="Courier New" w:hAnsi="Courier New"/>
          <w:sz w:val="18"/>
          <w:szCs w:val="18"/>
          <w:color w:val="auto"/>
        </w:rPr>
        <w:t>Name/Title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original statement shall be signed by each person on</w:t>
      </w:r>
    </w:p>
    <w:p>
      <w:pPr>
        <w:spacing w:after="0" w:line="31" w:lineRule="exact"/>
        <w:rPr>
          <w:sz w:val="20"/>
          <w:szCs w:val="20"/>
          <w:color w:val="auto"/>
        </w:rPr>
      </w:pPr>
    </w:p>
    <w:p>
      <w:pPr>
        <w:ind w:right="2739"/>
        <w:spacing w:after="0" w:line="247" w:lineRule="auto"/>
        <w:rPr>
          <w:sz w:val="20"/>
          <w:szCs w:val="20"/>
          <w:color w:val="auto"/>
        </w:rPr>
      </w:pPr>
      <w:r>
        <w:rPr>
          <w:rFonts w:ascii="Courier New" w:cs="Courier New" w:eastAsia="Courier New" w:hAnsi="Courier New"/>
          <w:sz w:val="18"/>
          <w:szCs w:val="18"/>
          <w:color w:val="auto"/>
        </w:rPr>
        <w:t>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Schedules filed in paper format shall include a signed original</w:t>
      </w:r>
    </w:p>
    <w:p>
      <w:pPr>
        <w:spacing w:after="0" w:line="31" w:lineRule="exact"/>
        <w:rPr>
          <w:sz w:val="20"/>
          <w:szCs w:val="20"/>
          <w:color w:val="auto"/>
        </w:rPr>
      </w:pPr>
    </w:p>
    <w:p>
      <w:pPr>
        <w:ind w:right="2519"/>
        <w:spacing w:after="0" w:line="309" w:lineRule="auto"/>
        <w:rPr>
          <w:sz w:val="20"/>
          <w:szCs w:val="20"/>
          <w:color w:val="auto"/>
        </w:rPr>
      </w:pPr>
      <w:r>
        <w:rPr>
          <w:rFonts w:ascii="Courier New" w:cs="Courier New" w:eastAsia="Courier New" w:hAnsi="Courier New"/>
          <w:sz w:val="18"/>
          <w:szCs w:val="18"/>
          <w:color w:val="auto"/>
        </w:rPr>
        <w:t>and five copies of the schedule,including all exhibits. See rule 240.13d-7 for other parties for whom copies are to be sent.</w:t>
      </w:r>
    </w:p>
    <w:p>
      <w:pPr>
        <w:spacing w:after="0" w:line="51"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1"/>
    </w:lvl>
    <w:lvl w:ilvl="1">
      <w:lvlJc w:val="left"/>
      <w:lvlText w:val="%2."/>
      <w:numFmt w:val="decimal"/>
      <w:start w:val="8"/>
    </w:lvl>
  </w:abstractNum>
  <w:abstractNum w:abstractNumId="3">
    <w:nsid w:val="41B71EFB"/>
    <w:multiLevelType w:val="hybridMultilevel"/>
    <w:lvl w:ilvl="0">
      <w:lvlJc w:val="left"/>
      <w:lvlText w:val="%1."/>
      <w:numFmt w:val="decimal"/>
      <w:start w:val="9"/>
    </w:lvl>
    <w:lvl w:ilvl="1">
      <w:lvlJc w:val="left"/>
      <w:lvlText w:val="%2"/>
      <w:numFmt w:val="decimal"/>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6"/>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2019-12-06T13:57:37Z</dcterms:created>
  <dcterms:modified xsi:type="dcterms:W3CDTF">2019-12-06T13:57:37Z</dcterms:modified>
</cp:coreProperties>
</file>