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CREDICORP LTD.</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our subsidiary</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Banco de Credito del Peru:</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Calle Centenario 156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 Molina 15026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Lima, Peru </w:t>
      </w: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231775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326390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463550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02"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185670" cy="274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185670" cy="274320"/>
                    </a:xfrm>
                    <a:prstGeom prst="rect">
                      <a:avLst/>
                    </a:prstGeom>
                    <a:noFill/>
                  </pic:spPr>
                </pic:pic>
              </a:graphicData>
            </a:graphic>
          </wp:anchor>
        </w:drawing>
        <w:t>May 13,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 SEC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MATERIAL EVENT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hereby notify you as a Material Event that the Board of Directors of Credicorp Ltd. (‘Credicorp’), in its session held today, May 13, 2026, has resolved:</w:t>
      </w:r>
    </w:p>
    <w:p>
      <w:pPr>
        <w:spacing w:after="0" w:line="225" w:lineRule="exact"/>
        <w:rPr>
          <w:sz w:val="20"/>
          <w:szCs w:val="20"/>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accept the resignation to the position of Head of Microfinance of Credicorp submitted by Mr. Javier Ichazo Bardales, who will remain in office until September 30, 2026.</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Mr. Alejandro Pérez-Reyes Zarak to take over Mr. Ichazo’s position as Head of Microfinance of Credicorp. It should be noted that, effective October 1, 2026, Mr. Pérez-Reyes will also serve as Chief Executive Officer of Mibanco, Banco de la Microempresa (“Mibanco”), as approved today by Mibanco’s Board of Directors and announced to the market through a Material Event notice.</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accept the resignation to the position of Chief Financial Officer (CFO) of Credicorp submitted by Mr. Alejandro Pérez-Reyes Zarak, who will remain in office until September 30, 2026.</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Mr. Ignacio Belaunde Zuzunaga to take over Mr. Pérez-Reyes’ position as CFO.</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accept the resignation to the position of Chief Corporate Audit Officer of Credicorp submitted by Mr. Jose Esposito Li Carrillo, who will remain in office until the end of April 2027, at which time he will retire.</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Mrs. Rosa Cigüeñas Espinel to take over Mr. Esposito’s position as Chief Corporate Audit Officer.</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changes set forth in sections 2 and 4 will become effective as of October 1, 2026, and the change set forth in section 6 will become effective as of May 1, 2027.</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Guillermo Morales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May 13, 2026</w:t>
      </w:r>
    </w:p>
    <w:p>
      <w:pPr>
        <w:spacing w:after="0" w:line="2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60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Guillermo Morales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17145</wp:posOffset>
            </wp:positionV>
            <wp:extent cx="21513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51380" cy="17145"/>
                    </a:xfrm>
                    <a:prstGeom prst="rect">
                      <a:avLst/>
                    </a:prstGeom>
                    <a:noFill/>
                  </pic:spPr>
                </pic:pic>
              </a:graphicData>
            </a:graphic>
          </wp:anchor>
        </w:drawing>
      </w:r>
    </w:p>
    <w:p>
      <w:pPr>
        <w:spacing w:after="0" w:line="12"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Guillermo Morales</w:t>
      </w:r>
    </w:p>
    <w:p>
      <w:pPr>
        <w:spacing w:after="0" w:line="3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820"/>
      </w:cols>
      <w:pgMar w:left="320" w:top="117"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2026-05-13T15:23:19Z</dcterms:created>
  <dcterms:modified xsi:type="dcterms:W3CDTF">2026-05-13T15:23:19Z</dcterms:modified>
</cp:coreProperties>
</file>