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CREDICORP LTD.</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9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w w:val="99"/>
              </w:rPr>
              <w:t>CUSIP NO. G2519Y108</w:t>
            </w:r>
          </w:p>
        </w:tc>
        <w:tc>
          <w:tcPr>
            <w:tcW w:w="100" w:type="dxa"/>
            <w:vAlign w:val="bottom"/>
          </w:tcPr>
          <w:p>
            <w:pPr>
              <w:spacing w:after="0"/>
              <w:rPr>
                <w:sz w:val="20"/>
                <w:szCs w:val="20"/>
                <w:color w:val="auto"/>
              </w:rPr>
            </w:pPr>
          </w:p>
        </w:tc>
        <w:tc>
          <w:tcPr>
            <w:tcW w:w="66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13G</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6"/>
              </w:rPr>
              <w:t>PAGE 2 OF 4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right w:val="single" w:sz="8" w:color="auto"/>
            </w:tcBorders>
          </w:tcPr>
          <w:p>
            <w:pPr>
              <w:spacing w:after="0"/>
              <w:rPr>
                <w:sz w:val="16"/>
                <w:szCs w:val="16"/>
                <w:color w:val="auto"/>
              </w:rPr>
            </w:pPr>
          </w:p>
        </w:tc>
        <w:tc>
          <w:tcPr>
            <w:tcW w:w="8220" w:type="dxa"/>
            <w:vAlign w:val="bottom"/>
            <w:gridSpan w:val="5"/>
          </w:tcPr>
          <w:p>
            <w:pPr>
              <w:ind w:left="8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2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Dodge &amp; Cox</w:t>
            </w:r>
          </w:p>
        </w:tc>
        <w:tc>
          <w:tcPr>
            <w:tcW w:w="6720" w:type="dxa"/>
            <w:vAlign w:val="bottom"/>
            <w:tcBorders>
              <w:bottom w:val="single" w:sz="8" w:color="auto"/>
            </w:tcBorders>
            <w:gridSpan w:val="2"/>
          </w:tcPr>
          <w:p>
            <w:pPr>
              <w:jc w:val="right"/>
              <w:ind w:right="5582"/>
              <w:spacing w:after="0"/>
              <w:rPr>
                <w:sz w:val="20"/>
                <w:szCs w:val="20"/>
                <w:color w:val="auto"/>
              </w:rPr>
            </w:pPr>
            <w:r>
              <w:rPr>
                <w:rFonts w:ascii="Times New Roman" w:cs="Times New Roman" w:eastAsia="Times New Roman" w:hAnsi="Times New Roman"/>
                <w:sz w:val="22"/>
                <w:szCs w:val="22"/>
                <w:color w:val="auto"/>
                <w:w w:val="95"/>
              </w:rPr>
              <w:t>94-1441976</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8220" w:type="dxa"/>
            <w:vAlign w:val="bottom"/>
            <w:gridSpan w:val="5"/>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60" w:type="dxa"/>
            <w:vAlign w:val="bottom"/>
            <w:gridSpan w:val="2"/>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10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California - U.S.A.</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19"/>
                <w:szCs w:val="19"/>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58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4,960,862</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580" w:type="dxa"/>
            <w:vAlign w:val="bottom"/>
            <w:tcBorders>
              <w:left w:val="single" w:sz="8" w:color="auto"/>
              <w:right w:val="single" w:sz="8" w:color="auto"/>
            </w:tcBorders>
            <w:gridSpan w:val="4"/>
            <w:vMerge w:val="continue"/>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3"/>
                <w:szCs w:val="3"/>
                <w:color w:val="auto"/>
              </w:rPr>
            </w:pPr>
          </w:p>
        </w:tc>
        <w:tc>
          <w:tcPr>
            <w:tcW w:w="6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6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right w:val="single" w:sz="8" w:color="auto"/>
            </w:tcBorders>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620" w:type="dxa"/>
            <w:vAlign w:val="bottom"/>
            <w:vMerge w:val="continue"/>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620" w:type="dxa"/>
            <w:vAlign w:val="bottom"/>
          </w:tcPr>
          <w:p>
            <w:pPr>
              <w:spacing w:after="0"/>
              <w:rPr>
                <w:sz w:val="3"/>
                <w:szCs w:val="3"/>
                <w:color w:val="auto"/>
              </w:rPr>
            </w:pPr>
          </w:p>
        </w:tc>
        <w:tc>
          <w:tcPr>
            <w:tcW w:w="26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spacing w:after="0"/>
              <w:rPr>
                <w:sz w:val="15"/>
                <w:szCs w:val="15"/>
                <w:color w:val="auto"/>
              </w:rPr>
            </w:pP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6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62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5,104,662</w:t>
            </w:r>
          </w:p>
        </w:tc>
        <w:tc>
          <w:tcPr>
            <w:tcW w:w="2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620" w:type="dxa"/>
            <w:vAlign w:val="bottom"/>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5,104,662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6.4%</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270" w:right="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7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CREDICORP LTD.</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326"/>
        </w:trPr>
        <w:tc>
          <w:tcPr>
            <w:tcW w:w="1000" w:type="dxa"/>
            <w:vAlign w:val="bottom"/>
          </w:tcPr>
          <w:p>
            <w:pPr>
              <w:spacing w:after="0"/>
              <w:rPr>
                <w:sz w:val="24"/>
                <w:szCs w:val="24"/>
                <w:color w:val="auto"/>
              </w:rPr>
            </w:pPr>
          </w:p>
        </w:tc>
        <w:tc>
          <w:tcPr>
            <w:tcW w:w="34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Calle Centenario 156</w:t>
            </w:r>
          </w:p>
        </w:tc>
        <w:tc>
          <w:tcPr>
            <w:tcW w:w="4240" w:type="dxa"/>
            <w:vAlign w:val="bottom"/>
            <w:gridSpan w:val="3"/>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7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La Molina</w:t>
            </w:r>
          </w:p>
        </w:tc>
      </w:tr>
      <w:tr>
        <w:trPr>
          <w:trHeight w:val="234"/>
        </w:trPr>
        <w:tc>
          <w:tcPr>
            <w:tcW w:w="1000" w:type="dxa"/>
            <w:vAlign w:val="bottom"/>
          </w:tcPr>
          <w:p>
            <w:pPr>
              <w:spacing w:after="0"/>
              <w:rPr>
                <w:sz w:val="20"/>
                <w:szCs w:val="20"/>
                <w:color w:val="auto"/>
              </w:rPr>
            </w:pPr>
          </w:p>
        </w:tc>
        <w:tc>
          <w:tcPr>
            <w:tcW w:w="7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Lima 12, Peru</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345"/>
        </w:trPr>
        <w:tc>
          <w:tcPr>
            <w:tcW w:w="1000" w:type="dxa"/>
            <w:vAlign w:val="bottom"/>
          </w:tcPr>
          <w:p>
            <w:pPr>
              <w:spacing w:after="0"/>
              <w:rPr>
                <w:sz w:val="24"/>
                <w:szCs w:val="24"/>
                <w:color w:val="auto"/>
              </w:rPr>
            </w:pPr>
          </w:p>
        </w:tc>
        <w:tc>
          <w:tcPr>
            <w:tcW w:w="16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Dodge &amp; Cox</w:t>
            </w:r>
          </w:p>
        </w:tc>
        <w:tc>
          <w:tcPr>
            <w:tcW w:w="6020" w:type="dxa"/>
            <w:vAlign w:val="bottom"/>
            <w:gridSpan w:val="5"/>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the Principal Office or, if none, Residence:</w:t>
            </w:r>
          </w:p>
        </w:tc>
      </w:tr>
      <w:tr>
        <w:trPr>
          <w:trHeight w:val="326"/>
        </w:trPr>
        <w:tc>
          <w:tcPr>
            <w:tcW w:w="1000" w:type="dxa"/>
            <w:vAlign w:val="bottom"/>
          </w:tcPr>
          <w:p>
            <w:pPr>
              <w:spacing w:after="0"/>
              <w:rPr>
                <w:sz w:val="24"/>
                <w:szCs w:val="24"/>
                <w:color w:val="auto"/>
              </w:rPr>
            </w:pPr>
          </w:p>
        </w:tc>
        <w:tc>
          <w:tcPr>
            <w:tcW w:w="38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555 California Street, 40th Floor</w:t>
            </w:r>
          </w:p>
        </w:tc>
        <w:tc>
          <w:tcPr>
            <w:tcW w:w="3800" w:type="dxa"/>
            <w:vAlign w:val="bottom"/>
            <w:gridSpan w:val="2"/>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7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7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California - U.S.A.</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345"/>
        </w:trPr>
        <w:tc>
          <w:tcPr>
            <w:tcW w:w="1000" w:type="dxa"/>
            <w:vAlign w:val="bottom"/>
          </w:tcPr>
          <w:p>
            <w:pPr>
              <w:spacing w:after="0"/>
              <w:rPr>
                <w:sz w:val="24"/>
                <w:szCs w:val="24"/>
                <w:color w:val="auto"/>
              </w:rPr>
            </w:pPr>
          </w:p>
        </w:tc>
        <w:tc>
          <w:tcPr>
            <w:tcW w:w="19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5740" w:type="dxa"/>
            <w:vAlign w:val="bottom"/>
            <w:gridSpan w:val="4"/>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344"/>
        </w:trPr>
        <w:tc>
          <w:tcPr>
            <w:tcW w:w="1000" w:type="dxa"/>
            <w:vAlign w:val="bottom"/>
          </w:tcPr>
          <w:p>
            <w:pPr>
              <w:spacing w:after="0"/>
              <w:rPr>
                <w:sz w:val="24"/>
                <w:szCs w:val="24"/>
                <w:color w:val="auto"/>
              </w:rPr>
            </w:pPr>
          </w:p>
        </w:tc>
        <w:tc>
          <w:tcPr>
            <w:tcW w:w="1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G2519Y108</w:t>
            </w:r>
          </w:p>
        </w:tc>
        <w:tc>
          <w:tcPr>
            <w:tcW w:w="6500" w:type="dxa"/>
            <w:vAlign w:val="bottom"/>
            <w:gridSpan w:val="6"/>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If the Statement is being filed pursuant to Rule 13d-1(b), or 13d-2(b), check whether the person filing is a:</w:t>
            </w:r>
          </w:p>
        </w:tc>
      </w:tr>
      <w:tr>
        <w:trPr>
          <w:trHeight w:val="365"/>
        </w:trPr>
        <w:tc>
          <w:tcPr>
            <w:tcW w:w="1000" w:type="dxa"/>
            <w:vAlign w:val="bottom"/>
          </w:tcPr>
          <w:p>
            <w:pPr>
              <w:spacing w:after="0"/>
              <w:rPr>
                <w:sz w:val="24"/>
                <w:szCs w:val="24"/>
                <w:color w:val="auto"/>
              </w:rPr>
            </w:pPr>
          </w:p>
        </w:tc>
        <w:tc>
          <w:tcPr>
            <w:tcW w:w="7620" w:type="dxa"/>
            <w:vAlign w:val="bottom"/>
            <w:tcBorders>
              <w:top w:val="single" w:sz="8" w:color="auto"/>
            </w:tcBorders>
            <w:gridSpan w:val="8"/>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Advisor registered under section 203 of the Investment Advisors Act of 1940</w:t>
            </w:r>
          </w:p>
        </w:tc>
        <w:tc>
          <w:tcPr>
            <w:tcW w:w="40" w:type="dxa"/>
            <w:vAlign w:val="bottom"/>
          </w:tcPr>
          <w:p>
            <w:pPr>
              <w:spacing w:after="0"/>
              <w:rPr>
                <w:sz w:val="24"/>
                <w:szCs w:val="24"/>
                <w:color w:val="auto"/>
              </w:rPr>
            </w:pPr>
          </w:p>
        </w:tc>
      </w:tr>
    </w:tbl>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right="6559" w:hanging="453"/>
        <w:spacing w:after="0" w:line="407" w:lineRule="auto"/>
        <w:tabs>
          <w:tab w:leader="none" w:pos="14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5,104,662</w:t>
      </w:r>
    </w:p>
    <w:p>
      <w:pPr>
        <w:spacing w:after="0" w:line="80" w:lineRule="exact"/>
        <w:rPr>
          <w:rFonts w:ascii="Times New Roman" w:cs="Times New Roman" w:eastAsia="Times New Roman" w:hAnsi="Times New Roman"/>
          <w:sz w:val="18"/>
          <w:szCs w:val="18"/>
          <w:color w:val="auto"/>
        </w:rPr>
      </w:pPr>
    </w:p>
    <w:p>
      <w:pPr>
        <w:ind w:left="1460" w:right="7459" w:hanging="453"/>
        <w:spacing w:after="0" w:line="407" w:lineRule="auto"/>
        <w:tabs>
          <w:tab w:leader="none" w:pos="14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6.4%</w:t>
      </w:r>
    </w:p>
    <w:p>
      <w:pPr>
        <w:sectPr>
          <w:pgSz w:w="11900" w:h="16838" w:orient="portrait"/>
          <w:cols w:equalWidth="0" w:num="1">
            <w:col w:w="10139"/>
          </w:cols>
          <w:pgMar w:left="320" w:top="257" w:right="1440" w:bottom="1440" w:gutter="0" w:footer="0" w:header="0"/>
        </w:sectPr>
      </w:pPr>
    </w:p>
    <w:bookmarkStart w:id="3" w:name="page4"/>
    <w:bookmarkEnd w:id="3"/>
    <w:p>
      <w:pPr>
        <w:ind w:left="1460" w:hanging="453"/>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right="7140" w:hanging="453"/>
        <w:spacing w:after="0" w:line="282" w:lineRule="auto"/>
        <w:tabs>
          <w:tab w:leader="none" w:pos="1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4,960,862</w:t>
      </w:r>
    </w:p>
    <w:p>
      <w:pPr>
        <w:spacing w:after="0" w:line="67" w:lineRule="exact"/>
        <w:rPr>
          <w:rFonts w:ascii="Times New Roman" w:cs="Times New Roman" w:eastAsia="Times New Roman" w:hAnsi="Times New Roman"/>
          <w:sz w:val="18"/>
          <w:szCs w:val="18"/>
          <w:color w:val="auto"/>
        </w:rPr>
      </w:pPr>
    </w:p>
    <w:p>
      <w:pPr>
        <w:ind w:left="1460" w:right="6960" w:hanging="453"/>
        <w:spacing w:after="0" w:line="282" w:lineRule="auto"/>
        <w:tabs>
          <w:tab w:leader="none" w:pos="1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w:t>
      </w:r>
    </w:p>
    <w:p>
      <w:pPr>
        <w:spacing w:after="0" w:line="67" w:lineRule="exact"/>
        <w:rPr>
          <w:rFonts w:ascii="Times New Roman" w:cs="Times New Roman" w:eastAsia="Times New Roman" w:hAnsi="Times New Roman"/>
          <w:sz w:val="18"/>
          <w:szCs w:val="18"/>
          <w:color w:val="auto"/>
        </w:rPr>
      </w:pPr>
    </w:p>
    <w:p>
      <w:pPr>
        <w:ind w:left="1460" w:right="6060" w:hanging="453"/>
        <w:spacing w:after="0" w:line="282" w:lineRule="auto"/>
        <w:tabs>
          <w:tab w:leader="none" w:pos="1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5,104,662</w:t>
      </w:r>
    </w:p>
    <w:p>
      <w:pPr>
        <w:spacing w:after="0" w:line="67" w:lineRule="exact"/>
        <w:rPr>
          <w:rFonts w:ascii="Times New Roman" w:cs="Times New Roman" w:eastAsia="Times New Roman" w:hAnsi="Times New Roman"/>
          <w:sz w:val="18"/>
          <w:szCs w:val="18"/>
          <w:color w:val="auto"/>
        </w:rPr>
      </w:pPr>
    </w:p>
    <w:p>
      <w:pPr>
        <w:ind w:left="1460" w:right="5880" w:hanging="453"/>
        <w:spacing w:after="0" w:line="282" w:lineRule="auto"/>
        <w:tabs>
          <w:tab w:leader="none" w:pos="1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31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300"/>
        <w:spacing w:after="0" w:line="312" w:lineRule="auto"/>
        <w:rPr>
          <w:sz w:val="20"/>
          <w:szCs w:val="20"/>
          <w:color w:val="auto"/>
        </w:rPr>
      </w:pPr>
      <w:r>
        <w:rPr>
          <w:rFonts w:ascii="Times New Roman" w:cs="Times New Roman" w:eastAsia="Times New Roman" w:hAnsi="Times New Roman"/>
          <w:sz w:val="17"/>
          <w:szCs w:val="17"/>
          <w:color w:val="auto"/>
        </w:rPr>
        <w:t>The clients of Dodge &amp; Cox, including investment companies registered under the Investment Company Act of 1940 and other managed accounts, have the right to receive or power to direct the receipt of dividends from, and the proceeds from the sale of, CREDICORP LTD.</w:t>
      </w:r>
    </w:p>
    <w:p>
      <w:pPr>
        <w:spacing w:after="0" w:line="2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a Group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1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DODGE &amp; COX</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Katherine M. Primas</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Katherine M. Primas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2023-02-14T12:42:26Z</dcterms:created>
  <dcterms:modified xsi:type="dcterms:W3CDTF">2023-02-14T12:42:26Z</dcterms:modified>
</cp:coreProperties>
</file>