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02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260350</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t>SECURITIES AND EXCHANGE COMMISSION</w:t>
      </w:r>
    </w:p>
    <w:p>
      <w:pPr>
        <w:spacing w:after="0" w:line="24"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Washington, D.C. 20549</w:t>
      </w:r>
    </w:p>
    <w:p>
      <w:pPr>
        <w:spacing w:after="0" w:line="176"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FORM 6-K</w:t>
      </w: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20"/>
          <w:szCs w:val="20"/>
          <w:color w:val="auto"/>
        </w:rPr>
        <w:t>Report of Foreign Private Issuer</w:t>
      </w:r>
    </w:p>
    <w:p>
      <w:pPr>
        <w:jc w:val="center"/>
        <w:ind w:right="-559"/>
        <w:spacing w:after="0" w:line="237" w:lineRule="auto"/>
        <w:rPr>
          <w:sz w:val="20"/>
          <w:szCs w:val="20"/>
          <w:color w:val="auto"/>
        </w:rPr>
      </w:pPr>
      <w:r>
        <w:rPr>
          <w:rFonts w:ascii="Arial" w:cs="Arial" w:eastAsia="Arial" w:hAnsi="Arial"/>
          <w:sz w:val="20"/>
          <w:szCs w:val="20"/>
          <w:color w:val="auto"/>
        </w:rPr>
        <w:t>Pursuant to Rule 13a-16 or 15d-16 under the</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0"/>
          <w:szCs w:val="20"/>
          <w:color w:val="auto"/>
        </w:rPr>
        <w:t>Securities Exchange Act of 1934</w:t>
      </w:r>
    </w:p>
    <w:p>
      <w:pPr>
        <w:spacing w:after="0" w:line="190"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For the month of February 2022</w:t>
      </w:r>
    </w:p>
    <w:p>
      <w:pPr>
        <w:spacing w:after="0" w:line="218" w:lineRule="exact"/>
        <w:rPr>
          <w:sz w:val="24"/>
          <w:szCs w:val="24"/>
          <w:color w:val="auto"/>
        </w:rPr>
      </w:pPr>
    </w:p>
    <w:p>
      <w:pPr>
        <w:jc w:val="center"/>
        <w:ind w:right="-559"/>
        <w:spacing w:after="0"/>
        <w:rPr>
          <w:sz w:val="20"/>
          <w:szCs w:val="20"/>
          <w:color w:val="auto"/>
        </w:rPr>
      </w:pPr>
      <w:r>
        <w:rPr>
          <w:rFonts w:ascii="Arial" w:cs="Arial" w:eastAsia="Arial" w:hAnsi="Arial"/>
          <w:sz w:val="20"/>
          <w:szCs w:val="20"/>
          <w:color w:val="auto"/>
        </w:rPr>
        <w:t>Commission File Number: 001-14014</w:t>
      </w:r>
    </w:p>
    <w:p>
      <w:pPr>
        <w:spacing w:after="0" w:line="193" w:lineRule="exact"/>
        <w:rPr>
          <w:sz w:val="24"/>
          <w:szCs w:val="24"/>
          <w:color w:val="auto"/>
        </w:rPr>
      </w:pPr>
    </w:p>
    <w:p>
      <w:pPr>
        <w:jc w:val="center"/>
        <w:ind w:right="-559"/>
        <w:spacing w:after="0"/>
        <w:rPr>
          <w:sz w:val="20"/>
          <w:szCs w:val="20"/>
          <w:color w:val="auto"/>
        </w:rPr>
      </w:pPr>
      <w:r>
        <w:rPr>
          <w:rFonts w:ascii="Arial" w:cs="Arial" w:eastAsia="Arial" w:hAnsi="Arial"/>
          <w:sz w:val="39"/>
          <w:szCs w:val="39"/>
          <w:b w:val="1"/>
          <w:bCs w:val="1"/>
          <w:color w:val="auto"/>
        </w:rPr>
        <w:t>CREDICORP LTD.</w:t>
      </w:r>
    </w:p>
    <w:p>
      <w:pPr>
        <w:spacing w:after="0" w:line="40" w:lineRule="exact"/>
        <w:rPr>
          <w:sz w:val="24"/>
          <w:szCs w:val="24"/>
          <w:color w:val="auto"/>
        </w:rPr>
      </w:pPr>
    </w:p>
    <w:p>
      <w:pPr>
        <w:jc w:val="center"/>
        <w:ind w:right="-559"/>
        <w:spacing w:after="0"/>
        <w:rPr>
          <w:sz w:val="20"/>
          <w:szCs w:val="20"/>
          <w:color w:val="auto"/>
        </w:rPr>
      </w:pPr>
      <w:r>
        <w:rPr>
          <w:rFonts w:ascii="Arial" w:cs="Arial" w:eastAsia="Arial" w:hAnsi="Arial"/>
          <w:sz w:val="20"/>
          <w:szCs w:val="20"/>
          <w:color w:val="auto"/>
        </w:rPr>
        <w:t>(Translation of registrant’s name into English)</w:t>
      </w:r>
    </w:p>
    <w:p>
      <w:pPr>
        <w:spacing w:after="0" w:line="190"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Clarendon House</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Church Street</w:t>
      </w:r>
    </w:p>
    <w:p>
      <w:pPr>
        <w:jc w:val="center"/>
        <w:ind w:right="-559"/>
        <w:spacing w:after="0" w:line="230" w:lineRule="auto"/>
        <w:rPr>
          <w:sz w:val="20"/>
          <w:szCs w:val="20"/>
          <w:color w:val="auto"/>
        </w:rPr>
      </w:pPr>
      <w:r>
        <w:rPr>
          <w:rFonts w:ascii="Arial" w:cs="Arial" w:eastAsia="Arial" w:hAnsi="Arial"/>
          <w:sz w:val="20"/>
          <w:szCs w:val="20"/>
          <w:b w:val="1"/>
          <w:bCs w:val="1"/>
          <w:color w:val="auto"/>
        </w:rPr>
        <w:t>Hamilton HM 11 Bermuda</w:t>
      </w:r>
    </w:p>
    <w:p>
      <w:pPr>
        <w:jc w:val="center"/>
        <w:ind w:right="-559"/>
        <w:spacing w:after="0"/>
        <w:rPr>
          <w:sz w:val="20"/>
          <w:szCs w:val="20"/>
          <w:color w:val="auto"/>
        </w:rPr>
      </w:pPr>
      <w:r>
        <w:rPr>
          <w:rFonts w:ascii="Arial" w:cs="Arial" w:eastAsia="Arial" w:hAnsi="Arial"/>
          <w:sz w:val="20"/>
          <w:szCs w:val="20"/>
          <w:color w:val="auto"/>
        </w:rPr>
        <w:t>(Address of principal executive office)</w:t>
      </w:r>
    </w:p>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198" w:lineRule="exact"/>
        <w:rPr>
          <w:sz w:val="24"/>
          <w:szCs w:val="24"/>
          <w:color w:val="auto"/>
        </w:rPr>
      </w:pPr>
    </w:p>
    <w:p>
      <w:pPr>
        <w:ind w:left="4540"/>
        <w:spacing w:after="0" w:line="230" w:lineRule="exact"/>
        <w:rPr>
          <w:sz w:val="20"/>
          <w:szCs w:val="20"/>
          <w:color w:val="auto"/>
        </w:rPr>
      </w:pPr>
      <w:r>
        <w:rPr>
          <w:rFonts w:ascii="Arial" w:cs="Arial" w:eastAsia="Arial" w:hAnsi="Arial"/>
          <w:sz w:val="20"/>
          <w:szCs w:val="20"/>
          <w:color w:val="auto"/>
        </w:rPr>
        <w:t xml:space="preserve">Form 20-F </w:t>
      </w:r>
      <w:r>
        <w:rPr>
          <w:rFonts w:ascii="MS PGothic" w:cs="MS PGothic" w:eastAsia="MS PGothic" w:hAnsi="MS PGothic"/>
          <w:sz w:val="20"/>
          <w:szCs w:val="20"/>
          <w:color w:val="auto"/>
        </w:rPr>
        <w:t>☒</w:t>
      </w:r>
      <w:r>
        <w:rPr>
          <w:rFonts w:ascii="Arial" w:cs="Arial" w:eastAsia="Arial" w:hAnsi="Arial"/>
          <w:sz w:val="20"/>
          <w:szCs w:val="20"/>
          <w:color w:val="auto"/>
        </w:rPr>
        <w:t xml:space="preserve"> Form 40-F </w:t>
      </w:r>
      <w:r>
        <w:rPr>
          <w:rFonts w:ascii="MS PGothic" w:cs="MS PGothic" w:eastAsia="MS PGothic" w:hAnsi="MS PGothic"/>
          <w:sz w:val="20"/>
          <w:szCs w:val="20"/>
          <w:color w:val="auto"/>
        </w:rPr>
        <w:t>☐</w:t>
      </w:r>
    </w:p>
    <w:p>
      <w:pPr>
        <w:spacing w:after="0" w:line="224" w:lineRule="exact"/>
        <w:rPr>
          <w:sz w:val="24"/>
          <w:szCs w:val="24"/>
          <w:color w:val="auto"/>
        </w:rPr>
      </w:pPr>
    </w:p>
    <w:p>
      <w:pPr>
        <w:ind w:left="40"/>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36" w:lineRule="exact"/>
        <w:rPr>
          <w:sz w:val="24"/>
          <w:szCs w:val="24"/>
          <w:color w:val="auto"/>
        </w:rPr>
      </w:pPr>
    </w:p>
    <w:p>
      <w:pPr>
        <w:ind w:left="40"/>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61" w:lineRule="exact"/>
        <w:rPr>
          <w:sz w:val="24"/>
          <w:szCs w:val="24"/>
          <w:color w:val="auto"/>
        </w:rPr>
      </w:pPr>
    </w:p>
    <w:p>
      <w:pPr>
        <w:jc w:val="both"/>
        <w:spacing w:after="0"/>
        <w:rPr>
          <w:rFonts w:ascii="Arial" w:cs="Arial" w:eastAsia="Arial" w:hAnsi="Arial"/>
          <w:sz w:val="20"/>
          <w:szCs w:val="20"/>
          <w:color w:val="auto"/>
        </w:rPr>
      </w:pPr>
      <w:r>
        <w:rPr>
          <w:rFonts w:ascii="Arial" w:cs="Arial" w:eastAsia="Arial" w:hAnsi="Arial"/>
          <w:sz w:val="20"/>
          <w:szCs w:val="20"/>
          <w:color w:val="auto"/>
        </w:rPr>
        <w:t xml:space="preserve">The information in this Form 6-K (including any </w:t>
      </w:r>
      <w:hyperlink w:anchor="page3">
        <w:r>
          <w:rPr>
            <w:rFonts w:ascii="Arial" w:cs="Arial" w:eastAsia="Arial" w:hAnsi="Arial"/>
            <w:sz w:val="20"/>
            <w:szCs w:val="20"/>
            <w:u w:val="single" w:color="auto"/>
            <w:color w:val="0000EE"/>
          </w:rPr>
          <w:t>exhibit</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283210</wp:posOffset>
            </wp:positionV>
            <wp:extent cx="714502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415290</wp:posOffset>
            </wp:positionV>
            <wp:extent cx="714502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0700"/>
          </w:cols>
          <w:pgMar w:left="320" w:top="498" w:right="87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SIGNATURE</w:t>
      </w:r>
    </w:p>
    <w:p>
      <w:pPr>
        <w:spacing w:after="0" w:line="219" w:lineRule="exact"/>
        <w:rPr>
          <w:sz w:val="20"/>
          <w:szCs w:val="20"/>
          <w:color w:val="auto"/>
        </w:rPr>
      </w:pPr>
    </w:p>
    <w:p>
      <w:pPr>
        <w:ind w:right="80" w:firstLine="486"/>
        <w:spacing w:after="0" w:line="25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Date: February 7</w:t>
      </w:r>
      <w:r>
        <w:rPr>
          <w:rFonts w:ascii="Arial" w:cs="Arial" w:eastAsia="Arial" w:hAnsi="Arial"/>
          <w:sz w:val="32"/>
          <w:szCs w:val="32"/>
          <w:color w:val="auto"/>
          <w:vertAlign w:val="superscript"/>
        </w:rPr>
        <w:t>th</w:t>
      </w:r>
      <w:r>
        <w:rPr>
          <w:rFonts w:ascii="Arial" w:cs="Arial" w:eastAsia="Arial" w:hAnsi="Arial"/>
          <w:sz w:val="20"/>
          <w:szCs w:val="20"/>
          <w:color w:val="auto"/>
        </w:rPr>
        <w:t>, 2022</w:t>
      </w:r>
    </w:p>
    <w:p>
      <w:pPr>
        <w:spacing w:after="0" w:line="8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CREDICORP LTD.</w:t>
      </w:r>
    </w:p>
    <w:p>
      <w:pPr>
        <w:spacing w:after="0" w:line="2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(Registrant)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ind w:left="5600"/>
              <w:spacing w:after="0"/>
              <w:rPr>
                <w:sz w:val="20"/>
                <w:szCs w:val="20"/>
                <w:color w:val="auto"/>
              </w:rPr>
            </w:pPr>
            <w:r>
              <w:rPr>
                <w:rFonts w:ascii="Arial" w:cs="Arial" w:eastAsia="Arial" w:hAnsi="Arial"/>
                <w:sz w:val="16"/>
                <w:szCs w:val="16"/>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Miriam Bottger</w:t>
            </w:r>
          </w:p>
        </w:tc>
        <w:tc>
          <w:tcPr>
            <w:tcW w:w="1700" w:type="dxa"/>
            <w:vAlign w:val="bottom"/>
          </w:tcPr>
          <w:p>
            <w:pPr>
              <w:spacing w:after="0"/>
              <w:rPr>
                <w:sz w:val="18"/>
                <w:szCs w:val="18"/>
                <w:color w:val="auto"/>
              </w:rPr>
            </w:pPr>
          </w:p>
        </w:tc>
      </w:tr>
      <w:tr>
        <w:trPr>
          <w:trHeight w:val="180"/>
        </w:trPr>
        <w:tc>
          <w:tcPr>
            <w:tcW w:w="6140" w:type="dxa"/>
            <w:vAlign w:val="bottom"/>
          </w:tcPr>
          <w:p>
            <w:pPr>
              <w:spacing w:after="0"/>
              <w:rPr>
                <w:sz w:val="15"/>
                <w:szCs w:val="15"/>
                <w:color w:val="auto"/>
              </w:rPr>
            </w:pPr>
          </w:p>
        </w:tc>
        <w:tc>
          <w:tcPr>
            <w:tcW w:w="3400" w:type="dxa"/>
            <w:vAlign w:val="bottom"/>
          </w:tcPr>
          <w:p>
            <w:pPr>
              <w:spacing w:after="0" w:line="180" w:lineRule="exact"/>
              <w:rPr>
                <w:sz w:val="20"/>
                <w:szCs w:val="20"/>
                <w:color w:val="auto"/>
              </w:rPr>
            </w:pPr>
            <w:r>
              <w:rPr>
                <w:rFonts w:ascii="Arial" w:cs="Arial" w:eastAsia="Arial" w:hAnsi="Arial"/>
                <w:sz w:val="16"/>
                <w:szCs w:val="16"/>
                <w:b w:val="1"/>
                <w:bCs w:val="1"/>
                <w:color w:val="auto"/>
              </w:rPr>
              <w:t>Miriam Bottger</w:t>
            </w:r>
          </w:p>
        </w:tc>
        <w:tc>
          <w:tcPr>
            <w:tcW w:w="1700" w:type="dxa"/>
            <w:vAlign w:val="bottom"/>
          </w:tcPr>
          <w:p>
            <w:pPr>
              <w:spacing w:after="0"/>
              <w:rPr>
                <w:sz w:val="15"/>
                <w:szCs w:val="15"/>
                <w:color w:val="auto"/>
              </w:rPr>
            </w:pPr>
          </w:p>
        </w:tc>
      </w:tr>
      <w:tr>
        <w:trPr>
          <w:trHeight w:val="212"/>
        </w:trPr>
        <w:tc>
          <w:tcPr>
            <w:tcW w:w="6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Authorized Representative</w:t>
            </w:r>
          </w:p>
        </w:tc>
        <w:tc>
          <w:tcPr>
            <w:tcW w:w="1700" w:type="dxa"/>
            <w:vAlign w:val="bottom"/>
          </w:tcPr>
          <w:p>
            <w:pPr>
              <w:spacing w:after="0"/>
              <w:rPr>
                <w:sz w:val="18"/>
                <w:szCs w:val="18"/>
                <w:color w:val="auto"/>
              </w:rPr>
            </w:pPr>
          </w:p>
        </w:tc>
      </w:tr>
      <w:tr>
        <w:trPr>
          <w:trHeight w:val="546"/>
        </w:trPr>
        <w:tc>
          <w:tcPr>
            <w:tcW w:w="6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2" w:name="page3"/>
    <w:bookmarkEnd w:id="2"/>
    <w:p>
      <w:pPr>
        <w:ind w:left="91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311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172085</wp:posOffset>
            </wp:positionV>
            <wp:extent cx="7145020" cy="6404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6404610"/>
                    </a:xfrm>
                    <a:prstGeom prst="rect">
                      <a:avLst/>
                    </a:prstGeom>
                    <a:noFill/>
                  </pic:spPr>
                </pic:pic>
              </a:graphicData>
            </a:graphic>
          </wp:anchor>
        </w:drawing>
      </w:r>
    </w:p>
    <w:p>
      <w:pPr>
        <w:sectPr>
          <w:pgSz w:w="11900" w:h="16838" w:orient="portrait"/>
          <w:cols w:equalWidth="0" w:num="1">
            <w:col w:w="10120"/>
          </w:cols>
          <w:pgMar w:left="1440" w:top="262" w:right="339" w:bottom="1440" w:gutter="0" w:footer="0" w:header="0"/>
        </w:sectPr>
      </w:pPr>
    </w:p>
    <w:bookmarkStart w:id="3" w:name="page4"/>
    <w:bookmarkEnd w:id="3"/>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5298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529844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Table of Contents</w:t>
      </w:r>
    </w:p>
    <w:p>
      <w:pPr>
        <w:spacing w:after="0" w:line="214" w:lineRule="exact"/>
        <w:rPr>
          <w:sz w:val="20"/>
          <w:szCs w:val="20"/>
          <w:color w:val="auto"/>
        </w:rPr>
      </w:pPr>
    </w:p>
    <w:tbl>
      <w:tblPr>
        <w:tblLayout w:type="fixed"/>
        <w:tblInd w:w="4720" w:type="dxa"/>
        <w:tblCellMar>
          <w:top w:w="0" w:type="dxa"/>
          <w:left w:w="0" w:type="dxa"/>
          <w:bottom w:w="0" w:type="dxa"/>
          <w:right w:w="0" w:type="dxa"/>
        </w:tblCellMar>
      </w:tblPr>
      <w:tr>
        <w:trPr>
          <w:trHeight w:val="212"/>
        </w:trPr>
        <w:tc>
          <w:tcPr>
            <w:tcW w:w="3820" w:type="dxa"/>
            <w:vAlign w:val="bottom"/>
            <w:gridSpan w:val="2"/>
          </w:tcPr>
          <w:p>
            <w:pPr>
              <w:spacing w:after="0"/>
              <w:rPr>
                <w:sz w:val="20"/>
                <w:szCs w:val="20"/>
                <w:color w:val="auto"/>
              </w:rPr>
            </w:pPr>
            <w:r>
              <w:rPr>
                <w:rFonts w:ascii="Arial" w:cs="Arial" w:eastAsia="Arial" w:hAnsi="Arial"/>
                <w:sz w:val="16"/>
                <w:szCs w:val="16"/>
                <w:color w:val="auto"/>
              </w:rPr>
              <w:t>Credicorp Ltd. (NYSE:BAP)</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93"/>
        </w:trPr>
        <w:tc>
          <w:tcPr>
            <w:tcW w:w="3820" w:type="dxa"/>
            <w:vAlign w:val="bottom"/>
            <w:gridSpan w:val="2"/>
          </w:tcPr>
          <w:p>
            <w:pPr>
              <w:spacing w:after="0"/>
              <w:rPr>
                <w:sz w:val="20"/>
                <w:szCs w:val="20"/>
                <w:color w:val="auto"/>
              </w:rPr>
            </w:pPr>
            <w:r>
              <w:rPr>
                <w:rFonts w:ascii="Arial" w:cs="Arial" w:eastAsia="Arial" w:hAnsi="Arial"/>
                <w:sz w:val="16"/>
                <w:szCs w:val="16"/>
                <w:color w:val="auto"/>
              </w:rPr>
              <w:t>Financial Overview</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01</w:t>
            </w:r>
          </w:p>
        </w:tc>
        <w:tc>
          <w:tcPr>
            <w:tcW w:w="3580" w:type="dxa"/>
            <w:vAlign w:val="bottom"/>
          </w:tcPr>
          <w:p>
            <w:pPr>
              <w:ind w:left="80"/>
              <w:spacing w:after="0"/>
              <w:rPr>
                <w:sz w:val="20"/>
                <w:szCs w:val="20"/>
                <w:color w:val="auto"/>
              </w:rPr>
            </w:pPr>
            <w:r>
              <w:rPr>
                <w:rFonts w:ascii="Arial" w:cs="Arial" w:eastAsia="Arial" w:hAnsi="Arial"/>
                <w:sz w:val="16"/>
                <w:szCs w:val="16"/>
                <w:color w:val="auto"/>
              </w:rPr>
              <w:t>lnterest-Earning Assets (IEA)</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02</w:t>
            </w:r>
          </w:p>
        </w:tc>
        <w:tc>
          <w:tcPr>
            <w:tcW w:w="3580" w:type="dxa"/>
            <w:vAlign w:val="bottom"/>
          </w:tcPr>
          <w:p>
            <w:pPr>
              <w:ind w:left="80"/>
              <w:spacing w:after="0"/>
              <w:rPr>
                <w:sz w:val="20"/>
                <w:szCs w:val="20"/>
                <w:color w:val="auto"/>
              </w:rPr>
            </w:pPr>
            <w:r>
              <w:rPr>
                <w:rFonts w:ascii="Arial" w:cs="Arial" w:eastAsia="Arial" w:hAnsi="Arial"/>
                <w:sz w:val="16"/>
                <w:szCs w:val="16"/>
                <w:color w:val="auto"/>
              </w:rPr>
              <w:t>Funding Structure</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03</w:t>
            </w:r>
          </w:p>
        </w:tc>
        <w:tc>
          <w:tcPr>
            <w:tcW w:w="3580" w:type="dxa"/>
            <w:vAlign w:val="bottom"/>
          </w:tcPr>
          <w:p>
            <w:pPr>
              <w:ind w:left="80"/>
              <w:spacing w:after="0"/>
              <w:rPr>
                <w:sz w:val="20"/>
                <w:szCs w:val="20"/>
                <w:color w:val="auto"/>
              </w:rPr>
            </w:pPr>
            <w:r>
              <w:rPr>
                <w:rFonts w:ascii="Arial" w:cs="Arial" w:eastAsia="Arial" w:hAnsi="Arial"/>
                <w:sz w:val="16"/>
                <w:szCs w:val="16"/>
                <w:color w:val="auto"/>
              </w:rPr>
              <w:t>Net lnterest lncome (Nll)</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04</w:t>
            </w:r>
          </w:p>
        </w:tc>
        <w:tc>
          <w:tcPr>
            <w:tcW w:w="3580" w:type="dxa"/>
            <w:vAlign w:val="bottom"/>
          </w:tcPr>
          <w:p>
            <w:pPr>
              <w:ind w:left="80"/>
              <w:spacing w:after="0"/>
              <w:rPr>
                <w:sz w:val="20"/>
                <w:szCs w:val="20"/>
                <w:color w:val="auto"/>
              </w:rPr>
            </w:pPr>
            <w:r>
              <w:rPr>
                <w:rFonts w:ascii="Arial" w:cs="Arial" w:eastAsia="Arial" w:hAnsi="Arial"/>
                <w:sz w:val="16"/>
                <w:szCs w:val="16"/>
                <w:color w:val="auto"/>
              </w:rPr>
              <w:t>Portfolio Quality</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05</w:t>
            </w:r>
          </w:p>
        </w:tc>
        <w:tc>
          <w:tcPr>
            <w:tcW w:w="3580" w:type="dxa"/>
            <w:vAlign w:val="bottom"/>
          </w:tcPr>
          <w:p>
            <w:pPr>
              <w:ind w:left="80"/>
              <w:spacing w:after="0"/>
              <w:rPr>
                <w:sz w:val="20"/>
                <w:szCs w:val="20"/>
                <w:color w:val="auto"/>
              </w:rPr>
            </w:pPr>
            <w:r>
              <w:rPr>
                <w:rFonts w:ascii="Arial" w:cs="Arial" w:eastAsia="Arial" w:hAnsi="Arial"/>
                <w:sz w:val="16"/>
                <w:szCs w:val="16"/>
                <w:color w:val="auto"/>
              </w:rPr>
              <w:t>Other income</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34</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06</w:t>
            </w:r>
          </w:p>
        </w:tc>
        <w:tc>
          <w:tcPr>
            <w:tcW w:w="3580" w:type="dxa"/>
            <w:vAlign w:val="bottom"/>
          </w:tcPr>
          <w:p>
            <w:pPr>
              <w:ind w:left="80"/>
              <w:spacing w:after="0"/>
              <w:rPr>
                <w:sz w:val="20"/>
                <w:szCs w:val="20"/>
                <w:color w:val="auto"/>
              </w:rPr>
            </w:pPr>
            <w:r>
              <w:rPr>
                <w:rFonts w:ascii="Arial" w:cs="Arial" w:eastAsia="Arial" w:hAnsi="Arial"/>
                <w:sz w:val="16"/>
                <w:szCs w:val="16"/>
                <w:color w:val="auto"/>
              </w:rPr>
              <w:t>lnsurance Underwriting Results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07</w:t>
            </w:r>
          </w:p>
        </w:tc>
        <w:tc>
          <w:tcPr>
            <w:tcW w:w="3580" w:type="dxa"/>
            <w:vAlign w:val="bottom"/>
          </w:tcPr>
          <w:p>
            <w:pPr>
              <w:ind w:left="80"/>
              <w:spacing w:after="0"/>
              <w:rPr>
                <w:sz w:val="20"/>
                <w:szCs w:val="20"/>
                <w:color w:val="auto"/>
              </w:rPr>
            </w:pPr>
            <w:r>
              <w:rPr>
                <w:rFonts w:ascii="Arial" w:cs="Arial" w:eastAsia="Arial" w:hAnsi="Arial"/>
                <w:sz w:val="16"/>
                <w:szCs w:val="16"/>
                <w:color w:val="auto"/>
              </w:rPr>
              <w:t>Operating Expenses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08</w:t>
            </w:r>
          </w:p>
        </w:tc>
        <w:tc>
          <w:tcPr>
            <w:tcW w:w="3580" w:type="dxa"/>
            <w:vAlign w:val="bottom"/>
          </w:tcPr>
          <w:p>
            <w:pPr>
              <w:ind w:left="80"/>
              <w:spacing w:after="0"/>
              <w:rPr>
                <w:sz w:val="20"/>
                <w:szCs w:val="20"/>
                <w:color w:val="auto"/>
              </w:rPr>
            </w:pPr>
            <w:r>
              <w:rPr>
                <w:rFonts w:ascii="Arial" w:cs="Arial" w:eastAsia="Arial" w:hAnsi="Arial"/>
                <w:sz w:val="16"/>
                <w:szCs w:val="16"/>
                <w:color w:val="auto"/>
              </w:rPr>
              <w:t>Operating Efficiency</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09</w:t>
            </w:r>
          </w:p>
        </w:tc>
        <w:tc>
          <w:tcPr>
            <w:tcW w:w="3580" w:type="dxa"/>
            <w:vAlign w:val="bottom"/>
          </w:tcPr>
          <w:p>
            <w:pPr>
              <w:ind w:left="80"/>
              <w:spacing w:after="0"/>
              <w:rPr>
                <w:sz w:val="20"/>
                <w:szCs w:val="20"/>
                <w:color w:val="auto"/>
              </w:rPr>
            </w:pPr>
            <w:r>
              <w:rPr>
                <w:rFonts w:ascii="Arial" w:cs="Arial" w:eastAsia="Arial" w:hAnsi="Arial"/>
                <w:sz w:val="16"/>
                <w:szCs w:val="16"/>
                <w:color w:val="auto"/>
              </w:rPr>
              <w:t>Regulatory Capital</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10</w:t>
            </w:r>
          </w:p>
        </w:tc>
        <w:tc>
          <w:tcPr>
            <w:tcW w:w="3580" w:type="dxa"/>
            <w:vAlign w:val="bottom"/>
          </w:tcPr>
          <w:p>
            <w:pPr>
              <w:ind w:left="80"/>
              <w:spacing w:after="0"/>
              <w:rPr>
                <w:sz w:val="20"/>
                <w:szCs w:val="20"/>
                <w:color w:val="auto"/>
              </w:rPr>
            </w:pPr>
            <w:r>
              <w:rPr>
                <w:rFonts w:ascii="Arial" w:cs="Arial" w:eastAsia="Arial" w:hAnsi="Arial"/>
                <w:sz w:val="16"/>
                <w:szCs w:val="16"/>
                <w:color w:val="auto"/>
              </w:rPr>
              <w:t>Digital Transformation</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11</w:t>
            </w:r>
          </w:p>
        </w:tc>
        <w:tc>
          <w:tcPr>
            <w:tcW w:w="3580" w:type="dxa"/>
            <w:vAlign w:val="bottom"/>
          </w:tcPr>
          <w:p>
            <w:pPr>
              <w:ind w:left="80"/>
              <w:spacing w:after="0"/>
              <w:rPr>
                <w:sz w:val="20"/>
                <w:szCs w:val="20"/>
                <w:color w:val="auto"/>
              </w:rPr>
            </w:pPr>
            <w:r>
              <w:rPr>
                <w:rFonts w:ascii="Arial" w:cs="Arial" w:eastAsia="Arial" w:hAnsi="Arial"/>
                <w:sz w:val="16"/>
                <w:szCs w:val="16"/>
                <w:color w:val="auto"/>
              </w:rPr>
              <w:t>Economic Perspectives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12</w:t>
            </w:r>
          </w:p>
        </w:tc>
        <w:tc>
          <w:tcPr>
            <w:tcW w:w="3580" w:type="dxa"/>
            <w:vAlign w:val="bottom"/>
          </w:tcPr>
          <w:p>
            <w:pPr>
              <w:ind w:left="80"/>
              <w:spacing w:after="0"/>
              <w:rPr>
                <w:sz w:val="20"/>
                <w:szCs w:val="20"/>
                <w:color w:val="auto"/>
              </w:rPr>
            </w:pPr>
            <w:r>
              <w:rPr>
                <w:rFonts w:ascii="Arial" w:cs="Arial" w:eastAsia="Arial" w:hAnsi="Arial"/>
                <w:sz w:val="16"/>
                <w:szCs w:val="16"/>
                <w:color w:val="auto"/>
              </w:rPr>
              <w:t>Appendix</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647700</wp:posOffset>
            </wp:positionV>
            <wp:extent cx="71450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1270</wp:posOffset>
            </wp:positionV>
            <wp:extent cx="381635" cy="584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83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8550" cy="658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28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Fourth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150495</wp:posOffset>
            </wp:positionV>
            <wp:extent cx="4526915" cy="771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269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*Net Income attributable to Credicorp</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According to the latest official information, </w:t>
      </w:r>
      <w:r>
        <w:rPr>
          <w:rFonts w:ascii="Arial" w:cs="Arial" w:eastAsia="Arial" w:hAnsi="Arial"/>
          <w:sz w:val="17"/>
          <w:szCs w:val="17"/>
          <w:b w:val="1"/>
          <w:bCs w:val="1"/>
          <w:color w:val="auto"/>
        </w:rPr>
        <w:t>economic activity</w:t>
      </w:r>
      <w:r>
        <w:rPr>
          <w:rFonts w:ascii="Arial" w:cs="Arial" w:eastAsia="Arial" w:hAnsi="Arial"/>
          <w:sz w:val="17"/>
          <w:szCs w:val="17"/>
          <w:color w:val="auto"/>
        </w:rPr>
        <w:t xml:space="preserve"> reported growth of 3.5% YoY in November, result that represented an increase of 1.3% with regard to the figure reported in November 2019. Thus, GDP growth is estimated to stand at 3.3% YoY in 4Q21 and 13% in 2021 with regard to 2020. This recovery was driven mainly by the reopening of the economy; ample monetary and fiscal stimulus; mandates to release pension and severance indemnity funds; and a favorable international environment for our export products. In addition, the sanitary situation has improved as a result of the vaccination program, through which 84% of the population older than 12 has received least two doses.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Growth</w:t>
      </w:r>
    </w:p>
    <w:p>
      <w:pPr>
        <w:spacing w:after="0" w:line="224" w:lineRule="exact"/>
        <w:rPr>
          <w:sz w:val="20"/>
          <w:szCs w:val="20"/>
          <w:color w:val="auto"/>
        </w:rPr>
      </w:pPr>
    </w:p>
    <w:p>
      <w:pPr>
        <w:ind w:left="3040" w:right="360"/>
        <w:spacing w:after="0" w:line="287" w:lineRule="auto"/>
        <w:rPr>
          <w:sz w:val="20"/>
          <w:szCs w:val="20"/>
          <w:color w:val="auto"/>
        </w:rPr>
      </w:pPr>
      <w:r>
        <w:rPr>
          <w:rFonts w:ascii="Arial" w:cs="Arial" w:eastAsia="Arial" w:hAnsi="Arial"/>
          <w:sz w:val="16"/>
          <w:szCs w:val="16"/>
          <w:color w:val="auto"/>
        </w:rPr>
        <w:t>QoQ growth in loans was primarily driven by the positive evolution of the structural portfolio in Retail Banking at BCP Stand-alone, which was offset by the drop in the Portfolio of Government Programs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1246505" cy="350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6505" cy="350520"/>
                    </a:xfrm>
                    <a:prstGeom prst="rect">
                      <a:avLst/>
                    </a:prstGeom>
                    <a:noFill/>
                  </pic:spPr>
                </pic:pic>
              </a:graphicData>
            </a:graphic>
          </wp:anchor>
        </w:drawing>
      </w:r>
    </w:p>
    <w:p>
      <w:pPr>
        <w:spacing w:after="0" w:line="288" w:lineRule="exact"/>
        <w:rPr>
          <w:sz w:val="20"/>
          <w:szCs w:val="20"/>
          <w:color w:val="auto"/>
        </w:rPr>
      </w:pPr>
    </w:p>
    <w:p>
      <w:pPr>
        <w:ind w:left="3040" w:right="100"/>
        <w:spacing w:after="0" w:line="287" w:lineRule="auto"/>
        <w:rPr>
          <w:sz w:val="20"/>
          <w:szCs w:val="20"/>
          <w:color w:val="auto"/>
        </w:rPr>
      </w:pPr>
      <w:r>
        <w:rPr>
          <w:rFonts w:ascii="Arial" w:cs="Arial" w:eastAsia="Arial" w:hAnsi="Arial"/>
          <w:sz w:val="16"/>
          <w:szCs w:val="16"/>
          <w:color w:val="auto"/>
        </w:rPr>
        <w:t>YoY growth was attributable, to a large extent, the exchange rate effect and to an uptick in loan disbursements in Wholesale Banking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133985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9850" cy="34290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income and Margin</w:t>
      </w:r>
    </w:p>
    <w:p>
      <w:pPr>
        <w:spacing w:after="0" w:line="28" w:lineRule="exact"/>
        <w:rPr>
          <w:sz w:val="20"/>
          <w:szCs w:val="20"/>
          <w:color w:val="auto"/>
        </w:rPr>
      </w:pPr>
    </w:p>
    <w:p>
      <w:pPr>
        <w:jc w:val="both"/>
        <w:ind w:left="3040" w:right="140"/>
        <w:spacing w:after="0" w:line="264" w:lineRule="auto"/>
        <w:rPr>
          <w:sz w:val="20"/>
          <w:szCs w:val="20"/>
          <w:color w:val="auto"/>
        </w:rPr>
      </w:pPr>
      <w:r>
        <w:rPr>
          <w:rFonts w:ascii="Arial" w:cs="Arial" w:eastAsia="Arial" w:hAnsi="Arial"/>
          <w:sz w:val="16"/>
          <w:szCs w:val="16"/>
          <w:color w:val="auto"/>
        </w:rPr>
        <w:t>NII and NIM increased QoQ, in line with growth in structural loans. This was offset by the increase in the funding cost due to higher market rates and a substitution in the funding mix, where institutional funding replaced funding from government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-384175</wp:posOffset>
            </wp:positionV>
            <wp:extent cx="1348105" cy="817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8105" cy="817880"/>
                    </a:xfrm>
                    <a:prstGeom prst="rect">
                      <a:avLst/>
                    </a:prstGeom>
                    <a:noFill/>
                  </pic:spPr>
                </pic:pic>
              </a:graphicData>
            </a:graphic>
          </wp:anchor>
        </w:drawing>
      </w:r>
    </w:p>
    <w:p>
      <w:pPr>
        <w:ind w:left="3040" w:right="520"/>
        <w:spacing w:after="0" w:line="287" w:lineRule="auto"/>
        <w:rPr>
          <w:sz w:val="20"/>
          <w:szCs w:val="20"/>
          <w:color w:val="auto"/>
        </w:rPr>
      </w:pPr>
      <w:r>
        <w:rPr>
          <w:rFonts w:ascii="Arial" w:cs="Arial" w:eastAsia="Arial" w:hAnsi="Arial"/>
          <w:sz w:val="16"/>
          <w:szCs w:val="16"/>
          <w:color w:val="auto"/>
        </w:rPr>
        <w:t>NII and NIM increased YoY, in line with structural loans growth, low-cost deposits growth, and liability management transactions that reduced the cost of subordinated debt at BCP Stand-alone.</w:t>
      </w:r>
    </w:p>
    <w:p>
      <w:pPr>
        <w:spacing w:after="0" w:line="210" w:lineRule="exact"/>
        <w:rPr>
          <w:sz w:val="20"/>
          <w:szCs w:val="20"/>
          <w:color w:val="auto"/>
        </w:rPr>
      </w:pPr>
    </w:p>
    <w:p>
      <w:pPr>
        <w:ind w:left="3040" w:right="360"/>
        <w:spacing w:after="0" w:line="287" w:lineRule="auto"/>
        <w:rPr>
          <w:sz w:val="20"/>
          <w:szCs w:val="20"/>
          <w:color w:val="auto"/>
        </w:rPr>
      </w:pPr>
      <w:r>
        <w:rPr>
          <w:rFonts w:ascii="Arial" w:cs="Arial" w:eastAsia="Arial" w:hAnsi="Arial"/>
          <w:sz w:val="16"/>
          <w:szCs w:val="16"/>
          <w:color w:val="auto"/>
        </w:rPr>
        <w:t>FY, the NII grew due to significant reduction in interest expenses. NIM in 2021 fell in a context of a YoY drop in active interest rates compared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1348105" cy="421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8105" cy="42100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and Portfolio Quality</w:t>
      </w:r>
    </w:p>
    <w:p>
      <w:pPr>
        <w:spacing w:after="0" w:line="28" w:lineRule="exact"/>
        <w:rPr>
          <w:sz w:val="20"/>
          <w:szCs w:val="20"/>
          <w:color w:val="auto"/>
        </w:rPr>
      </w:pPr>
    </w:p>
    <w:p>
      <w:pPr>
        <w:ind w:left="3040" w:right="20"/>
        <w:spacing w:after="0" w:line="261" w:lineRule="auto"/>
        <w:rPr>
          <w:sz w:val="20"/>
          <w:szCs w:val="20"/>
          <w:color w:val="auto"/>
        </w:rPr>
      </w:pPr>
      <w:r>
        <w:rPr>
          <w:rFonts w:ascii="Arial" w:cs="Arial" w:eastAsia="Arial" w:hAnsi="Arial"/>
          <w:sz w:val="16"/>
          <w:szCs w:val="16"/>
          <w:color w:val="auto"/>
        </w:rPr>
        <w:t>Provisions in 4Q21 fell QoQ and YoY, which reflected good payment performance; lower probabilities of default in SME segment and higher write-offs in Mibanco. This result was partially offset the evolution of NPL loans in Wholesale Banking. FY, the significant drop in provisions was attributable to economic reactivation, positive payment behavior, and a reduction in the volumes of riskier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-506730</wp:posOffset>
            </wp:positionV>
            <wp:extent cx="1355725" cy="1129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725" cy="1129665"/>
                    </a:xfrm>
                    <a:prstGeom prst="rect">
                      <a:avLst/>
                    </a:prstGeom>
                    <a:noFill/>
                  </pic:spPr>
                </pic:pic>
              </a:graphicData>
            </a:graphic>
          </wp:anchor>
        </w:drawing>
      </w:r>
    </w:p>
    <w:p>
      <w:pPr>
        <w:spacing w:after="0" w:line="39" w:lineRule="exact"/>
        <w:rPr>
          <w:sz w:val="20"/>
          <w:szCs w:val="20"/>
          <w:color w:val="auto"/>
        </w:rPr>
      </w:pPr>
    </w:p>
    <w:p>
      <w:pPr>
        <w:ind w:left="3040" w:right="60"/>
        <w:spacing w:after="0" w:line="297" w:lineRule="auto"/>
        <w:rPr>
          <w:sz w:val="20"/>
          <w:szCs w:val="20"/>
          <w:color w:val="auto"/>
        </w:rPr>
      </w:pPr>
      <w:r>
        <w:rPr>
          <w:rFonts w:ascii="Arial" w:cs="Arial" w:eastAsia="Arial" w:hAnsi="Arial"/>
          <w:sz w:val="15"/>
          <w:szCs w:val="15"/>
          <w:color w:val="auto"/>
        </w:rPr>
        <w:t>The NPL ratio remained stable QoQ. If we exclude government loans from the calculation base, the structural NPL ratio fell 35 basis points QoQ. This result was primarily driven by an improvement in payment behavior at Mibanco and by loans growth at BCP Stand-alone. In YoY terms, the uptick in ratio reflected the pandemic’s effect on GP loans.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Core Other income</w:t>
      </w:r>
    </w:p>
    <w:p>
      <w:pPr>
        <w:spacing w:after="0" w:line="28" w:lineRule="exact"/>
        <w:rPr>
          <w:sz w:val="20"/>
          <w:szCs w:val="20"/>
          <w:color w:val="auto"/>
        </w:rPr>
      </w:pPr>
    </w:p>
    <w:p>
      <w:pPr>
        <w:jc w:val="both"/>
        <w:ind w:left="3040"/>
        <w:spacing w:after="0" w:line="261" w:lineRule="auto"/>
        <w:rPr>
          <w:sz w:val="20"/>
          <w:szCs w:val="20"/>
          <w:color w:val="auto"/>
        </w:rPr>
      </w:pPr>
      <w:r>
        <w:rPr>
          <w:rFonts w:ascii="Arial" w:cs="Arial" w:eastAsia="Arial" w:hAnsi="Arial"/>
          <w:sz w:val="16"/>
          <w:szCs w:val="16"/>
          <w:color w:val="auto"/>
        </w:rPr>
        <w:t>Core Other Income rose, which was mainly spurred by an increase in fee income at BCP. This evolution was driven by growth in transactions in a context of economic reactivation and new services in our digital channels. FX transactions registered an uptick in gains in a context of market volatility. YoY and on a FY basis, the results follow the same trend as that seen in the QoQ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1348105" cy="280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8105" cy="2806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ind w:lef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Other income</w:t>
      </w:r>
    </w:p>
    <w:p>
      <w:pPr>
        <w:spacing w:after="0" w:line="28" w:lineRule="exact"/>
        <w:rPr>
          <w:sz w:val="20"/>
          <w:szCs w:val="20"/>
          <w:color w:val="auto"/>
        </w:rPr>
      </w:pPr>
    </w:p>
    <w:p>
      <w:pPr>
        <w:ind w:left="3042"/>
        <w:spacing w:after="0" w:line="272" w:lineRule="auto"/>
        <w:rPr>
          <w:sz w:val="20"/>
          <w:szCs w:val="20"/>
          <w:color w:val="auto"/>
        </w:rPr>
      </w:pPr>
      <w:r>
        <w:rPr>
          <w:rFonts w:ascii="Arial" w:cs="Arial" w:eastAsia="Arial" w:hAnsi="Arial"/>
          <w:sz w:val="16"/>
          <w:szCs w:val="16"/>
          <w:color w:val="auto"/>
        </w:rPr>
        <w:t>QoQ and on a FY basis, Other Income grew in line with the increase in Core Other Income. YoY evolution, growth in core income was offset by higher losses fixed-income trading portfolio during 4Q21.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1293495"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3495" cy="257175"/>
                    </a:xfrm>
                    <a:prstGeom prst="rect">
                      <a:avLst/>
                    </a:prstGeom>
                    <a:noFill/>
                  </pic:spPr>
                </pic:pic>
              </a:graphicData>
            </a:graphic>
          </wp:anchor>
        </w:drawing>
      </w:r>
    </w:p>
    <w:p>
      <w:pPr>
        <w:spacing w:after="0" w:line="16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Insurance Underwriting Result</w:t>
      </w:r>
    </w:p>
    <w:p>
      <w:pPr>
        <w:spacing w:after="0" w:line="218" w:lineRule="exact"/>
        <w:rPr>
          <w:sz w:val="20"/>
          <w:szCs w:val="20"/>
          <w:color w:val="auto"/>
        </w:rPr>
      </w:pPr>
    </w:p>
    <w:p>
      <w:pPr>
        <w:jc w:val="both"/>
        <w:ind w:left="2"/>
        <w:spacing w:after="0" w:line="253" w:lineRule="auto"/>
        <w:rPr>
          <w:sz w:val="20"/>
          <w:szCs w:val="20"/>
          <w:color w:val="auto"/>
        </w:rPr>
      </w:pPr>
      <w:r>
        <w:rPr>
          <w:rFonts w:ascii="Arial" w:cs="Arial" w:eastAsia="Arial" w:hAnsi="Arial"/>
          <w:sz w:val="19"/>
          <w:szCs w:val="19"/>
          <w:color w:val="auto"/>
        </w:rPr>
        <w:t>In 4Q21, the insurance underwriting result returned to pre-pandemic levels and grew 81.8% QoQ, driven by an increase in net earned premiums in the Life and P&amp;C businesses and by a decrease in claims in P&amp;C. YoY, growth stood at 50.4%, fueled primarily by an increase in net earned premiums in both businesses, and to a lesser extent, a decrease in claims in the Life business. In FY analysis, losses were recorded in 2021 due to growth in claims in the Life Business in the context of the pandemic.</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Operating Efficiency</w:t>
      </w:r>
    </w:p>
    <w:p>
      <w:pPr>
        <w:spacing w:after="0" w:line="218" w:lineRule="exact"/>
        <w:rPr>
          <w:sz w:val="20"/>
          <w:szCs w:val="20"/>
          <w:color w:val="auto"/>
        </w:rPr>
      </w:pPr>
    </w:p>
    <w:p>
      <w:pPr>
        <w:jc w:val="both"/>
        <w:ind w:left="2"/>
        <w:spacing w:after="0" w:line="253" w:lineRule="auto"/>
        <w:rPr>
          <w:sz w:val="20"/>
          <w:szCs w:val="20"/>
          <w:color w:val="auto"/>
        </w:rPr>
      </w:pPr>
      <w:r>
        <w:rPr>
          <w:rFonts w:ascii="Arial" w:cs="Arial" w:eastAsia="Arial" w:hAnsi="Arial"/>
          <w:sz w:val="19"/>
          <w:szCs w:val="19"/>
          <w:color w:val="auto"/>
        </w:rPr>
        <w:t>The efficiency ratio stood at 49.5% in 4Q21, which reflected a deterioration of 340bps QoQ and 230bps YoY. This evolution was attributable to growth in expenses for digital transformation and disruptive initiatives at BCP Stand-alone and to an increase in variable compensation at the majority of companies. FY, the ratio in 2021 stood at 45.9%, which is 40bps below the figure in 2020. This evolution was primarily due to improvements in efficiency at Mibanco, which offset higher expenses at BCP Stand-alone.</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Net income at Credicorp and Contribution by Business Line</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Contribution* and ROAE by subsidiary in 4Q21 (S/ million)</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Credicorp Net Income 4Q21 S/1,061 million, ROAE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150495</wp:posOffset>
            </wp:positionV>
            <wp:extent cx="4355465" cy="2111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55465" cy="211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2"/>
        <w:spacing w:after="0" w:line="238" w:lineRule="auto"/>
        <w:rPr>
          <w:sz w:val="20"/>
          <w:szCs w:val="20"/>
          <w:color w:val="auto"/>
        </w:rPr>
      </w:pPr>
      <w:r>
        <w:rPr>
          <w:rFonts w:ascii="Arial" w:cs="Arial" w:eastAsia="Arial" w:hAnsi="Arial"/>
          <w:sz w:val="20"/>
          <w:szCs w:val="20"/>
          <w:color w:val="auto"/>
        </w:rPr>
        <w:t>*Contributions to Credicorp reflect the eliminations for consolidation purposes (eliminations for transactions among Credicorp’s subsidiaries or between Credicorp and its subsidiaries).</w:t>
      </w:r>
    </w:p>
    <w:p>
      <w:pPr>
        <w:spacing w:after="0" w:line="2" w:lineRule="exact"/>
        <w:rPr>
          <w:sz w:val="20"/>
          <w:szCs w:val="20"/>
          <w:color w:val="auto"/>
        </w:rPr>
      </w:pPr>
    </w:p>
    <w:p>
      <w:pPr>
        <w:jc w:val="both"/>
        <w:ind w:left="2" w:hanging="2"/>
        <w:spacing w:after="0" w:line="230" w:lineRule="auto"/>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 Mibanco, the figure is lower than the net income because Credicorp owns 99.921% of Mibanco (directly and indirectly). ROAE including goodwill of BCP from the acquisition of Edyficar (Approximately US$ 50.7 million) was 4.5% in 4Q20, 13.2% in 3Q21 and 19.7% in 4Q21. FY was -17.8% for December 2020 and 11.5% for December 2021.</w:t>
      </w:r>
    </w:p>
    <w:p>
      <w:pPr>
        <w:spacing w:after="0" w:line="1" w:lineRule="exact"/>
        <w:rPr>
          <w:rFonts w:ascii="Arial" w:cs="Arial" w:eastAsia="Arial" w:hAnsi="Arial"/>
          <w:sz w:val="20"/>
          <w:szCs w:val="20"/>
          <w:color w:val="auto"/>
        </w:rPr>
      </w:pPr>
    </w:p>
    <w:p>
      <w:pPr>
        <w:jc w:val="both"/>
        <w:ind w:left="2" w:hanging="2"/>
        <w:spacing w:after="0" w:line="230" w:lineRule="auto"/>
        <w:tabs>
          <w:tab w:leader="none" w:pos="144" w:val="left"/>
        </w:tabs>
        <w:numPr>
          <w:ilvl w:val="0"/>
          <w:numId w:val="1"/>
        </w:numPr>
        <w:rPr>
          <w:rFonts w:ascii="Arial" w:cs="Arial" w:eastAsia="Arial" w:hAnsi="Arial"/>
          <w:sz w:val="20"/>
          <w:szCs w:val="20"/>
          <w:color w:val="auto"/>
        </w:rPr>
      </w:pPr>
      <w:r>
        <w:rPr>
          <w:rFonts w:ascii="Arial" w:cs="Arial" w:eastAsia="Arial" w:hAnsi="Arial"/>
          <w:sz w:val="20"/>
          <w:szCs w:val="20"/>
          <w:color w:val="auto"/>
        </w:rPr>
        <w:t>In Grupo Pacifico, the contribution is higher than the net income because Credicorp owns 65.20% directly, and 33.57% through Grupo Credito. Figures include unrealized gains or losses that are considered in Pacifico’s Net Equity from the investment portfolio of Pacifico Vida. ROAE excluding such unrealized gains was 1.5% in 4Q20, 13.3% in 3Q21 and 12.6% in 4Q21. FY was 8.2% for December 2020 and -6.4% for December 2021.</w:t>
      </w:r>
    </w:p>
    <w:p>
      <w:pPr>
        <w:spacing w:after="0" w:line="1" w:lineRule="exact"/>
        <w:rPr>
          <w:rFonts w:ascii="Arial" w:cs="Arial" w:eastAsia="Arial" w:hAnsi="Arial"/>
          <w:sz w:val="20"/>
          <w:szCs w:val="20"/>
          <w:color w:val="auto"/>
        </w:rPr>
      </w:pPr>
    </w:p>
    <w:p>
      <w:pPr>
        <w:ind w:left="2" w:hanging="2"/>
        <w:spacing w:after="0" w:line="236" w:lineRule="auto"/>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Others includes Grupo Credito excluding Prima (Servicorp and Emisiones BCP Latam), others of Atlantic Security Holding Corporation and others of Credicorp Ltd.</w:t>
      </w:r>
    </w:p>
    <w:p>
      <w:pPr>
        <w:spacing w:after="0" w:line="200" w:lineRule="exact"/>
        <w:rPr>
          <w:sz w:val="20"/>
          <w:szCs w:val="20"/>
          <w:color w:val="auto"/>
        </w:rPr>
      </w:pPr>
    </w:p>
    <w:p>
      <w:pPr>
        <w:spacing w:after="0" w:line="230" w:lineRule="exact"/>
        <w:rPr>
          <w:sz w:val="20"/>
          <w:szCs w:val="20"/>
          <w:color w:val="auto"/>
        </w:rPr>
      </w:pPr>
    </w:p>
    <w:p>
      <w:pPr>
        <w:ind w:left="10402"/>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7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60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8550" cy="656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280"/>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8" w:name="page9"/>
    <w:bookmarkEnd w:id="8"/>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Overview Financial Information</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Fourth Quarter 2021</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900" w:type="dxa"/>
            <w:vAlign w:val="bottom"/>
          </w:tcPr>
          <w:p>
            <w:pPr>
              <w:spacing w:after="0"/>
              <w:rPr>
                <w:sz w:val="20"/>
                <w:szCs w:val="20"/>
                <w:color w:val="auto"/>
              </w:rPr>
            </w:pPr>
            <w:r>
              <w:rPr>
                <w:rFonts w:ascii="Arial" w:cs="Arial" w:eastAsia="Arial" w:hAnsi="Arial"/>
                <w:sz w:val="16"/>
                <w:szCs w:val="16"/>
                <w:b w:val="1"/>
                <w:bCs w:val="1"/>
                <w:color w:val="auto"/>
              </w:rPr>
              <w:t>Credicorp Ltd.</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Quarter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3"/>
          </w:tcPr>
          <w:p>
            <w:pPr>
              <w:ind w:left="840"/>
              <w:spacing w:after="0"/>
              <w:rPr>
                <w:sz w:val="20"/>
                <w:szCs w:val="20"/>
                <w:color w:val="auto"/>
              </w:rPr>
            </w:pPr>
            <w:r>
              <w:rPr>
                <w:rFonts w:ascii="Arial" w:cs="Arial" w:eastAsia="Arial" w:hAnsi="Arial"/>
                <w:sz w:val="16"/>
                <w:szCs w:val="16"/>
                <w:b w:val="1"/>
                <w:bCs w:val="1"/>
                <w:color w:val="auto"/>
                <w:w w:val="86"/>
              </w:rPr>
              <w:t>Year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 change</w:t>
            </w:r>
          </w:p>
        </w:tc>
      </w:tr>
      <w:tr>
        <w:trPr>
          <w:trHeight w:val="194"/>
        </w:trPr>
        <w:tc>
          <w:tcPr>
            <w:tcW w:w="2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4Q20</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4Q21</w:t>
            </w:r>
          </w:p>
        </w:tc>
        <w:tc>
          <w:tcPr>
            <w:tcW w:w="200" w:type="dxa"/>
            <w:vAlign w:val="bottom"/>
          </w:tcPr>
          <w:p>
            <w:pPr>
              <w:spacing w:after="0"/>
              <w:rPr>
                <w:sz w:val="16"/>
                <w:szCs w:val="16"/>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YoY</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2021 / 2020</w:t>
            </w:r>
          </w:p>
        </w:tc>
        <w:tc>
          <w:tcPr>
            <w:tcW w:w="160" w:type="dxa"/>
            <w:vAlign w:val="bottom"/>
          </w:tcPr>
          <w:p>
            <w:pPr>
              <w:spacing w:after="0"/>
              <w:rPr>
                <w:sz w:val="16"/>
                <w:szCs w:val="16"/>
                <w:color w:val="auto"/>
              </w:rPr>
            </w:pP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w w:val="96"/>
              </w:rPr>
              <w:t>Net interest, similar income and expenses</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2,068,560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2,451,708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2,477,847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8,571,342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9,361,980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184"/>
        </w:trPr>
        <w:tc>
          <w:tcPr>
            <w:tcW w:w="2900" w:type="dxa"/>
            <w:vAlign w:val="bottom"/>
          </w:tcPr>
          <w:p>
            <w:pPr>
              <w:spacing w:after="0"/>
              <w:rPr>
                <w:sz w:val="20"/>
                <w:szCs w:val="20"/>
                <w:color w:val="auto"/>
              </w:rPr>
            </w:pPr>
            <w:r>
              <w:rPr>
                <w:rFonts w:ascii="Arial" w:cs="Arial" w:eastAsia="Arial" w:hAnsi="Arial"/>
                <w:sz w:val="16"/>
                <w:szCs w:val="16"/>
                <w:color w:val="auto"/>
                <w:w w:val="94"/>
              </w:rPr>
              <w:t>Provision for credit losses on loan portfolio,</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8"/>
        </w:trPr>
        <w:tc>
          <w:tcPr>
            <w:tcW w:w="2900" w:type="dxa"/>
            <w:vAlign w:val="bottom"/>
          </w:tcPr>
          <w:p>
            <w:pPr>
              <w:ind w:left="140"/>
              <w:spacing w:after="0"/>
              <w:rPr>
                <w:sz w:val="20"/>
                <w:szCs w:val="20"/>
                <w:color w:val="auto"/>
              </w:rPr>
            </w:pPr>
            <w:r>
              <w:rPr>
                <w:rFonts w:ascii="Arial" w:cs="Arial" w:eastAsia="Arial" w:hAnsi="Arial"/>
                <w:sz w:val="16"/>
                <w:szCs w:val="16"/>
                <w:color w:val="auto"/>
              </w:rPr>
              <w:t>net of recoveries</w:t>
            </w:r>
          </w:p>
        </w:tc>
        <w:tc>
          <w:tcPr>
            <w:tcW w:w="1120" w:type="dxa"/>
            <w:vAlign w:val="bottom"/>
            <w:gridSpan w:val="3"/>
          </w:tcPr>
          <w:p>
            <w:pPr>
              <w:jc w:val="right"/>
              <w:ind w:right="140"/>
              <w:spacing w:after="0"/>
              <w:rPr>
                <w:sz w:val="20"/>
                <w:szCs w:val="20"/>
                <w:color w:val="auto"/>
              </w:rPr>
            </w:pPr>
            <w:r>
              <w:rPr>
                <w:rFonts w:ascii="Arial" w:cs="Arial" w:eastAsia="Arial" w:hAnsi="Arial"/>
                <w:sz w:val="16"/>
                <w:szCs w:val="16"/>
                <w:color w:val="auto"/>
              </w:rPr>
              <w:t>(732,665)</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(164,414)</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(126,782)</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-22.9%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-82.7%</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(5,920,508)</w:t>
            </w:r>
          </w:p>
        </w:tc>
        <w:tc>
          <w:tcPr>
            <w:tcW w:w="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(1,212,223)</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-79.5%</w:t>
            </w:r>
          </w:p>
        </w:tc>
      </w:tr>
      <w:tr>
        <w:trPr>
          <w:trHeight w:val="180"/>
        </w:trPr>
        <w:tc>
          <w:tcPr>
            <w:tcW w:w="290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Net interest, similar income and</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6"/>
        </w:trPr>
        <w:tc>
          <w:tcPr>
            <w:tcW w:w="29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expenses, after provision for credit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29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losses on loan portfolio</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1,335,895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2,287,294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2,351,065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76.0%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2,650,834</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8,149,757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207.4%</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Total other income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1,329,533</w:t>
            </w: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1,238,683</w:t>
            </w:r>
          </w:p>
        </w:tc>
        <w:tc>
          <w:tcPr>
            <w:tcW w:w="880" w:type="dxa"/>
            <w:vAlign w:val="bottom"/>
          </w:tcPr>
          <w:p>
            <w:pPr>
              <w:jc w:val="right"/>
              <w:spacing w:after="0"/>
              <w:rPr>
                <w:sz w:val="20"/>
                <w:szCs w:val="20"/>
                <w:color w:val="auto"/>
              </w:rPr>
            </w:pPr>
            <w:r>
              <w:rPr>
                <w:rFonts w:ascii="Arial" w:cs="Arial" w:eastAsia="Arial" w:hAnsi="Arial"/>
                <w:sz w:val="16"/>
                <w:szCs w:val="16"/>
                <w:color w:val="auto"/>
              </w:rPr>
              <w:t>1,301,959</w:t>
            </w:r>
          </w:p>
        </w:tc>
        <w:tc>
          <w:tcPr>
            <w:tcW w:w="2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4,406,217</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4,926,866</w:t>
            </w: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11.8%</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Insurance underwriting result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84,867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70,204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127,657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358,133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(3,721)</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n.a</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Total other expenses</w:t>
            </w:r>
          </w:p>
        </w:tc>
        <w:tc>
          <w:tcPr>
            <w:tcW w:w="1120" w:type="dxa"/>
            <w:vAlign w:val="bottom"/>
            <w:gridSpan w:val="3"/>
          </w:tcPr>
          <w:p>
            <w:pPr>
              <w:jc w:val="right"/>
              <w:ind w:right="140"/>
              <w:spacing w:after="0"/>
              <w:rPr>
                <w:sz w:val="20"/>
                <w:szCs w:val="20"/>
                <w:color w:val="auto"/>
              </w:rPr>
            </w:pPr>
            <w:r>
              <w:rPr>
                <w:rFonts w:ascii="Arial" w:cs="Arial" w:eastAsia="Arial" w:hAnsi="Arial"/>
                <w:sz w:val="16"/>
                <w:szCs w:val="16"/>
                <w:color w:val="auto"/>
              </w:rPr>
              <w:t>(1,981,310)</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(1,977,794)</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(2,221,574)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12.1%</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(7,191,023)</w:t>
            </w:r>
          </w:p>
        </w:tc>
        <w:tc>
          <w:tcPr>
            <w:tcW w:w="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(7,740,086)</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(loss) before income tax</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768,985</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1,618,387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1,559,107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102.7%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224,161</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5,332,816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2279.0%</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Income tax</w:t>
            </w:r>
          </w:p>
        </w:tc>
        <w:tc>
          <w:tcPr>
            <w:tcW w:w="1120" w:type="dxa"/>
            <w:vAlign w:val="bottom"/>
            <w:gridSpan w:val="3"/>
          </w:tcPr>
          <w:p>
            <w:pPr>
              <w:jc w:val="right"/>
              <w:ind w:right="140"/>
              <w:spacing w:after="0"/>
              <w:rPr>
                <w:sz w:val="20"/>
                <w:szCs w:val="20"/>
                <w:color w:val="auto"/>
              </w:rPr>
            </w:pPr>
            <w:r>
              <w:rPr>
                <w:rFonts w:ascii="Arial" w:cs="Arial" w:eastAsia="Arial" w:hAnsi="Arial"/>
                <w:sz w:val="16"/>
                <w:szCs w:val="16"/>
                <w:color w:val="auto"/>
              </w:rPr>
              <w:t>(103,174)</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(428,037)</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(471,860)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10.2%</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357.3%</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109,977</w:t>
            </w:r>
          </w:p>
        </w:tc>
        <w:tc>
          <w:tcPr>
            <w:tcW w:w="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(1,660,987)</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n.a</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665,811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1,190,350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1,087,247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63.3%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334,138</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3,671,829</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998.9%</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12,407</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26,651</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26,631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114.6%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(12,756)</w:t>
            </w:r>
          </w:p>
        </w:tc>
        <w:tc>
          <w:tcPr>
            <w:tcW w:w="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87,247</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n.a</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3"/>
              </w:rPr>
              <w:t>Net profit (loss) attributable to Credicorp</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653,404</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1,163,699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1,060,616</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62.3%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346,894</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3,584,582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933.3%</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Net profit (loss) / share (S/)</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8.19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14.59</w:t>
            </w:r>
          </w:p>
        </w:tc>
        <w:tc>
          <w:tcPr>
            <w:tcW w:w="880" w:type="dxa"/>
            <w:vAlign w:val="bottom"/>
          </w:tcPr>
          <w:p>
            <w:pPr>
              <w:jc w:val="right"/>
              <w:spacing w:after="0"/>
              <w:rPr>
                <w:sz w:val="20"/>
                <w:szCs w:val="20"/>
                <w:color w:val="auto"/>
              </w:rPr>
            </w:pPr>
            <w:r>
              <w:rPr>
                <w:rFonts w:ascii="Arial" w:cs="Arial" w:eastAsia="Arial" w:hAnsi="Arial"/>
                <w:sz w:val="16"/>
                <w:szCs w:val="16"/>
                <w:color w:val="auto"/>
              </w:rPr>
              <w:t>13.30</w:t>
            </w:r>
          </w:p>
        </w:tc>
        <w:tc>
          <w:tcPr>
            <w:tcW w:w="2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62.3%</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4.35</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44.94</w:t>
            </w: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933.3%</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Loans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137,659,885</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146,551,226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147,597,412</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137,659,885</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147,597,412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142,365,502</w:t>
            </w: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152,548,368</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150,340,862</w:t>
            </w:r>
          </w:p>
        </w:tc>
        <w:tc>
          <w:tcPr>
            <w:tcW w:w="2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142,365,502</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150,340,862</w:t>
            </w: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Net equity</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24,945,870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25,192,569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26,496,767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24,945,870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26,496,767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r>
      <w:tr>
        <w:trPr>
          <w:trHeight w:val="196"/>
        </w:trPr>
        <w:tc>
          <w:tcPr>
            <w:tcW w:w="2900" w:type="dxa"/>
            <w:vAlign w:val="bottom"/>
          </w:tcPr>
          <w:p>
            <w:pPr>
              <w:spacing w:after="0"/>
              <w:rPr>
                <w:sz w:val="20"/>
                <w:szCs w:val="20"/>
                <w:color w:val="auto"/>
              </w:rPr>
            </w:pPr>
            <w:r>
              <w:rPr>
                <w:rFonts w:ascii="Arial" w:cs="Arial" w:eastAsia="Arial" w:hAnsi="Arial"/>
                <w:sz w:val="16"/>
                <w:szCs w:val="16"/>
                <w:b w:val="1"/>
                <w:bCs w:val="1"/>
                <w:color w:val="auto"/>
              </w:rPr>
              <w:t>Profitability</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Net interest margin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4.25%</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6"/>
              </w:rPr>
              <w:t>2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52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-20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Risk-adjusted Net interest margin</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2.41%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3.95%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4.04%</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9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163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3.57%</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224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Funding cost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6"/>
              </w:rPr>
              <w:t>3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-10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-49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ROAE</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10.8%</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18.5%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-210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560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13.9%</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1250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ROAA</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-20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60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130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b w:val="1"/>
                <w:bCs w:val="1"/>
                <w:color w:val="auto"/>
              </w:rPr>
              <w:t>Loan portfolio quality</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Internal overdue ratio (1)</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3.76%</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6"/>
              </w:rPr>
              <w:t>3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36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3.76%</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36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Internal overdue ratio over 90 days</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2.69%</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2.76%</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2.85%</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9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16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2.69%</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2.85%</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16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NPL ratio (2)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4.61%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6"/>
              </w:rPr>
              <w:t>2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37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4.97%</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36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Cost of risk (3)</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2.13%</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0.45%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0.34%</w:t>
            </w:r>
          </w:p>
        </w:tc>
        <w:tc>
          <w:tcPr>
            <w:tcW w:w="92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-11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-179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4.30%</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0.82%</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-348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Coverage ratio of IOLs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211.7%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152.7%</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-1310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-5900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211.7%</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152.9%</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-5880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Coverage ratio of NPLs</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156.1%</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124.8%</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115.3%</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-950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-4080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156.1%</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115.5%</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-4060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efficiency</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Efficiency ratio (4)</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47.2%</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46.1%</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49.5%</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340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230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46.3%</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45.9%</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-40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w w:val="94"/>
              </w:rPr>
              <w:t>Operating expenses / Total average assets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32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47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3.19%</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3.19%</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0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b w:val="1"/>
                <w:bCs w:val="1"/>
                <w:color w:val="auto"/>
              </w:rPr>
              <w:t>Insurance ratios</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Combined ratio of P&amp;C (5) (6)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81.4%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86.5%</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-760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7"/>
              </w:rPr>
              <w:t>510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81.4%</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86.5%</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510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Loss ratio (6)</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75.4%</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76.5%</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71.3%</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-520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-410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68.5%</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93.1%</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2460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6"/>
              </w:rPr>
              <w:t>Capital adequacy - BCP Stand-alone (7)</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Global Capital ratio (8)</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14.93%</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15.16%</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14.94%</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-22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1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14.93%</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14.94%</w:t>
            </w: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1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Tier 1 ratio (9)</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10.41%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9.94%</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-6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-47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9.94%</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-47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Common equity tier 1 ratio (10)</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11.40%</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11.10%</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11.84%</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74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44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11.40%</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11.84%</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44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Capital adequacy - Mibanco (7)</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Global Capital ratio (8)</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19.82%</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16.74%</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16.36%</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-38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-346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19.82%</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16.36%</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-346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Tier 1 ratio (9)</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17.67%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13.93%</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-32 bps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-374 bps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17.67%</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13.93%</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-374 bps</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Common equity tier 1 ratio (10)</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17.70%</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15.10%</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14.85%</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-25 bps</w:t>
            </w: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-285 bps</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17.70%</w:t>
            </w:r>
          </w:p>
        </w:tc>
        <w:tc>
          <w:tcPr>
            <w:tcW w:w="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14.85%</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-285 bps</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Employees</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36,806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35,733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36,358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36,806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36,358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196"/>
        </w:trPr>
        <w:tc>
          <w:tcPr>
            <w:tcW w:w="2900" w:type="dxa"/>
            <w:vAlign w:val="bottom"/>
          </w:tcPr>
          <w:p>
            <w:pPr>
              <w:spacing w:after="0"/>
              <w:rPr>
                <w:sz w:val="20"/>
                <w:szCs w:val="20"/>
                <w:color w:val="auto"/>
              </w:rPr>
            </w:pPr>
            <w:r>
              <w:rPr>
                <w:rFonts w:ascii="Arial" w:cs="Arial" w:eastAsia="Arial" w:hAnsi="Arial"/>
                <w:sz w:val="16"/>
                <w:szCs w:val="16"/>
                <w:b w:val="1"/>
                <w:bCs w:val="1"/>
                <w:color w:val="auto"/>
              </w:rPr>
              <w:t>Share Information</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Issued Shares</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94,382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94,382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94,382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94,382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94,382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196"/>
        </w:trPr>
        <w:tc>
          <w:tcPr>
            <w:tcW w:w="2900" w:type="dxa"/>
            <w:vAlign w:val="bottom"/>
          </w:tcPr>
          <w:p>
            <w:pPr>
              <w:spacing w:after="0"/>
              <w:rPr>
                <w:sz w:val="20"/>
                <w:szCs w:val="20"/>
                <w:color w:val="auto"/>
              </w:rPr>
            </w:pPr>
            <w:r>
              <w:rPr>
                <w:rFonts w:ascii="Arial" w:cs="Arial" w:eastAsia="Arial" w:hAnsi="Arial"/>
                <w:sz w:val="16"/>
                <w:szCs w:val="16"/>
                <w:color w:val="auto"/>
              </w:rPr>
              <w:t>Treasury Shares (11)</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14,915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14,866</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14,850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14,915</w:t>
            </w:r>
          </w:p>
        </w:tc>
        <w:tc>
          <w:tcPr>
            <w:tcW w:w="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14,866</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19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Outstanding Shares</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79,467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79,516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79,532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79,467</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79,516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bl>
    <w:p>
      <w:pPr>
        <w:spacing w:after="0" w:line="202" w:lineRule="exact"/>
        <w:rPr>
          <w:sz w:val="20"/>
          <w:szCs w:val="20"/>
          <w:color w:val="auto"/>
        </w:rPr>
      </w:pPr>
    </w:p>
    <w:p>
      <w:pPr>
        <w:ind w:left="2" w:right="20" w:hanging="2"/>
        <w:spacing w:after="0" w:line="238" w:lineRule="auto"/>
        <w:tabs>
          <w:tab w:leader="none" w:pos="285"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Internal overdue loans includes overdue loans and loans under legal collection, according to our internal policy for overdue loans. Internal Overdue ratio: Internal overdue loans / Total loans.</w:t>
      </w:r>
    </w:p>
    <w:p>
      <w:pPr>
        <w:spacing w:after="0" w:line="1" w:lineRule="exact"/>
        <w:rPr>
          <w:rFonts w:ascii="Arial" w:cs="Arial" w:eastAsia="Arial" w:hAnsi="Arial"/>
          <w:sz w:val="20"/>
          <w:szCs w:val="20"/>
          <w:color w:val="auto"/>
        </w:rPr>
      </w:pPr>
    </w:p>
    <w:p>
      <w:pPr>
        <w:ind w:left="282" w:hanging="282"/>
        <w:spacing w:after="0" w:line="230" w:lineRule="auto"/>
        <w:tabs>
          <w:tab w:leader="none" w:pos="282" w:val="left"/>
        </w:tabs>
        <w:numPr>
          <w:ilvl w:val="0"/>
          <w:numId w:val="2"/>
        </w:numPr>
        <w:rPr>
          <w:rFonts w:ascii="Arial" w:cs="Arial" w:eastAsia="Arial" w:hAnsi="Arial"/>
          <w:sz w:val="20"/>
          <w:szCs w:val="20"/>
          <w:color w:val="auto"/>
        </w:rPr>
      </w:pPr>
      <w:r>
        <w:rPr>
          <w:rFonts w:ascii="Arial" w:cs="Arial" w:eastAsia="Arial" w:hAnsi="Arial"/>
          <w:sz w:val="20"/>
          <w:szCs w:val="20"/>
          <w:color w:val="auto"/>
        </w:rPr>
        <w:t>Non-performing loans (NPL): Internal overdue loans + Refinanced loans. NPL ratio: NPL / Total loans.</w:t>
      </w:r>
    </w:p>
    <w:p>
      <w:pPr>
        <w:ind w:left="282" w:hanging="282"/>
        <w:spacing w:after="0" w:line="230" w:lineRule="auto"/>
        <w:tabs>
          <w:tab w:leader="none" w:pos="282" w:val="left"/>
        </w:tabs>
        <w:numPr>
          <w:ilvl w:val="0"/>
          <w:numId w:val="2"/>
        </w:numPr>
        <w:rPr>
          <w:rFonts w:ascii="Arial" w:cs="Arial" w:eastAsia="Arial" w:hAnsi="Arial"/>
          <w:sz w:val="20"/>
          <w:szCs w:val="20"/>
          <w:color w:val="auto"/>
        </w:rPr>
      </w:pPr>
      <w:r>
        <w:rPr>
          <w:rFonts w:ascii="Arial" w:cs="Arial" w:eastAsia="Arial" w:hAnsi="Arial"/>
          <w:sz w:val="20"/>
          <w:szCs w:val="20"/>
          <w:color w:val="auto"/>
        </w:rPr>
        <w:t>Cost of risk: Annualized provision for loan losses, net of recoveries / Total loans.</w:t>
      </w:r>
    </w:p>
    <w:p>
      <w:pPr>
        <w:jc w:val="both"/>
        <w:ind w:left="2" w:right="20" w:hanging="2"/>
        <w:spacing w:after="0" w:line="271" w:lineRule="auto"/>
        <w:tabs>
          <w:tab w:leader="none" w:pos="336"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Efficiency ratio = (Salaries and employee benefits + Administrative expenses + Depreciation and amortization + Association in participation + Acquisition cost) / (Net interest, similar income and expenses + Fee Income + Net gain on foreign exchange transaction + Net Gain From associates + Net gain on derivatives held for trading + Result on exchange differences + Net Premiums Earned).</w:t>
      </w:r>
    </w:p>
    <w:p>
      <w:pPr>
        <w:ind w:left="2" w:right="20" w:hanging="2"/>
        <w:spacing w:after="0" w:line="230" w:lineRule="auto"/>
        <w:tabs>
          <w:tab w:leader="none" w:pos="307"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Combined ratio = (Net claims / Net earned premiums) + [(Acquisition cost + Operating expenses) / Net earned premiums]. Does not include Life insurance business.</w:t>
      </w:r>
    </w:p>
    <w:p>
      <w:pPr>
        <w:ind w:left="282" w:hanging="282"/>
        <w:spacing w:after="0" w:line="230" w:lineRule="auto"/>
        <w:tabs>
          <w:tab w:leader="none" w:pos="282"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Considers Grupo Pacifico's figures before eliminations for consolidation to Credicorp.</w:t>
      </w:r>
    </w:p>
    <w:p>
      <w:pPr>
        <w:ind w:left="282" w:hanging="282"/>
        <w:spacing w:after="0" w:line="230" w:lineRule="auto"/>
        <w:tabs>
          <w:tab w:leader="none" w:pos="282" w:val="left"/>
        </w:tabs>
        <w:numPr>
          <w:ilvl w:val="0"/>
          <w:numId w:val="2"/>
        </w:numPr>
        <w:rPr>
          <w:rFonts w:ascii="Arial" w:cs="Arial" w:eastAsia="Arial" w:hAnsi="Arial"/>
          <w:sz w:val="20"/>
          <w:szCs w:val="20"/>
          <w:color w:val="auto"/>
        </w:rPr>
      </w:pPr>
      <w:r>
        <w:rPr>
          <w:rFonts w:ascii="Arial" w:cs="Arial" w:eastAsia="Arial" w:hAnsi="Arial"/>
          <w:sz w:val="20"/>
          <w:szCs w:val="20"/>
          <w:color w:val="auto"/>
        </w:rPr>
        <w:t>All Capital ratios for BCP Stand-alone and Mibanco are based on Peru GAAP.</w:t>
      </w:r>
    </w:p>
    <w:p>
      <w:pPr>
        <w:ind w:left="282" w:hanging="282"/>
        <w:spacing w:after="0" w:line="230" w:lineRule="auto"/>
        <w:tabs>
          <w:tab w:leader="none" w:pos="282" w:val="left"/>
        </w:tabs>
        <w:numPr>
          <w:ilvl w:val="0"/>
          <w:numId w:val="2"/>
        </w:numPr>
        <w:rPr>
          <w:rFonts w:ascii="Arial" w:cs="Arial" w:eastAsia="Arial" w:hAnsi="Arial"/>
          <w:sz w:val="20"/>
          <w:szCs w:val="20"/>
          <w:color w:val="auto"/>
        </w:rPr>
      </w:pPr>
      <w:r>
        <w:rPr>
          <w:rFonts w:ascii="Arial" w:cs="Arial" w:eastAsia="Arial" w:hAnsi="Arial"/>
          <w:sz w:val="20"/>
          <w:szCs w:val="20"/>
          <w:color w:val="auto"/>
        </w:rPr>
        <w:t>Regulatory Capital / Risk-weighted assets (legal minimum = 10% since July 2011).</w:t>
      </w:r>
    </w:p>
    <w:p>
      <w:pPr>
        <w:jc w:val="both"/>
        <w:ind w:left="2" w:hanging="2"/>
        <w:spacing w:after="0" w:line="230" w:lineRule="auto"/>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20"/>
          <w:szCs w:val="20"/>
          <w:color w:val="auto"/>
        </w:rPr>
      </w:pPr>
    </w:p>
    <w:p>
      <w:pPr>
        <w:ind w:left="2" w:right="20" w:hanging="2"/>
        <w:spacing w:after="0" w:line="230" w:lineRule="auto"/>
        <w:tabs>
          <w:tab w:leader="none" w:pos="39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Common Equity Tier I = Capital + Reserves – 100% of applicable deductions (investment in subsidiaries, goodwill, intangibles and net deferred taxes that rely on future profitability) + retained earnings + unrealized gains.</w:t>
      </w:r>
    </w:p>
    <w:p>
      <w:pPr>
        <w:ind w:left="2" w:right="20"/>
        <w:spacing w:after="0" w:line="271" w:lineRule="auto"/>
        <w:rPr>
          <w:rFonts w:ascii="Arial" w:cs="Arial" w:eastAsia="Arial" w:hAnsi="Arial"/>
          <w:sz w:val="20"/>
          <w:szCs w:val="20"/>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62" w:hanging="362"/>
        <w:spacing w:after="0"/>
        <w:tabs>
          <w:tab w:leader="none" w:pos="362"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These shares are held by Atlantic Security Holding Corporation (ASHC) and for shared based payments.</w:t>
      </w:r>
    </w:p>
    <w:p>
      <w:pPr>
        <w:sectPr>
          <w:pgSz w:w="11900" w:h="16838" w:orient="portrait"/>
          <w:cols w:equalWidth="0" w:num="1">
            <w:col w:w="11262"/>
          </w:cols>
          <w:pgMar w:left="318" w:top="765" w:right="319" w:bottom="0" w:gutter="0" w:footer="0" w:header="0"/>
        </w:sectPr>
      </w:pPr>
    </w:p>
    <w:bookmarkStart w:id="9" w:name="page10"/>
    <w:bookmarkEnd w:id="9"/>
    <w:p>
      <w:pPr>
        <w:ind w:left="9280"/>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85" w:right="11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76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8550" cy="657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80"/>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11" w:name="page12"/>
    <w:bookmarkEnd w:id="11"/>
    <w:tbl>
      <w:tblPr>
        <w:tblLayout w:type="fixed"/>
        <w:tblInd w:w="2" w:type="dxa"/>
        <w:tblCellMar>
          <w:top w:w="0" w:type="dxa"/>
          <w:left w:w="0" w:type="dxa"/>
          <w:bottom w:w="0" w:type="dxa"/>
          <w:right w:w="0" w:type="dxa"/>
        </w:tblCellMar>
      </w:tblPr>
      <w:tr>
        <w:trPr>
          <w:trHeight w:val="212"/>
        </w:trPr>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1.  Interest Earning Assets (IEA)</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7"/>
        </w:trPr>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Interest earning assets</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change</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Pr>
          <w:p>
            <w:pPr>
              <w:spacing w:after="0"/>
              <w:rPr>
                <w:sz w:val="17"/>
                <w:szCs w:val="17"/>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Dec 20</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Sep 21</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Dec 21</w:t>
            </w:r>
          </w:p>
        </w:tc>
        <w:tc>
          <w:tcPr>
            <w:tcW w:w="220" w:type="dxa"/>
            <w:vAlign w:val="bottom"/>
          </w:tcPr>
          <w:p>
            <w:pPr>
              <w:spacing w:after="0"/>
              <w:rPr>
                <w:sz w:val="17"/>
                <w:szCs w:val="17"/>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QoQ</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7"/>
                <w:szCs w:val="17"/>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28,544,161</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36,137,443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32,392,465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r>
      <w:tr>
        <w:trPr>
          <w:trHeight w:val="196"/>
        </w:trPr>
        <w:tc>
          <w:tcPr>
            <w:tcW w:w="4820" w:type="dxa"/>
            <w:vAlign w:val="bottom"/>
            <w:gridSpan w:val="2"/>
          </w:tcPr>
          <w:p>
            <w:pPr>
              <w:spacing w:after="0"/>
              <w:rPr>
                <w:sz w:val="20"/>
                <w:szCs w:val="20"/>
                <w:color w:val="auto"/>
              </w:rPr>
            </w:pPr>
            <w:r>
              <w:rPr>
                <w:rFonts w:ascii="Arial" w:cs="Arial" w:eastAsia="Arial" w:hAnsi="Arial"/>
                <w:sz w:val="16"/>
                <w:szCs w:val="16"/>
                <w:color w:val="auto"/>
              </w:rPr>
              <w:t>Interbank funds</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32,221</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9,782</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2,943</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-69.9%</w:t>
            </w:r>
          </w:p>
        </w:tc>
        <w:tc>
          <w:tcPr>
            <w:tcW w:w="3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-90.9%</w:t>
            </w:r>
          </w:p>
        </w:tc>
      </w:tr>
      <w:tr>
        <w:trPr>
          <w:trHeight w:val="196"/>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55,173,742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48,110,456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48,952,499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r>
      <w:tr>
        <w:trPr>
          <w:trHeight w:val="196"/>
        </w:trPr>
        <w:tc>
          <w:tcPr>
            <w:tcW w:w="4820" w:type="dxa"/>
            <w:vAlign w:val="bottom"/>
            <w:gridSpan w:val="2"/>
          </w:tcPr>
          <w:p>
            <w:pPr>
              <w:spacing w:after="0"/>
              <w:rPr>
                <w:sz w:val="20"/>
                <w:szCs w:val="20"/>
                <w:color w:val="auto"/>
              </w:rPr>
            </w:pPr>
            <w:r>
              <w:rPr>
                <w:rFonts w:ascii="Arial" w:cs="Arial" w:eastAsia="Arial" w:hAnsi="Arial"/>
                <w:sz w:val="16"/>
                <w:szCs w:val="16"/>
                <w:color w:val="auto"/>
                <w:w w:val="92"/>
              </w:rPr>
              <w:t>Cash collateral, reverse repurchase agreements and securities borrowing</w:t>
            </w:r>
          </w:p>
        </w:tc>
        <w:tc>
          <w:tcPr>
            <w:tcW w:w="1060" w:type="dxa"/>
            <w:vAlign w:val="bottom"/>
          </w:tcPr>
          <w:p>
            <w:pPr>
              <w:jc w:val="right"/>
              <w:spacing w:after="0"/>
              <w:rPr>
                <w:sz w:val="20"/>
                <w:szCs w:val="20"/>
                <w:color w:val="auto"/>
              </w:rPr>
            </w:pPr>
            <w:r>
              <w:rPr>
                <w:rFonts w:ascii="Arial" w:cs="Arial" w:eastAsia="Arial" w:hAnsi="Arial"/>
                <w:sz w:val="16"/>
                <w:szCs w:val="16"/>
                <w:color w:val="auto"/>
              </w:rPr>
              <w:t>2,394,302</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2,555,337</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1,766,948</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-30.9%</w:t>
            </w:r>
          </w:p>
        </w:tc>
        <w:tc>
          <w:tcPr>
            <w:tcW w:w="3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-26.2%</w:t>
            </w:r>
          </w:p>
        </w:tc>
      </w:tr>
      <w:tr>
        <w:trPr>
          <w:trHeight w:val="196"/>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assets designated at fair value through profit or loss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823,270</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981,508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974,664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r>
      <w:tr>
        <w:trPr>
          <w:trHeight w:val="196"/>
        </w:trPr>
        <w:tc>
          <w:tcPr>
            <w:tcW w:w="4820" w:type="dxa"/>
            <w:vAlign w:val="bottom"/>
            <w:gridSpan w:val="2"/>
          </w:tcPr>
          <w:p>
            <w:pPr>
              <w:spacing w:after="0"/>
              <w:rPr>
                <w:sz w:val="20"/>
                <w:szCs w:val="20"/>
                <w:color w:val="auto"/>
              </w:rPr>
            </w:pPr>
            <w:r>
              <w:rPr>
                <w:rFonts w:ascii="Arial" w:cs="Arial" w:eastAsia="Arial" w:hAnsi="Arial"/>
                <w:sz w:val="16"/>
                <w:szCs w:val="16"/>
                <w:color w:val="auto"/>
              </w:rPr>
              <w:t>Total loans</w:t>
            </w:r>
          </w:p>
        </w:tc>
        <w:tc>
          <w:tcPr>
            <w:tcW w:w="1060" w:type="dxa"/>
            <w:vAlign w:val="bottom"/>
          </w:tcPr>
          <w:p>
            <w:pPr>
              <w:jc w:val="right"/>
              <w:spacing w:after="0"/>
              <w:rPr>
                <w:sz w:val="20"/>
                <w:szCs w:val="20"/>
                <w:color w:val="auto"/>
              </w:rPr>
            </w:pPr>
            <w:r>
              <w:rPr>
                <w:rFonts w:ascii="Arial" w:cs="Arial" w:eastAsia="Arial" w:hAnsi="Arial"/>
                <w:sz w:val="16"/>
                <w:szCs w:val="16"/>
                <w:color w:val="auto"/>
              </w:rPr>
              <w:t>137,659,885</w:t>
            </w:r>
          </w:p>
        </w:tc>
        <w:tc>
          <w:tcPr>
            <w:tcW w:w="2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146,551,226</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147,597,412</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r>
      <w:tr>
        <w:trPr>
          <w:trHeight w:val="20"/>
        </w:trPr>
        <w:tc>
          <w:tcPr>
            <w:tcW w:w="482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interest earning assets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224,627,581</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234,345,752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231,686,931</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r>
      <w:tr>
        <w:trPr>
          <w:trHeight w:val="443"/>
        </w:trPr>
        <w:tc>
          <w:tcPr>
            <w:tcW w:w="4820" w:type="dxa"/>
            <w:vAlign w:val="bottom"/>
            <w:tcBorders>
              <w:top w:val="single" w:sz="8" w:color="CCEEFF"/>
            </w:tcBorders>
            <w:gridSpan w:val="2"/>
          </w:tcPr>
          <w:p>
            <w:pPr>
              <w:spacing w:after="0"/>
              <w:rPr>
                <w:sz w:val="20"/>
                <w:szCs w:val="20"/>
                <w:color w:val="auto"/>
              </w:rPr>
            </w:pPr>
            <w:r>
              <w:rPr>
                <w:rFonts w:ascii="Arial" w:cs="Arial" w:eastAsia="Arial" w:hAnsi="Arial"/>
                <w:sz w:val="20"/>
                <w:szCs w:val="20"/>
                <w:b w:val="1"/>
                <w:bCs w:val="1"/>
                <w:color w:val="auto"/>
              </w:rPr>
              <w:t>1.1. Structure and Evolution of IEA</w:t>
            </w: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14"/>
        </w:trPr>
        <w:tc>
          <w:tcPr>
            <w:tcW w:w="4820" w:type="dxa"/>
            <w:vAlign w:val="bottom"/>
            <w:gridSpan w:val="2"/>
          </w:tcPr>
          <w:p>
            <w:pPr>
              <w:ind w:left="1860"/>
              <w:spacing w:after="0"/>
              <w:rPr>
                <w:sz w:val="20"/>
                <w:szCs w:val="20"/>
                <w:color w:val="auto"/>
              </w:rPr>
            </w:pPr>
            <w:r>
              <w:rPr>
                <w:rFonts w:ascii="Arial" w:cs="Arial" w:eastAsia="Arial" w:hAnsi="Arial"/>
                <w:sz w:val="20"/>
                <w:szCs w:val="20"/>
                <w:b w:val="1"/>
                <w:bCs w:val="1"/>
                <w:color w:val="auto"/>
              </w:rPr>
              <w:t>Composition of IEA</w:t>
            </w:r>
          </w:p>
        </w:tc>
        <w:tc>
          <w:tcPr>
            <w:tcW w:w="6420" w:type="dxa"/>
            <w:vAlign w:val="bottom"/>
            <w:gridSpan w:val="11"/>
          </w:tcPr>
          <w:p>
            <w:pPr>
              <w:ind w:left="1020"/>
              <w:spacing w:after="0"/>
              <w:rPr>
                <w:sz w:val="20"/>
                <w:szCs w:val="20"/>
                <w:color w:val="auto"/>
              </w:rPr>
            </w:pPr>
            <w:r>
              <w:rPr>
                <w:rFonts w:ascii="Arial" w:cs="Arial" w:eastAsia="Arial" w:hAnsi="Arial"/>
                <w:sz w:val="20"/>
                <w:szCs w:val="20"/>
                <w:color w:val="auto"/>
                <w:w w:val="96"/>
              </w:rPr>
              <w:t>At the end of December 2021, loans, our most profitable asset,</w:t>
            </w:r>
          </w:p>
        </w:tc>
      </w:tr>
      <w:tr>
        <w:trPr>
          <w:trHeight w:val="215"/>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20" w:type="dxa"/>
            <w:vAlign w:val="bottom"/>
            <w:gridSpan w:val="11"/>
          </w:tcPr>
          <w:p>
            <w:pPr>
              <w:ind w:left="1020"/>
              <w:spacing w:after="0" w:line="215" w:lineRule="exact"/>
              <w:rPr>
                <w:sz w:val="20"/>
                <w:szCs w:val="20"/>
                <w:color w:val="auto"/>
              </w:rPr>
            </w:pPr>
            <w:r>
              <w:rPr>
                <w:rFonts w:ascii="Arial" w:cs="Arial" w:eastAsia="Arial" w:hAnsi="Arial"/>
                <w:sz w:val="20"/>
                <w:szCs w:val="20"/>
                <w:color w:val="auto"/>
                <w:w w:val="94"/>
              </w:rPr>
              <w:t>represented  63.7% of IEAs, followed by investments with 21.1%</w:t>
            </w:r>
          </w:p>
        </w:tc>
      </w:tr>
      <w:tr>
        <w:trPr>
          <w:trHeight w:val="226"/>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20" w:type="dxa"/>
            <w:vAlign w:val="bottom"/>
            <w:gridSpan w:val="11"/>
          </w:tcPr>
          <w:p>
            <w:pPr>
              <w:ind w:left="1020"/>
              <w:spacing w:after="0" w:line="226" w:lineRule="exact"/>
              <w:rPr>
                <w:sz w:val="20"/>
                <w:szCs w:val="20"/>
                <w:color w:val="auto"/>
              </w:rPr>
            </w:pPr>
            <w:r>
              <w:rPr>
                <w:rFonts w:ascii="Arial" w:cs="Arial" w:eastAsia="Arial" w:hAnsi="Arial"/>
                <w:sz w:val="17"/>
                <w:szCs w:val="17"/>
                <w:color w:val="auto"/>
              </w:rPr>
              <w:t>and other assets</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with 15.2%. IEAs dropped -1.1% QoQ driven by a</w:t>
            </w: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20" w:type="dxa"/>
            <w:vAlign w:val="bottom"/>
            <w:gridSpan w:val="11"/>
          </w:tcPr>
          <w:p>
            <w:pPr>
              <w:ind w:left="1020"/>
              <w:spacing w:after="0" w:line="221" w:lineRule="exact"/>
              <w:rPr>
                <w:sz w:val="20"/>
                <w:szCs w:val="20"/>
                <w:color w:val="auto"/>
              </w:rPr>
            </w:pPr>
            <w:r>
              <w:rPr>
                <w:rFonts w:ascii="Arial" w:cs="Arial" w:eastAsia="Arial" w:hAnsi="Arial"/>
                <w:sz w:val="20"/>
                <w:szCs w:val="20"/>
                <w:color w:val="auto"/>
                <w:w w:val="92"/>
              </w:rPr>
              <w:t>decrease in available funds but increased +3.1% YoY due to loan</w:t>
            </w:r>
          </w:p>
        </w:tc>
      </w:tr>
      <w:tr>
        <w:trPr>
          <w:trHeight w:val="249"/>
        </w:trPr>
        <w:tc>
          <w:tcPr>
            <w:tcW w:w="4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4"/>
          </w:tcPr>
          <w:p>
            <w:pPr>
              <w:ind w:left="1020"/>
              <w:spacing w:after="0"/>
              <w:rPr>
                <w:sz w:val="20"/>
                <w:szCs w:val="20"/>
                <w:color w:val="auto"/>
              </w:rPr>
            </w:pPr>
            <w:r>
              <w:rPr>
                <w:rFonts w:ascii="Arial" w:cs="Arial" w:eastAsia="Arial" w:hAnsi="Arial"/>
                <w:sz w:val="20"/>
                <w:szCs w:val="20"/>
                <w:color w:val="auto"/>
              </w:rPr>
              <w:t>growth.</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-426085</wp:posOffset>
            </wp:positionV>
            <wp:extent cx="2275205" cy="1682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75205" cy="1682750"/>
                    </a:xfrm>
                    <a:prstGeom prst="rect">
                      <a:avLst/>
                    </a:prstGeom>
                    <a:noFill/>
                  </pic:spPr>
                </pic:pic>
              </a:graphicData>
            </a:graphic>
          </wp:anchor>
        </w:drawing>
      </w:r>
    </w:p>
    <w:p>
      <w:pPr>
        <w:spacing w:after="0" w:line="173" w:lineRule="exact"/>
        <w:rPr>
          <w:sz w:val="20"/>
          <w:szCs w:val="20"/>
          <w:color w:val="auto"/>
        </w:rPr>
      </w:pPr>
    </w:p>
    <w:p>
      <w:pPr>
        <w:jc w:val="both"/>
        <w:ind w:left="5842"/>
        <w:spacing w:after="0" w:line="247" w:lineRule="auto"/>
        <w:rPr>
          <w:sz w:val="20"/>
          <w:szCs w:val="20"/>
          <w:color w:val="auto"/>
        </w:rPr>
      </w:pPr>
      <w:r>
        <w:rPr>
          <w:rFonts w:ascii="Arial" w:cs="Arial" w:eastAsia="Arial" w:hAnsi="Arial"/>
          <w:sz w:val="19"/>
          <w:szCs w:val="19"/>
          <w:color w:val="auto"/>
        </w:rPr>
        <w:t>Loans continued to report an uptick in their share of the IEA structure in 4Q21, spurred by growth in structural loans. It is important to note that GP loans registered a decrease in their share of IEAs, following the same trend seen in the previous quarter. GP loans’ share of total IEA fell from 11.0% in Dec-20 to 9.0% in Sept-21 and 8.1% in Dec-21. Structural loans went from representing 50.3% of the IEAs in Dec-20 to accounting for 53.6% of the pool in Sept-21 and 55.6% in Dec-21.</w:t>
      </w:r>
    </w:p>
    <w:p>
      <w:pPr>
        <w:spacing w:after="0" w:line="16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QoQ, investments registered an increase in their share of IEAs while the share of liquid assets fell. The inverse occurred YoY, given that the share of investments fell while the share of liquid assets increased.</w:t>
      </w:r>
    </w:p>
    <w:p>
      <w:pPr>
        <w:spacing w:after="0" w:line="17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Loans (quarter-end balances)</w:t>
      </w:r>
    </w:p>
    <w:p>
      <w:pPr>
        <w:spacing w:after="0" w:line="218"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It is important to note that loan evolution in recent quarters has been affected by exchange rate volatility and by the progressive decline in GP balances.</w:t>
      </w:r>
    </w:p>
    <w:p>
      <w:pPr>
        <w:spacing w:after="0" w:line="183"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QoQ, total loans increased +0.7% and structural loans +2.7%; both metrics were affected by the -3.6% decrease in the exchange rate. If we exclude the exchange rate effect, total loans grew +2.0% QoQ and structural loans, 4.2%. This reflected:</w:t>
      </w:r>
    </w:p>
    <w:p>
      <w:pPr>
        <w:spacing w:after="0" w:line="190" w:lineRule="exact"/>
        <w:rPr>
          <w:sz w:val="20"/>
          <w:szCs w:val="20"/>
          <w:color w:val="auto"/>
        </w:rPr>
      </w:pPr>
    </w:p>
    <w:p>
      <w:pPr>
        <w:jc w:val="both"/>
        <w:ind w:left="582" w:hanging="422"/>
        <w:spacing w:after="0" w:line="271" w:lineRule="auto"/>
        <w:tabs>
          <w:tab w:leader="none" w:pos="582" w:val="left"/>
        </w:tabs>
        <w:numPr>
          <w:ilvl w:val="0"/>
          <w:numId w:val="3"/>
        </w:numPr>
        <w:rPr>
          <w:rFonts w:ascii="Arial" w:cs="Arial" w:eastAsia="Arial" w:hAnsi="Arial"/>
          <w:sz w:val="16"/>
          <w:szCs w:val="16"/>
          <w:color w:val="auto"/>
        </w:rPr>
      </w:pPr>
      <w:r>
        <w:rPr>
          <w:rFonts w:ascii="Arial" w:cs="Arial" w:eastAsia="Arial" w:hAnsi="Arial"/>
          <w:sz w:val="16"/>
          <w:szCs w:val="16"/>
          <w:color w:val="auto"/>
        </w:rPr>
        <w:t>Structural growth was led by Retail Banking at BCP Stand-alone. All segments contributed to expansion, with the exception of SME-Business. Growth was driven by economic recovery in general and by personal consumption in particular given seasonal effects at year-end and due to the fact that sanitary restrictions were loosened.</w:t>
      </w:r>
    </w:p>
    <w:p>
      <w:pPr>
        <w:spacing w:after="0" w:line="186" w:lineRule="exact"/>
        <w:rPr>
          <w:rFonts w:ascii="Arial" w:cs="Arial" w:eastAsia="Arial" w:hAnsi="Arial"/>
          <w:sz w:val="16"/>
          <w:szCs w:val="16"/>
          <w:color w:val="auto"/>
        </w:rPr>
      </w:pPr>
    </w:p>
    <w:p>
      <w:pPr>
        <w:ind w:left="582" w:hanging="422"/>
        <w:spacing w:after="0" w:line="287" w:lineRule="auto"/>
        <w:tabs>
          <w:tab w:leader="none" w:pos="582" w:val="left"/>
        </w:tabs>
        <w:numPr>
          <w:ilvl w:val="0"/>
          <w:numId w:val="3"/>
        </w:numPr>
        <w:rPr>
          <w:rFonts w:ascii="Arial" w:cs="Arial" w:eastAsia="Arial" w:hAnsi="Arial"/>
          <w:sz w:val="16"/>
          <w:szCs w:val="16"/>
          <w:color w:val="auto"/>
        </w:rPr>
      </w:pPr>
      <w:r>
        <w:rPr>
          <w:rFonts w:ascii="Arial" w:cs="Arial" w:eastAsia="Arial" w:hAnsi="Arial"/>
          <w:sz w:val="16"/>
          <w:szCs w:val="16"/>
          <w:color w:val="auto"/>
        </w:rPr>
        <w:t>Mibanco’s portfolio registered structural growth of +4.7% in a context marked by record-high levels of disbursements. The microfinance segment was very dynamic in the last quarter of the year, in line with the seasonality that businesses experience at year-end.</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20"/>
          <w:szCs w:val="20"/>
          <w:color w:val="auto"/>
        </w:rPr>
        <w:t>GP loans fell -11.2% QoQ.</w:t>
      </w:r>
    </w:p>
    <w:p>
      <w:pPr>
        <w:spacing w:after="0" w:line="212"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YoY, total loans increased +7.2% versus a +14.1% increase in structural loans. This dynamic was driven by the +10.1% uptick in the exchange rate. If we exclude the exchange rate effect, total loans grew +3.9% and structural loans, +10.0%, driven by:</w:t>
      </w:r>
    </w:p>
    <w:p>
      <w:pPr>
        <w:spacing w:after="0" w:line="190" w:lineRule="exact"/>
        <w:rPr>
          <w:sz w:val="20"/>
          <w:szCs w:val="20"/>
          <w:color w:val="auto"/>
        </w:rPr>
      </w:pPr>
    </w:p>
    <w:p>
      <w:pPr>
        <w:ind w:left="582" w:hanging="422"/>
        <w:spacing w:after="0" w:line="287" w:lineRule="auto"/>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Growth in the Wholesale Banking portfolio at BCP, which was associated with an increase in disbursements due to a reactivation in internal demand; campaigns to increase market share; and a strong impulse from fishing and agriculture campaigns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17843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4350" cy="15875"/>
                    </a:xfrm>
                    <a:prstGeom prst="rect">
                      <a:avLst/>
                    </a:prstGeom>
                    <a:noFill/>
                  </pic:spPr>
                </pic:pic>
              </a:graphicData>
            </a:graphic>
          </wp:anchor>
        </w:drawing>
      </w:r>
    </w:p>
    <w:p>
      <w:pPr>
        <w:spacing w:after="0" w:line="343" w:lineRule="exact"/>
        <w:rPr>
          <w:sz w:val="20"/>
          <w:szCs w:val="20"/>
          <w:color w:val="auto"/>
        </w:rPr>
      </w:pPr>
    </w:p>
    <w:p>
      <w:pPr>
        <w:ind w:left="2" w:right="620" w:hanging="2"/>
        <w:spacing w:after="0" w:line="185" w:lineRule="auto"/>
        <w:tabs>
          <w:tab w:leader="none" w:pos="133" w:val="left"/>
        </w:tabs>
        <w:numPr>
          <w:ilvl w:val="0"/>
          <w:numId w:val="5"/>
        </w:numPr>
        <w:rPr>
          <w:rFonts w:ascii="Arial" w:cs="Arial" w:eastAsia="Arial" w:hAnsi="Arial"/>
          <w:sz w:val="33"/>
          <w:szCs w:val="33"/>
          <w:color w:val="auto"/>
          <w:vertAlign w:val="superscript"/>
        </w:rPr>
      </w:pPr>
      <w:r>
        <w:rPr>
          <w:rFonts w:ascii="Arial" w:cs="Arial" w:eastAsia="Arial" w:hAnsi="Arial"/>
          <w:sz w:val="20"/>
          <w:szCs w:val="20"/>
          <w:color w:val="auto"/>
        </w:rPr>
        <w:t>Includes Cash and Due from Banks; Interbank Funds; Cash Collateral, reverse repurchase agreements, and securities borrowings, and Financial Assets designated at fair value through profit or loss.</w:t>
      </w:r>
    </w:p>
    <w:p>
      <w:pPr>
        <w:spacing w:after="0" w:line="200" w:lineRule="exact"/>
        <w:rPr>
          <w:sz w:val="20"/>
          <w:szCs w:val="20"/>
          <w:color w:val="auto"/>
        </w:rPr>
      </w:pPr>
    </w:p>
    <w:p>
      <w:pPr>
        <w:spacing w:after="0" w:line="229" w:lineRule="exact"/>
        <w:rPr>
          <w:sz w:val="20"/>
          <w:szCs w:val="20"/>
          <w:color w:val="auto"/>
        </w:rPr>
      </w:pPr>
    </w:p>
    <w:p>
      <w:pPr>
        <w:ind w:left="1040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73" w:right="339" w:bottom="1440" w:gutter="0" w:footer="0" w:header="0"/>
        </w:sectPr>
      </w:pPr>
    </w:p>
    <w:bookmarkStart w:id="12" w:name="page13"/>
    <w:bookmarkEnd w:id="12"/>
    <w:p>
      <w:pPr>
        <w:ind w:left="580" w:hanging="422"/>
        <w:spacing w:after="0" w:line="28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Growth in the Retail Banking portfolio at BCP was led by SME-Pyme in a context marked by an uptick in economic activity due to a loosening of pandemic restrictions.</w:t>
      </w:r>
    </w:p>
    <w:p>
      <w:pPr>
        <w:spacing w:after="0" w:line="173" w:lineRule="exact"/>
        <w:rPr>
          <w:rFonts w:ascii="Arial" w:cs="Arial" w:eastAsia="Arial" w:hAnsi="Arial"/>
          <w:sz w:val="16"/>
          <w:szCs w:val="16"/>
          <w:color w:val="auto"/>
        </w:rPr>
      </w:pPr>
    </w:p>
    <w:p>
      <w:pPr>
        <w:ind w:left="580" w:hanging="422"/>
        <w:spacing w:after="0" w:line="28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Expansion of 10.8% in Mibanco’s portfolio, where disbursements have surpassed pre-pandemic levels since 3Q21. It is important to note that in 4Q21, disbursements actually hit record highs.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GP loans fell -24.2% YoY.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Investments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Total Investments</w:t>
            </w: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 change</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Dec 20</w:t>
            </w:r>
          </w:p>
        </w:tc>
        <w:tc>
          <w:tcPr>
            <w:tcW w:w="220" w:type="dxa"/>
            <w:vAlign w:val="bottom"/>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Sep 21</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Dec 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w w:val="92"/>
              </w:rPr>
              <w:t>QoQ</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Fair value through profit or loss investments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6,467,471</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5,928,497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-11.0%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r>
      <w:tr>
        <w:trPr>
          <w:trHeight w:val="196"/>
        </w:trPr>
        <w:tc>
          <w:tcPr>
            <w:tcW w:w="4560" w:type="dxa"/>
            <w:vAlign w:val="bottom"/>
            <w:gridSpan w:val="2"/>
          </w:tcPr>
          <w:p>
            <w:pPr>
              <w:spacing w:after="0"/>
              <w:rPr>
                <w:sz w:val="20"/>
                <w:szCs w:val="20"/>
                <w:color w:val="auto"/>
              </w:rPr>
            </w:pPr>
            <w:r>
              <w:rPr>
                <w:rFonts w:ascii="Arial" w:cs="Arial" w:eastAsia="Arial" w:hAnsi="Arial"/>
                <w:sz w:val="16"/>
                <w:szCs w:val="16"/>
                <w:color w:val="auto"/>
              </w:rPr>
              <w:t>Fair value through other comprehensive income investments</w:t>
            </w:r>
          </w:p>
        </w:tc>
        <w:tc>
          <w:tcPr>
            <w:tcW w:w="1100" w:type="dxa"/>
            <w:vAlign w:val="bottom"/>
          </w:tcPr>
          <w:p>
            <w:pPr>
              <w:jc w:val="right"/>
              <w:spacing w:after="0"/>
              <w:rPr>
                <w:sz w:val="20"/>
                <w:szCs w:val="20"/>
                <w:color w:val="auto"/>
              </w:rPr>
            </w:pPr>
            <w:r>
              <w:rPr>
                <w:rFonts w:ascii="Arial" w:cs="Arial" w:eastAsia="Arial" w:hAnsi="Arial"/>
                <w:sz w:val="16"/>
                <w:szCs w:val="16"/>
                <w:color w:val="auto"/>
              </w:rPr>
              <w:t>43,743,889</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33,261,505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34,758,443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-20.5%</w:t>
            </w:r>
          </w:p>
        </w:tc>
      </w:tr>
      <w:tr>
        <w:trPr>
          <w:trHeight w:val="196"/>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Amortized cost investments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4,962,382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8,187,351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8,265,559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66.6%</w:t>
            </w:r>
          </w:p>
        </w:tc>
      </w:tr>
      <w:tr>
        <w:trPr>
          <w:trHeight w:val="25"/>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Total investments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55,173,742</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48,110,456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48,952,499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-11.3%</w:t>
            </w: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Total investments increased +1.8% QoQ due to purchases of low-risk instruments and new allocations of certificates of deposits. YoY, total investments fell -11.3% due to: i) sales of investments in the second and third quarter of 2021 under a strategy to reduce the portfolio’s duration and, ii) expiration of certificates of deposit (which were not renewed).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IEA</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Available funds fell -10.4% QoQ, which was primarily driven by client withdrawals. YoY, available funds increased +13.4%. This growth was attributable to (i) cash generated by the sale of investments to reduce portfolio duration (ii) expirations of certificates of deposits (which were not renewed) and (iii) an increase in deposit balances after clients deposited funds from pension fund withdrawals.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Credicorp Loans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 Evolution of average daily balances (ADB)</w:t>
      </w:r>
    </w:p>
    <w:p>
      <w:pPr>
        <w:sectPr>
          <w:pgSz w:w="11900" w:h="16838" w:orient="portrait"/>
          <w:cols w:equalWidth="0" w:num="1">
            <w:col w:w="11240"/>
          </w:cols>
          <w:pgMar w:left="320" w:top="777" w:right="339" w:bottom="1440" w:gutter="0" w:footer="0" w:header="0"/>
        </w:sectPr>
      </w:pPr>
    </w:p>
    <w:p>
      <w:pPr>
        <w:spacing w:after="0" w:line="231"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Average daily balances for loans fell -0.9% QoQ and +5.8% YoY in the fourth quarter. YoY, ADB registered growth of +9.9%.</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As was the case for quarter-end balances, exchange rate volatility affected the dynamics of our portfolios in general but had a more marked effect on those that have higher dollarization levels, such as the Wholesale Banking segments at BCP and segments at Mibanco Colombia and BCP Bolivia.</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i w:val="1"/>
          <w:iCs w:val="1"/>
          <w:color w:val="auto"/>
        </w:rPr>
        <w:t>ADB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139" w:lineRule="exact"/>
        <w:rPr>
          <w:sz w:val="20"/>
          <w:szCs w:val="20"/>
          <w:color w:val="auto"/>
        </w:rPr>
      </w:pPr>
    </w:p>
    <w:p>
      <w:pPr>
        <w:sectPr>
          <w:pgSz w:w="11900" w:h="16838" w:orient="portrait"/>
          <w:cols w:equalWidth="0" w:num="2">
            <w:col w:w="5400" w:space="440"/>
            <w:col w:w="5400"/>
          </w:cols>
          <w:pgMar w:left="320" w:top="777" w:right="339" w:bottom="1440" w:gutter="0" w:footer="0" w:header="0"/>
          <w:type w:val="continuous"/>
        </w:sectPr>
      </w:pPr>
    </w:p>
    <w:p>
      <w:pPr>
        <w:spacing w:after="0"/>
        <w:rPr>
          <w:sz w:val="20"/>
          <w:szCs w:val="20"/>
          <w:color w:val="auto"/>
        </w:rPr>
      </w:pPr>
      <w:r>
        <w:rPr>
          <w:rFonts w:ascii="Arial" w:cs="Arial" w:eastAsia="Arial" w:hAnsi="Arial"/>
          <w:sz w:val="20"/>
          <w:szCs w:val="20"/>
          <w:color w:val="auto"/>
        </w:rPr>
        <w:t>It is important to note that the gradual amortization of GP loans also affected the evolution of our portfolios.</w:t>
      </w:r>
    </w:p>
    <w:p>
      <w:pPr>
        <w:spacing w:after="0" w:line="200" w:lineRule="exact"/>
        <w:rPr>
          <w:sz w:val="20"/>
          <w:szCs w:val="20"/>
          <w:color w:val="auto"/>
        </w:rPr>
      </w:pPr>
    </w:p>
    <w:p>
      <w:pPr>
        <w:spacing w:after="0" w:line="248" w:lineRule="exact"/>
        <w:rPr>
          <w:sz w:val="20"/>
          <w:szCs w:val="20"/>
          <w:color w:val="auto"/>
        </w:rPr>
      </w:pPr>
    </w:p>
    <w:p>
      <w:pPr>
        <w:jc w:val="right"/>
        <w:ind w:right="78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type w:val="continuous"/>
        </w:sectPr>
      </w:pPr>
    </w:p>
    <w:bookmarkStart w:id="13" w:name="page14"/>
    <w:bookmarkEnd w:id="13"/>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 xml:space="preserve">Evolution of ADB of loans by business segment </w:t>
      </w:r>
      <w:r>
        <w:rPr>
          <w:rFonts w:ascii="Arial" w:cs="Arial" w:eastAsia="Arial" w:hAnsi="Arial"/>
          <w:sz w:val="32"/>
          <w:szCs w:val="32"/>
          <w:b w:val="1"/>
          <w:bCs w:val="1"/>
          <w:color w:val="auto"/>
          <w:vertAlign w:val="superscript"/>
        </w:rPr>
        <w:t>(1)(2)</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 LOANS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vMerge w:val="restart"/>
          </w:tcPr>
          <w:p>
            <w:pPr>
              <w:jc w:val="right"/>
              <w:ind w:right="400"/>
              <w:spacing w:after="0"/>
              <w:rPr>
                <w:sz w:val="20"/>
                <w:szCs w:val="20"/>
                <w:color w:val="auto"/>
              </w:rPr>
            </w:pPr>
            <w:r>
              <w:rPr>
                <w:rFonts w:ascii="Arial" w:cs="Arial" w:eastAsia="Arial" w:hAnsi="Arial"/>
                <w:sz w:val="16"/>
                <w:szCs w:val="16"/>
                <w:b w:val="1"/>
                <w:bCs w:val="1"/>
                <w:color w:val="auto"/>
              </w:rPr>
              <w:t>% change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2120" w:type="dxa"/>
            <w:vAlign w:val="bottom"/>
            <w:gridSpan w:val="6"/>
          </w:tcPr>
          <w:p>
            <w:pPr>
              <w:jc w:val="center"/>
              <w:ind w:right="120"/>
              <w:spacing w:after="0"/>
              <w:rPr>
                <w:sz w:val="20"/>
                <w:szCs w:val="20"/>
                <w:color w:val="auto"/>
              </w:rPr>
            </w:pPr>
            <w:r>
              <w:rPr>
                <w:rFonts w:ascii="Arial" w:cs="Arial" w:eastAsia="Arial" w:hAnsi="Arial"/>
                <w:sz w:val="16"/>
                <w:szCs w:val="16"/>
                <w:i w:val="1"/>
                <w:iCs w:val="1"/>
                <w:color w:val="auto"/>
                <w:w w:val="93"/>
              </w:rPr>
              <w:t>Expressed in million S/</w:t>
            </w:r>
          </w:p>
        </w:tc>
        <w:tc>
          <w:tcPr>
            <w:tcW w:w="5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Structural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Structural</w:t>
            </w:r>
          </w:p>
        </w:tc>
        <w:tc>
          <w:tcPr>
            <w:tcW w:w="202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 Part. in total loans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5"/>
              </w:rPr>
              <w:t>Structural</w:t>
            </w:r>
          </w:p>
        </w:tc>
        <w:tc>
          <w:tcPr>
            <w:tcW w:w="0" w:type="dxa"/>
            <w:vAlign w:val="bottom"/>
          </w:tcPr>
          <w:p>
            <w:pPr>
              <w:spacing w:after="0"/>
              <w:rPr>
                <w:sz w:val="1"/>
                <w:szCs w:val="1"/>
                <w:color w:val="auto"/>
              </w:rPr>
            </w:pPr>
          </w:p>
        </w:tc>
      </w:tr>
      <w:tr>
        <w:trPr>
          <w:trHeight w:val="190"/>
        </w:trPr>
        <w:tc>
          <w:tcPr>
            <w:tcW w:w="15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4Q20</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3Q21</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4Q21</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4Q20</w:t>
            </w:r>
          </w:p>
        </w:tc>
        <w:tc>
          <w:tcPr>
            <w:tcW w:w="120" w:type="dxa"/>
            <w:vAlign w:val="bottom"/>
            <w:tcBorders>
              <w:top w:val="single" w:sz="8" w:color="auto"/>
              <w:left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3Q21</w:t>
            </w: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4Q21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7"/>
              </w:rPr>
              <w:t>QoQ</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YoY</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7"/>
              </w:rPr>
              <w:t>QoQ</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YoY</w:t>
            </w: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4Q20</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4Q21</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4Q21</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b w:val="1"/>
                <w:bCs w:val="1"/>
                <w:color w:val="auto"/>
              </w:rPr>
              <w:t>BCP Stand-alone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112,981</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6"/>
              </w:rPr>
              <w:t>120,722</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119,100</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91,075</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101,482</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101,729</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-1.3%</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5.4%</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0.2%</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11.7%</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82.4%</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82.5%</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82.1%</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81.2%</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w w:val="94"/>
              </w:rPr>
              <w:t>Wholesale Banking</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51,675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57,831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56,359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44,988</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53,048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52,289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41.7%</w:t>
            </w:r>
          </w:p>
        </w:tc>
        <w:tc>
          <w:tcPr>
            <w:tcW w:w="0" w:type="dxa"/>
            <w:vAlign w:val="bottom"/>
          </w:tcPr>
          <w:p>
            <w:pPr>
              <w:spacing w:after="0"/>
              <w:rPr>
                <w:sz w:val="1"/>
                <w:szCs w:val="1"/>
                <w:color w:val="auto"/>
              </w:rPr>
            </w:pPr>
          </w:p>
        </w:tc>
      </w:tr>
      <w:tr>
        <w:trPr>
          <w:trHeight w:val="196"/>
        </w:trPr>
        <w:tc>
          <w:tcPr>
            <w:tcW w:w="1540" w:type="dxa"/>
            <w:vAlign w:val="bottom"/>
          </w:tcPr>
          <w:p>
            <w:pPr>
              <w:ind w:left="300"/>
              <w:spacing w:after="0"/>
              <w:rPr>
                <w:sz w:val="20"/>
                <w:szCs w:val="20"/>
                <w:color w:val="auto"/>
              </w:rPr>
            </w:pPr>
            <w:r>
              <w:rPr>
                <w:rFonts w:ascii="Arial" w:cs="Arial" w:eastAsia="Arial" w:hAnsi="Arial"/>
                <w:sz w:val="16"/>
                <w:szCs w:val="16"/>
                <w:color w:val="auto"/>
              </w:rPr>
              <w:t>Corporate</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28,522</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32,610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31,851</w:t>
            </w:r>
          </w:p>
        </w:tc>
        <w:tc>
          <w:tcPr>
            <w:tcW w:w="580" w:type="dxa"/>
            <w:vAlign w:val="bottom"/>
          </w:tcPr>
          <w:p>
            <w:pPr>
              <w:jc w:val="right"/>
              <w:spacing w:after="0"/>
              <w:rPr>
                <w:sz w:val="20"/>
                <w:szCs w:val="20"/>
                <w:color w:val="auto"/>
              </w:rPr>
            </w:pPr>
            <w:r>
              <w:rPr>
                <w:rFonts w:ascii="Arial" w:cs="Arial" w:eastAsia="Arial" w:hAnsi="Arial"/>
                <w:sz w:val="16"/>
                <w:szCs w:val="16"/>
                <w:color w:val="auto"/>
              </w:rPr>
              <w:t>27,771</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32,115</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31,426</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11.7%</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13.2%</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22.3%</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22.0%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Middle - Market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23,153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25,221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24,508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17,216</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20,933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20,864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6"/>
        </w:trPr>
        <w:tc>
          <w:tcPr>
            <w:tcW w:w="1540" w:type="dxa"/>
            <w:vAlign w:val="bottom"/>
          </w:tcPr>
          <w:p>
            <w:pPr>
              <w:ind w:left="140"/>
              <w:spacing w:after="0"/>
              <w:rPr>
                <w:sz w:val="20"/>
                <w:szCs w:val="20"/>
                <w:color w:val="auto"/>
              </w:rPr>
            </w:pPr>
            <w:r>
              <w:rPr>
                <w:rFonts w:ascii="Arial" w:cs="Arial" w:eastAsia="Arial" w:hAnsi="Arial"/>
                <w:sz w:val="16"/>
                <w:szCs w:val="16"/>
                <w:b w:val="1"/>
                <w:bCs w:val="1"/>
                <w:color w:val="auto"/>
              </w:rPr>
              <w:t>Retail Banking</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61,306</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62,891</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62,741</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46,088</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48,434</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49,439</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2.3%</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2.1%</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7.3%</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44.7%</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43.0%</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43.2%</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39.4%</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SME - Business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10,893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10,484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4,652</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5,524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5,302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6"/>
        </w:trPr>
        <w:tc>
          <w:tcPr>
            <w:tcW w:w="1540" w:type="dxa"/>
            <w:vAlign w:val="bottom"/>
          </w:tcPr>
          <w:p>
            <w:pPr>
              <w:ind w:left="300"/>
              <w:spacing w:after="0"/>
              <w:rPr>
                <w:sz w:val="20"/>
                <w:szCs w:val="20"/>
                <w:color w:val="auto"/>
              </w:rPr>
            </w:pPr>
            <w:r>
              <w:rPr>
                <w:rFonts w:ascii="Arial" w:cs="Arial" w:eastAsia="Arial" w:hAnsi="Arial"/>
                <w:sz w:val="16"/>
                <w:szCs w:val="16"/>
                <w:color w:val="auto"/>
              </w:rPr>
              <w:t>SME - Pyme</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19,239</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19,626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19,717</w:t>
            </w:r>
          </w:p>
        </w:tc>
        <w:tc>
          <w:tcPr>
            <w:tcW w:w="580" w:type="dxa"/>
            <w:vAlign w:val="bottom"/>
          </w:tcPr>
          <w:p>
            <w:pPr>
              <w:jc w:val="right"/>
              <w:spacing w:after="0"/>
              <w:rPr>
                <w:sz w:val="20"/>
                <w:szCs w:val="20"/>
                <w:color w:val="auto"/>
              </w:rPr>
            </w:pPr>
            <w:r>
              <w:rPr>
                <w:rFonts w:ascii="Arial" w:cs="Arial" w:eastAsia="Arial" w:hAnsi="Arial"/>
                <w:sz w:val="16"/>
                <w:szCs w:val="16"/>
                <w:color w:val="auto"/>
              </w:rPr>
              <w:t>10,262</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11,046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11,597</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0.5%</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14.0%</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13.6%</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Mortgage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17,218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18,133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18,432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17,218</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18,133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18,432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6"/>
        </w:trPr>
        <w:tc>
          <w:tcPr>
            <w:tcW w:w="1540" w:type="dxa"/>
            <w:vAlign w:val="bottom"/>
          </w:tcPr>
          <w:p>
            <w:pPr>
              <w:ind w:left="300"/>
              <w:spacing w:after="0"/>
              <w:rPr>
                <w:sz w:val="20"/>
                <w:szCs w:val="20"/>
                <w:color w:val="auto"/>
              </w:rPr>
            </w:pPr>
            <w:r>
              <w:rPr>
                <w:rFonts w:ascii="Arial" w:cs="Arial" w:eastAsia="Arial" w:hAnsi="Arial"/>
                <w:sz w:val="16"/>
                <w:szCs w:val="16"/>
                <w:color w:val="auto"/>
              </w:rPr>
              <w:t>Consumer</w:t>
            </w:r>
          </w:p>
        </w:tc>
        <w:tc>
          <w:tcPr>
            <w:tcW w:w="600" w:type="dxa"/>
            <w:vAlign w:val="bottom"/>
          </w:tcPr>
          <w:p>
            <w:pPr>
              <w:jc w:val="right"/>
              <w:spacing w:after="0"/>
              <w:rPr>
                <w:sz w:val="20"/>
                <w:szCs w:val="20"/>
                <w:color w:val="auto"/>
              </w:rPr>
            </w:pPr>
            <w:r>
              <w:rPr>
                <w:rFonts w:ascii="Arial" w:cs="Arial" w:eastAsia="Arial" w:hAnsi="Arial"/>
                <w:sz w:val="16"/>
                <w:szCs w:val="16"/>
                <w:color w:val="auto"/>
              </w:rPr>
              <w:t>9,544</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10,296</w:t>
            </w:r>
          </w:p>
        </w:tc>
        <w:tc>
          <w:tcPr>
            <w:tcW w:w="580" w:type="dxa"/>
            <w:vAlign w:val="bottom"/>
          </w:tcPr>
          <w:p>
            <w:pPr>
              <w:jc w:val="right"/>
              <w:spacing w:after="0"/>
              <w:rPr>
                <w:sz w:val="20"/>
                <w:szCs w:val="20"/>
                <w:color w:val="auto"/>
              </w:rPr>
            </w:pPr>
            <w:r>
              <w:rPr>
                <w:rFonts w:ascii="Arial" w:cs="Arial" w:eastAsia="Arial" w:hAnsi="Arial"/>
                <w:sz w:val="16"/>
                <w:szCs w:val="16"/>
                <w:color w:val="auto"/>
              </w:rPr>
              <w:t>9,544</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10,000</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10,296</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7.0%</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6.8%</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7.1%</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Card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3,731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3,813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6"/>
                <w:szCs w:val="16"/>
                <w:b w:val="1"/>
                <w:bCs w:val="1"/>
                <w:color w:val="auto"/>
              </w:rPr>
              <w:t>Mibanco</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12,679</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13,083</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13,352</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9,865</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10,429</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10,990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2.1%</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5.3%</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5.4%</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11.4%</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9.2%</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8.9%</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9.2%</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8.8%</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Mibanco Colombia</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1,047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1,064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866</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1,047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1,064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22.9%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0.8%</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Arial" w:cs="Arial" w:eastAsia="Arial" w:hAnsi="Arial"/>
                <w:sz w:val="16"/>
                <w:szCs w:val="16"/>
                <w:b w:val="1"/>
                <w:bCs w:val="1"/>
                <w:color w:val="auto"/>
              </w:rPr>
              <w:t>Bolivia</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8,272</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9,408</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9,230</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8,272</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9,408</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9,230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-1.9%</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11.6%</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-1.9%</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11.6%</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6.0%</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6.4%</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6.4%</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196"/>
        </w:trPr>
        <w:tc>
          <w:tcPr>
            <w:tcW w:w="1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ASB</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2,130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2,327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2,342</w:t>
            </w:r>
          </w:p>
        </w:tc>
        <w:tc>
          <w:tcPr>
            <w:tcW w:w="8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2,130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2,327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b w:val="1"/>
                <w:bCs w:val="1"/>
                <w:color w:val="auto"/>
              </w:rPr>
              <w:t>BAP's total loans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137,140</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6"/>
              </w:rPr>
              <w:t>146,389</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145,073</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6"/>
              </w:rPr>
              <w:t>112,420</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124,496</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125,339</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-0.9%</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5.8%</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0.7%</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11.5%</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100.0%</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100.0%</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100.0%</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2"/>
        <w:spacing w:after="0"/>
        <w:rPr>
          <w:sz w:val="20"/>
          <w:szCs w:val="20"/>
          <w:color w:val="auto"/>
        </w:rPr>
      </w:pPr>
      <w:r>
        <w:rPr>
          <w:rFonts w:ascii="Arial" w:cs="Arial" w:eastAsia="Arial" w:hAnsi="Arial"/>
          <w:sz w:val="16"/>
          <w:szCs w:val="16"/>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202565" cy="13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2565" cy="132715"/>
                    </a:xfrm>
                    <a:prstGeom prst="rect">
                      <a:avLst/>
                    </a:prstGeom>
                    <a:noFill/>
                  </pic:spPr>
                </pic:pic>
              </a:graphicData>
            </a:graphic>
          </wp:anchor>
        </w:drawing>
      </w:r>
    </w:p>
    <w:p>
      <w:pPr>
        <w:spacing w:after="0" w:line="4" w:lineRule="exact"/>
        <w:rPr>
          <w:sz w:val="20"/>
          <w:szCs w:val="20"/>
          <w:color w:val="auto"/>
        </w:rPr>
      </w:pPr>
    </w:p>
    <w:p>
      <w:pPr>
        <w:ind w:left="802"/>
        <w:spacing w:after="0"/>
        <w:rPr>
          <w:sz w:val="20"/>
          <w:szCs w:val="20"/>
          <w:color w:val="auto"/>
        </w:rPr>
      </w:pPr>
      <w:r>
        <w:rPr>
          <w:rFonts w:ascii="Arial" w:cs="Arial" w:eastAsia="Arial" w:hAnsi="Arial"/>
          <w:sz w:val="16"/>
          <w:szCs w:val="16"/>
          <w:color w:val="auto"/>
        </w:rPr>
        <w:t>Highest growth in volumes</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20"/>
          <w:szCs w:val="20"/>
          <w:color w:val="auto"/>
        </w:rPr>
        <w:t>For consolidation purposes, loans generated in FC are converted to LC.</w:t>
      </w:r>
    </w:p>
    <w:p>
      <w:pPr>
        <w:spacing w:after="0" w:line="7" w:lineRule="exact"/>
        <w:rPr>
          <w:sz w:val="20"/>
          <w:szCs w:val="20"/>
          <w:color w:val="auto"/>
        </w:rPr>
      </w:pPr>
    </w:p>
    <w:p>
      <w:pPr>
        <w:ind w:left="282" w:hanging="282"/>
        <w:spacing w:after="0"/>
        <w:tabs>
          <w:tab w:leader="none" w:pos="282" w:val="left"/>
        </w:tabs>
        <w:numPr>
          <w:ilvl w:val="0"/>
          <w:numId w:val="7"/>
        </w:numPr>
        <w:rPr>
          <w:rFonts w:ascii="Arial" w:cs="Arial" w:eastAsia="Arial" w:hAnsi="Arial"/>
          <w:sz w:val="17"/>
          <w:szCs w:val="17"/>
          <w:color w:val="auto"/>
        </w:rPr>
      </w:pPr>
      <w:r>
        <w:rPr>
          <w:rFonts w:ascii="Arial" w:cs="Arial" w:eastAsia="Arial" w:hAnsi="Arial"/>
          <w:sz w:val="17"/>
          <w:szCs w:val="17"/>
          <w:color w:val="auto"/>
        </w:rPr>
        <w:t>Structural Portfolio excludes the average daily balances from loans offered through de Reactiva Peru y FAE-Mype Government Programs.</w:t>
      </w:r>
    </w:p>
    <w:p>
      <w:pPr>
        <w:spacing w:after="0" w:line="25" w:lineRule="exact"/>
        <w:rPr>
          <w:rFonts w:ascii="Arial" w:cs="Arial" w:eastAsia="Arial" w:hAnsi="Arial"/>
          <w:sz w:val="17"/>
          <w:szCs w:val="17"/>
          <w:color w:val="auto"/>
        </w:rPr>
      </w:pPr>
    </w:p>
    <w:p>
      <w:pPr>
        <w:ind w:left="282" w:hanging="282"/>
        <w:spacing w:after="0"/>
        <w:tabs>
          <w:tab w:leader="none" w:pos="282" w:val="left"/>
        </w:tabs>
        <w:numPr>
          <w:ilvl w:val="0"/>
          <w:numId w:val="7"/>
        </w:numPr>
        <w:rPr>
          <w:rFonts w:ascii="Arial" w:cs="Arial" w:eastAsia="Arial" w:hAnsi="Arial"/>
          <w:sz w:val="20"/>
          <w:szCs w:val="20"/>
          <w:color w:val="auto"/>
        </w:rPr>
      </w:pPr>
      <w:r>
        <w:rPr>
          <w:rFonts w:ascii="Arial" w:cs="Arial" w:eastAsia="Arial" w:hAnsi="Arial"/>
          <w:sz w:val="20"/>
          <w:szCs w:val="20"/>
          <w:color w:val="auto"/>
        </w:rPr>
        <w:t>Figures differ from previously reported.</w:t>
      </w:r>
    </w:p>
    <w:p>
      <w:pPr>
        <w:spacing w:after="0" w:line="190"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QoQ growth in ADB balances for loans by segment</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Expressed in millions of S/</w:t>
      </w:r>
    </w:p>
    <w:p>
      <w:pPr>
        <w:spacing w:after="0" w:line="190"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-0.9% (+0.7%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150495</wp:posOffset>
            </wp:positionV>
            <wp:extent cx="4947920" cy="2244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47920" cy="224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2"/>
        <w:spacing w:after="0"/>
        <w:rPr>
          <w:sz w:val="20"/>
          <w:szCs w:val="20"/>
          <w:color w:val="auto"/>
        </w:rPr>
      </w:pPr>
      <w:r>
        <w:rPr>
          <w:rFonts w:ascii="Arial" w:cs="Arial" w:eastAsia="Arial" w:hAnsi="Arial"/>
          <w:sz w:val="16"/>
          <w:szCs w:val="16"/>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202565" cy="132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565" cy="132715"/>
                    </a:xfrm>
                    <a:prstGeom prst="rect">
                      <a:avLst/>
                    </a:prstGeom>
                    <a:noFill/>
                  </pic:spPr>
                </pic:pic>
              </a:graphicData>
            </a:graphic>
          </wp:anchor>
        </w:drawing>
      </w:r>
    </w:p>
    <w:p>
      <w:pPr>
        <w:spacing w:after="0" w:line="4" w:lineRule="exact"/>
        <w:rPr>
          <w:sz w:val="20"/>
          <w:szCs w:val="20"/>
          <w:color w:val="auto"/>
        </w:rPr>
      </w:pPr>
    </w:p>
    <w:p>
      <w:pPr>
        <w:ind w:left="802"/>
        <w:spacing w:after="0"/>
        <w:rPr>
          <w:sz w:val="20"/>
          <w:szCs w:val="20"/>
          <w:color w:val="auto"/>
        </w:rPr>
      </w:pPr>
      <w:r>
        <w:rPr>
          <w:rFonts w:ascii="Arial" w:cs="Arial" w:eastAsia="Arial" w:hAnsi="Arial"/>
          <w:sz w:val="16"/>
          <w:szCs w:val="16"/>
          <w:color w:val="auto"/>
        </w:rPr>
        <w:t>Structural</w:t>
      </w:r>
    </w:p>
    <w:p>
      <w:pPr>
        <w:spacing w:after="0" w:line="215"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The figure above shows a decrease of -0.9% QoQ (+0.7% structural) in loans measured in ADB. QoQ, the exchange rate effect was negative for our FC portfolios due to drop in the exchange rate. If we exclude this effect, total loans grew +0.1% while structural loans rose +1.8%. The structural variation, if we exclude the exchange rate effect, was due to the following in order of magnitude:</w:t>
      </w:r>
    </w:p>
    <w:p>
      <w:pPr>
        <w:spacing w:after="0" w:line="183" w:lineRule="exact"/>
        <w:rPr>
          <w:sz w:val="20"/>
          <w:szCs w:val="20"/>
          <w:color w:val="auto"/>
        </w:rPr>
      </w:pPr>
    </w:p>
    <w:p>
      <w:pPr>
        <w:jc w:val="both"/>
        <w:ind w:left="582" w:hanging="422"/>
        <w:spacing w:after="0" w:line="271" w:lineRule="auto"/>
        <w:tabs>
          <w:tab w:leader="none" w:pos="582"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Growth in the Retail Banking portfolio where the SME-Pyme segment led expansion, followed by Mortgage and Consumer. The Credit Card segment reversed its downward trend for the first time since the beginning of the pandemic. These dynamics were driven by economic reactivation, a loosening of sanitary restrictions, and the seasonal effect of an uptick in business activity and private consumption at year-end.</w:t>
      </w:r>
    </w:p>
    <w:p>
      <w:pPr>
        <w:spacing w:after="0" w:line="186" w:lineRule="exact"/>
        <w:rPr>
          <w:rFonts w:ascii="Arial" w:cs="Arial" w:eastAsia="Arial" w:hAnsi="Arial"/>
          <w:sz w:val="16"/>
          <w:szCs w:val="16"/>
          <w:color w:val="auto"/>
        </w:rPr>
      </w:pPr>
    </w:p>
    <w:p>
      <w:pPr>
        <w:ind w:left="582" w:hanging="422"/>
        <w:spacing w:after="0" w:line="287" w:lineRule="auto"/>
        <w:tabs>
          <w:tab w:leader="none" w:pos="582"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Growth at Mibanco, where disbursements hit a record high, was also noteworthy this quarter. Mibanco Colombia also contributed to expansion through higher-than-expected commercial results. The company continues to gain market share in the microfinance industry in Colombia.</w:t>
      </w:r>
    </w:p>
    <w:p>
      <w:pPr>
        <w:spacing w:after="0" w:line="173" w:lineRule="exact"/>
        <w:rPr>
          <w:rFonts w:ascii="Arial" w:cs="Arial" w:eastAsia="Arial" w:hAnsi="Arial"/>
          <w:sz w:val="16"/>
          <w:szCs w:val="16"/>
          <w:color w:val="auto"/>
        </w:rPr>
      </w:pPr>
    </w:p>
    <w:p>
      <w:pPr>
        <w:ind w:left="582" w:hanging="422"/>
        <w:spacing w:after="0"/>
        <w:tabs>
          <w:tab w:leader="none" w:pos="582" w:val="left"/>
        </w:tabs>
        <w:numPr>
          <w:ilvl w:val="0"/>
          <w:numId w:val="8"/>
        </w:numPr>
        <w:rPr>
          <w:rFonts w:ascii="Arial" w:cs="Arial" w:eastAsia="Arial" w:hAnsi="Arial"/>
          <w:sz w:val="16"/>
          <w:szCs w:val="16"/>
          <w:color w:val="auto"/>
        </w:rPr>
      </w:pPr>
      <w:r>
        <w:rPr>
          <w:rFonts w:ascii="Arial" w:cs="Arial" w:eastAsia="Arial" w:hAnsi="Arial"/>
          <w:sz w:val="16"/>
          <w:szCs w:val="16"/>
          <w:color w:val="auto"/>
        </w:rPr>
        <w:t>Wholesale Banking registered a decrease in its structural loan balances.</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20"/>
          <w:szCs w:val="20"/>
          <w:color w:val="auto"/>
        </w:rPr>
        <w:t>GP fell -9.9% QoQ.</w:t>
      </w:r>
    </w:p>
    <w:p>
      <w:pPr>
        <w:spacing w:after="0" w:line="200" w:lineRule="exact"/>
        <w:rPr>
          <w:sz w:val="20"/>
          <w:szCs w:val="20"/>
          <w:color w:val="auto"/>
        </w:rPr>
      </w:pPr>
    </w:p>
    <w:p>
      <w:pPr>
        <w:spacing w:after="0" w:line="248"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1" w:right="339" w:bottom="528"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YoY growth in ADB of loans by segment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Expressed in millions of 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+5.8% (+11.5%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150495</wp:posOffset>
            </wp:positionV>
            <wp:extent cx="4939665" cy="2259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39665" cy="225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202565" cy="132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2565" cy="132715"/>
                    </a:xfrm>
                    <a:prstGeom prst="rect">
                      <a:avLst/>
                    </a:prstGeom>
                    <a:noFill/>
                  </pic:spPr>
                </pic:pic>
              </a:graphicData>
            </a:graphic>
          </wp:anchor>
        </w:drawing>
      </w:r>
    </w:p>
    <w:p>
      <w:pPr>
        <w:spacing w:after="0" w:line="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Structural</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0"/>
          <w:szCs w:val="20"/>
          <w:color w:val="auto"/>
        </w:rPr>
        <w:t>YoY, the portfolio’s evolution was positively impacted by an increase in the exchange rate, which contributed to growth in our FC portfolios. If we exclude the exchange rate effect, total loans increased +2.4% and structural loans, +7.4%. If we isolate the exchange rate effect, the structural evolution was driven by:</w:t>
      </w:r>
    </w:p>
    <w:p>
      <w:pPr>
        <w:spacing w:after="0" w:line="200" w:lineRule="exact"/>
        <w:rPr>
          <w:sz w:val="20"/>
          <w:szCs w:val="20"/>
          <w:color w:val="auto"/>
        </w:rPr>
      </w:pPr>
    </w:p>
    <w:p>
      <w:pPr>
        <w:ind w:left="580" w:hanging="422"/>
        <w:spacing w:after="0" w:line="28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Growth in Wholesale Banking, which registered an uptick in disbursements in 2021 due to reactivation of internal demand and campaigns for specific sectors and clients.</w:t>
      </w:r>
    </w:p>
    <w:p>
      <w:pPr>
        <w:spacing w:after="0" w:line="173" w:lineRule="exact"/>
        <w:rPr>
          <w:rFonts w:ascii="Arial" w:cs="Arial" w:eastAsia="Arial" w:hAnsi="Arial"/>
          <w:sz w:val="16"/>
          <w:szCs w:val="16"/>
          <w:color w:val="auto"/>
        </w:rPr>
      </w:pPr>
    </w:p>
    <w:p>
      <w:pPr>
        <w:ind w:left="580" w:hanging="422"/>
        <w:spacing w:after="0" w:line="322"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Growth in the Retail Banking portfolio, which was led by SME-Pyme, followed by Mortgage, Consumer and SME-Business. Dynamism in Retail Banking was partially offset by a decrease in Credit Card balances after clients used funds from economic relief measures to reduce debt in this segment.</w:t>
      </w:r>
    </w:p>
    <w:p>
      <w:pPr>
        <w:spacing w:after="0" w:line="150" w:lineRule="exact"/>
        <w:rPr>
          <w:rFonts w:ascii="Arial" w:cs="Arial" w:eastAsia="Arial" w:hAnsi="Arial"/>
          <w:sz w:val="15"/>
          <w:szCs w:val="15"/>
          <w:color w:val="auto"/>
        </w:rPr>
      </w:pPr>
    </w:p>
    <w:p>
      <w:pPr>
        <w:jc w:val="both"/>
        <w:ind w:left="580" w:hanging="422"/>
        <w:spacing w:after="0" w:line="297" w:lineRule="auto"/>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Growth in Mibanco loans, which was bolstered by on-going growth in disbursements. In 3Q21, disbursements at Mibanco Peru surpassed pre-pandemic levels and in 4Q21, they hit record highs. At Mibanco Colombia, the portfolio grew more than 10% YoY. This expansion was driven by dynamism in the industry sector and by an improvement in the company’s productivity levels, which was coupled with an increase in commercial capacities.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GP fell -20.2% YoY.</w:t>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Growth in ADB (12 months) for loans by segments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Expressed in millions of 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+9.9% (+2.9%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150495</wp:posOffset>
            </wp:positionV>
            <wp:extent cx="5001895" cy="2244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01895" cy="224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202565" cy="132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2565" cy="132715"/>
                    </a:xfrm>
                    <a:prstGeom prst="rect">
                      <a:avLst/>
                    </a:prstGeom>
                    <a:noFill/>
                  </pic:spPr>
                </pic:pic>
              </a:graphicData>
            </a:graphic>
          </wp:anchor>
        </w:drawing>
      </w:r>
    </w:p>
    <w:p>
      <w:pPr>
        <w:spacing w:after="0" w:line="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Structural</w:t>
      </w:r>
    </w:p>
    <w:p>
      <w:pPr>
        <w:spacing w:after="0" w:line="21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Growth in ADB (12 months) was +9.9%. This result was primarily attributable to two scenarios: i) total balances were inflated by the presence of GP loans and ii) upward variations in the exchange rate. If we exclude the exchange rate effect, total loans increased 6.2% while structural loans fell -1.2%. The evolution of the structural portfolio, minus the effect of the exchange rate, was attributable to:</w:t>
      </w:r>
    </w:p>
    <w:p>
      <w:pPr>
        <w:spacing w:after="0" w:line="150" w:lineRule="exact"/>
        <w:rPr>
          <w:sz w:val="20"/>
          <w:szCs w:val="20"/>
          <w:color w:val="auto"/>
        </w:rPr>
      </w:pPr>
    </w:p>
    <w:p>
      <w:pPr>
        <w:jc w:val="both"/>
        <w:ind w:left="580" w:hanging="422"/>
        <w:spacing w:after="0" w:line="297"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drop in the Wholesale Banking Portfolio, which was primarily visible in the Corporate Banking segment. This decline was driven by the fact that companies had fewer financial needs given that they had already shored up liquidity at the beginning of the pandemic. In Middle Market Banking, a decrease in the demand for loans reflected the fact that this segment benefitted amply from government financial relief programs and had fewer financial needs.</w:t>
      </w:r>
    </w:p>
    <w:p>
      <w:pPr>
        <w:spacing w:after="0" w:line="169" w:lineRule="exact"/>
        <w:rPr>
          <w:rFonts w:ascii="Arial" w:cs="Arial" w:eastAsia="Arial" w:hAnsi="Arial"/>
          <w:sz w:val="15"/>
          <w:szCs w:val="15"/>
          <w:color w:val="auto"/>
        </w:rPr>
      </w:pPr>
    </w:p>
    <w:p>
      <w:pPr>
        <w:ind w:left="580" w:hanging="422"/>
        <w:spacing w:after="0" w:line="287"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Within Retail Banking, the drop in the Credit Card segment was noteworthy. A decrease in the risk appetite in this segment, and the fact that clients used heightened liquidity to amortize their credit debt, contributed to this decline.</w:t>
      </w:r>
    </w:p>
    <w:p>
      <w:pPr>
        <w:spacing w:after="0" w:line="173" w:lineRule="exact"/>
        <w:rPr>
          <w:rFonts w:ascii="Arial" w:cs="Arial" w:eastAsia="Arial" w:hAnsi="Arial"/>
          <w:sz w:val="16"/>
          <w:szCs w:val="16"/>
          <w:color w:val="auto"/>
        </w:rPr>
      </w:pPr>
    </w:p>
    <w:p>
      <w:pPr>
        <w:ind w:left="580" w:hanging="42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retail segments: SME-Pyme, Mortgage and Consumer evolved positively.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GP grew +72.1% FY.</w:t>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1.2.2. Evolution of the dollarization level of Credicorp loans by segment</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 xml:space="preserve">Evolution of average daily loan balances by currency </w:t>
      </w:r>
      <w:r>
        <w:rPr>
          <w:rFonts w:ascii="Arial" w:cs="Arial" w:eastAsia="Arial" w:hAnsi="Arial"/>
          <w:sz w:val="32"/>
          <w:szCs w:val="32"/>
          <w:b w:val="1"/>
          <w:bCs w:val="1"/>
          <w:color w:val="auto"/>
          <w:vertAlign w:val="superscript"/>
        </w:rPr>
        <w:t>(1)(2)</w:t>
      </w:r>
    </w:p>
    <w:p>
      <w:pPr>
        <w:spacing w:after="0" w:line="107" w:lineRule="exact"/>
        <w:rPr>
          <w:sz w:val="20"/>
          <w:szCs w:val="20"/>
          <w:color w:val="auto"/>
        </w:rPr>
      </w:pPr>
    </w:p>
    <w:tbl>
      <w:tblPr>
        <w:tblLayout w:type="fixed"/>
        <w:tblInd w:w="2" w:type="dxa"/>
        <w:tblCellMar>
          <w:top w:w="0" w:type="dxa"/>
          <w:left w:w="0" w:type="dxa"/>
          <w:bottom w:w="0" w:type="dxa"/>
          <w:right w:w="0" w:type="dxa"/>
        </w:tblCellMar>
      </w:tblPr>
      <w:tr>
        <w:trPr>
          <w:trHeight w:val="169"/>
        </w:trPr>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00" w:type="dxa"/>
            <w:vAlign w:val="bottom"/>
            <w:gridSpan w:val="9"/>
          </w:tcPr>
          <w:p>
            <w:pPr>
              <w:ind w:left="260"/>
              <w:spacing w:after="0"/>
              <w:rPr>
                <w:sz w:val="20"/>
                <w:szCs w:val="20"/>
                <w:color w:val="auto"/>
              </w:rPr>
            </w:pPr>
            <w:r>
              <w:rPr>
                <w:rFonts w:ascii="Arial" w:cs="Arial" w:eastAsia="Arial" w:hAnsi="Arial"/>
                <w:sz w:val="13"/>
                <w:szCs w:val="13"/>
                <w:b w:val="1"/>
                <w:bCs w:val="1"/>
                <w:color w:val="auto"/>
              </w:rPr>
              <w:t>DOMESTIC CURRENCY LOANS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2"/>
              </w:rPr>
              <w:t>% change</w:t>
            </w:r>
          </w:p>
        </w:tc>
        <w:tc>
          <w:tcPr>
            <w:tcW w:w="2260" w:type="dxa"/>
            <w:vAlign w:val="bottom"/>
            <w:gridSpan w:val="9"/>
          </w:tcPr>
          <w:p>
            <w:pPr>
              <w:jc w:val="center"/>
              <w:ind w:left="275"/>
              <w:spacing w:after="0"/>
              <w:rPr>
                <w:sz w:val="20"/>
                <w:szCs w:val="20"/>
                <w:color w:val="auto"/>
              </w:rPr>
            </w:pPr>
            <w:r>
              <w:rPr>
                <w:rFonts w:ascii="Arial" w:cs="Arial" w:eastAsia="Arial" w:hAnsi="Arial"/>
                <w:sz w:val="13"/>
                <w:szCs w:val="13"/>
                <w:b w:val="1"/>
                <w:bCs w:val="1"/>
                <w:color w:val="auto"/>
              </w:rPr>
              <w:t>FOREIGN CURRENCY LOANS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4"/>
              </w:rPr>
              <w:t>% part. by currency</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5"/>
            <w:vMerge w:val="restart"/>
          </w:tcPr>
          <w:p>
            <w:pPr>
              <w:jc w:val="center"/>
              <w:ind w:right="180"/>
              <w:spacing w:after="0"/>
              <w:rPr>
                <w:sz w:val="20"/>
                <w:szCs w:val="20"/>
                <w:color w:val="auto"/>
              </w:rPr>
            </w:pPr>
            <w:r>
              <w:rPr>
                <w:rFonts w:ascii="Arial" w:cs="Arial" w:eastAsia="Arial" w:hAnsi="Arial"/>
                <w:sz w:val="16"/>
                <w:szCs w:val="16"/>
                <w:b w:val="1"/>
                <w:bCs w:val="1"/>
                <w:color w:val="auto"/>
                <w:w w:val="95"/>
              </w:rPr>
              <w:t>Structural</w:t>
            </w: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0" w:type="dxa"/>
            <w:vAlign w:val="bottom"/>
            <w:gridSpan w:val="3"/>
            <w:vMerge w:val="restart"/>
          </w:tcPr>
          <w:p>
            <w:pPr>
              <w:jc w:val="center"/>
              <w:ind w:left="266"/>
              <w:spacing w:after="0"/>
              <w:rPr>
                <w:sz w:val="20"/>
                <w:szCs w:val="20"/>
                <w:color w:val="auto"/>
              </w:rPr>
            </w:pPr>
            <w:r>
              <w:rPr>
                <w:rFonts w:ascii="Arial" w:cs="Arial" w:eastAsia="Arial" w:hAnsi="Arial"/>
                <w:sz w:val="16"/>
                <w:szCs w:val="16"/>
                <w:b w:val="1"/>
                <w:bCs w:val="1"/>
                <w:color w:val="auto"/>
                <w:w w:val="96"/>
              </w:rPr>
              <w:t>4Q21</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Arial" w:cs="Arial" w:eastAsia="Arial" w:hAnsi="Arial"/>
                <w:sz w:val="16"/>
                <w:szCs w:val="16"/>
                <w:i w:val="1"/>
                <w:iCs w:val="1"/>
                <w:color w:val="auto"/>
                <w:w w:val="97"/>
              </w:rPr>
              <w:t>Expressed in million 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ind w:left="420"/>
              <w:spacing w:after="0"/>
              <w:rPr>
                <w:sz w:val="20"/>
                <w:szCs w:val="20"/>
                <w:color w:val="auto"/>
              </w:rPr>
            </w:pPr>
            <w:r>
              <w:rPr>
                <w:rFonts w:ascii="Arial" w:cs="Arial" w:eastAsia="Arial" w:hAnsi="Arial"/>
                <w:sz w:val="16"/>
                <w:szCs w:val="16"/>
                <w:b w:val="1"/>
                <w:bCs w:val="1"/>
                <w:color w:val="auto"/>
                <w:w w:val="92"/>
              </w:rPr>
              <w:t>Structural</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5"/>
            <w:vMerge w:val="continue"/>
          </w:tcPr>
          <w:p>
            <w:pPr>
              <w:spacing w:after="0"/>
              <w:rPr>
                <w:sz w:val="16"/>
                <w:szCs w:val="16"/>
                <w:color w:val="auto"/>
              </w:rPr>
            </w:pPr>
          </w:p>
        </w:tc>
        <w:tc>
          <w:tcPr>
            <w:tcW w:w="106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gridSpan w:val="8"/>
          </w:tcPr>
          <w:p>
            <w:pPr>
              <w:jc w:val="center"/>
              <w:ind w:right="80"/>
              <w:spacing w:after="0"/>
              <w:rPr>
                <w:sz w:val="20"/>
                <w:szCs w:val="20"/>
                <w:color w:val="auto"/>
              </w:rPr>
            </w:pPr>
            <w:r>
              <w:rPr>
                <w:rFonts w:ascii="Arial" w:cs="Arial" w:eastAsia="Arial" w:hAnsi="Arial"/>
                <w:sz w:val="16"/>
                <w:szCs w:val="16"/>
                <w:i w:val="1"/>
                <w:iCs w:val="1"/>
                <w:color w:val="auto"/>
                <w:w w:val="93"/>
              </w:rPr>
              <w:t>Expressed in million US$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4Q20</w:t>
            </w: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3Q21</w:t>
            </w:r>
          </w:p>
        </w:tc>
        <w:tc>
          <w:tcPr>
            <w:tcW w:w="120" w:type="dxa"/>
            <w:vAlign w:val="bottom"/>
          </w:tcPr>
          <w:p>
            <w:pPr>
              <w:spacing w:after="0"/>
              <w:rPr>
                <w:sz w:val="16"/>
                <w:szCs w:val="16"/>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4Q21</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4Q20</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3Q21</w:t>
            </w: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4Q21</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QoQ</w:t>
            </w: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YoY</w:t>
            </w:r>
          </w:p>
        </w:tc>
        <w:tc>
          <w:tcPr>
            <w:tcW w:w="200" w:type="dxa"/>
            <w:vAlign w:val="bottom"/>
            <w:gridSpan w:val="2"/>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QoQ</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YoY</w:t>
            </w:r>
          </w:p>
        </w:tc>
        <w:tc>
          <w:tcPr>
            <w:tcW w:w="180" w:type="dxa"/>
            <w:vAlign w:val="bottom"/>
            <w:gridSpan w:val="2"/>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4Q20</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3Q21</w:t>
            </w: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4Q21</w:t>
            </w: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top w:val="single" w:sz="8" w:color="auto"/>
            </w:tcBorders>
            <w:gridSpan w:val="2"/>
          </w:tcPr>
          <w:p>
            <w:pPr>
              <w:spacing w:after="0"/>
              <w:rPr>
                <w:sz w:val="16"/>
                <w:szCs w:val="16"/>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YoY</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LC</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FC</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BCP Stand-alone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80,945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83,441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84,592</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59,039</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64,202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0"/>
              </w:rPr>
              <w:t>67,221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13.9%</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8,865</w:t>
            </w: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9,127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8,600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100" w:type="dxa"/>
            <w:vAlign w:val="bottom"/>
            <w:tcBorders>
              <w:right w:val="single" w:sz="8" w:color="CCEEFF"/>
            </w:tcBorders>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-3.0%</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71.0%</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29.0%</w:t>
            </w:r>
          </w:p>
        </w:tc>
        <w:tc>
          <w:tcPr>
            <w:tcW w:w="0" w:type="dxa"/>
            <w:vAlign w:val="bottom"/>
          </w:tcPr>
          <w:p>
            <w:pPr>
              <w:spacing w:after="0"/>
              <w:rPr>
                <w:sz w:val="1"/>
                <w:szCs w:val="1"/>
                <w:color w:val="auto"/>
              </w:rPr>
            </w:pPr>
          </w:p>
        </w:tc>
      </w:tr>
      <w:tr>
        <w:trPr>
          <w:trHeight w:val="196"/>
        </w:trPr>
        <w:tc>
          <w:tcPr>
            <w:tcW w:w="1260" w:type="dxa"/>
            <w:vAlign w:val="bottom"/>
          </w:tcPr>
          <w:p>
            <w:pPr>
              <w:ind w:left="120"/>
              <w:spacing w:after="0"/>
              <w:rPr>
                <w:sz w:val="20"/>
                <w:szCs w:val="20"/>
                <w:color w:val="auto"/>
              </w:rPr>
            </w:pPr>
            <w:r>
              <w:rPr>
                <w:rFonts w:ascii="Arial" w:cs="Arial" w:eastAsia="Arial" w:hAnsi="Arial"/>
                <w:sz w:val="13"/>
                <w:szCs w:val="13"/>
                <w:b w:val="1"/>
                <w:bCs w:val="1"/>
                <w:color w:val="auto"/>
                <w:w w:val="93"/>
              </w:rPr>
              <w:t>Wholesale Banking</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26,490</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28,562</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28,967</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19,802</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23,779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0"/>
              </w:rPr>
              <w:t>24,898</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1.4%</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9.4%</w:t>
            </w:r>
          </w:p>
        </w:tc>
        <w:tc>
          <w:tcPr>
            <w:tcW w:w="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4.7%</w:t>
            </w: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25.7%</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6,969</w:t>
            </w: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7,165</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6,827</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51.4%</w:t>
            </w:r>
          </w:p>
        </w:tc>
        <w:tc>
          <w:tcPr>
            <w:tcW w:w="1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48.6%</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Corporate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14,771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15,077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11,845</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14,276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0"/>
              </w:rPr>
              <w:t>14,652</w:t>
            </w:r>
          </w:p>
        </w:tc>
        <w:tc>
          <w:tcPr>
            <w:tcW w:w="500" w:type="dxa"/>
            <w:vAlign w:val="bottom"/>
            <w:gridSpan w:val="2"/>
            <w:shd w:val="clear" w:color="auto" w:fill="66E0DA"/>
          </w:tcPr>
          <w:p>
            <w:pPr>
              <w:jc w:val="right"/>
              <w:ind w:right="80"/>
              <w:spacing w:after="0"/>
              <w:rPr>
                <w:sz w:val="20"/>
                <w:szCs w:val="20"/>
                <w:color w:val="auto"/>
              </w:rPr>
            </w:pPr>
            <w:r>
              <w:rPr>
                <w:rFonts w:ascii="Arial" w:cs="Arial" w:eastAsia="Arial" w:hAnsi="Arial"/>
                <w:sz w:val="13"/>
                <w:szCs w:val="13"/>
                <w:color w:val="auto"/>
              </w:rPr>
              <w:t>2.1%</w:t>
            </w:r>
          </w:p>
        </w:tc>
        <w:tc>
          <w:tcPr>
            <w:tcW w:w="50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rPr>
              <w:t>19.7%</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shd w:val="clear" w:color="auto" w:fill="CCEEFF"/>
              </w:rPr>
              <w:t>2.6%</w:t>
            </w:r>
          </w:p>
        </w:tc>
        <w:tc>
          <w:tcPr>
            <w:tcW w:w="48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shd w:val="clear" w:color="auto" w:fill="66E0DA"/>
              </w:rPr>
              <w:t>23.7%</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4,407</w:t>
            </w: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shd w:val="clear" w:color="auto" w:fill="CCEEFF"/>
              </w:rPr>
              <w:t>4,367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shd w:val="clear" w:color="auto" w:fill="CCEEFF"/>
              </w:rPr>
              <w:t>4,181</w:t>
            </w:r>
          </w:p>
        </w:tc>
        <w:tc>
          <w:tcPr>
            <w:tcW w:w="500" w:type="dxa"/>
            <w:vAlign w:val="bottom"/>
            <w:gridSpan w:val="2"/>
            <w:shd w:val="clear" w:color="auto" w:fill="F17FC8"/>
          </w:tcPr>
          <w:p>
            <w:pPr>
              <w:jc w:val="right"/>
              <w:ind w:right="40"/>
              <w:spacing w:after="0"/>
              <w:rPr>
                <w:sz w:val="20"/>
                <w:szCs w:val="20"/>
                <w:color w:val="auto"/>
              </w:rPr>
            </w:pPr>
            <w:r>
              <w:rPr>
                <w:rFonts w:ascii="Arial" w:cs="Arial" w:eastAsia="Arial" w:hAnsi="Arial"/>
                <w:sz w:val="13"/>
                <w:szCs w:val="13"/>
                <w:color w:val="auto"/>
              </w:rPr>
              <w:t>-4.3%</w:t>
            </w:r>
          </w:p>
        </w:tc>
        <w:tc>
          <w:tcPr>
            <w:tcW w:w="100" w:type="dxa"/>
            <w:vAlign w:val="bottom"/>
            <w:tcBorders>
              <w:right w:val="single" w:sz="8" w:color="F17FC8"/>
            </w:tcBorders>
          </w:tcPr>
          <w:p>
            <w:pPr>
              <w:spacing w:after="0"/>
              <w:rPr>
                <w:sz w:val="17"/>
                <w:szCs w:val="17"/>
                <w:color w:val="auto"/>
              </w:rPr>
            </w:pPr>
          </w:p>
        </w:tc>
        <w:tc>
          <w:tcPr>
            <w:tcW w:w="480" w:type="dxa"/>
            <w:vAlign w:val="bottom"/>
            <w:gridSpan w:val="2"/>
            <w:shd w:val="clear" w:color="auto" w:fill="F17FC8"/>
          </w:tcPr>
          <w:p>
            <w:pPr>
              <w:jc w:val="right"/>
              <w:ind w:right="40"/>
              <w:spacing w:after="0"/>
              <w:rPr>
                <w:sz w:val="20"/>
                <w:szCs w:val="20"/>
                <w:color w:val="auto"/>
              </w:rPr>
            </w:pPr>
            <w:r>
              <w:rPr>
                <w:rFonts w:ascii="Arial" w:cs="Arial" w:eastAsia="Arial" w:hAnsi="Arial"/>
                <w:sz w:val="13"/>
                <w:szCs w:val="13"/>
                <w:color w:val="auto"/>
              </w:rPr>
              <w:t>-5.1%</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96"/>
        </w:trPr>
        <w:tc>
          <w:tcPr>
            <w:tcW w:w="1260" w:type="dxa"/>
            <w:vAlign w:val="bottom"/>
          </w:tcPr>
          <w:p>
            <w:pPr>
              <w:ind w:left="220"/>
              <w:spacing w:after="0"/>
              <w:rPr>
                <w:sz w:val="20"/>
                <w:szCs w:val="20"/>
                <w:color w:val="auto"/>
              </w:rPr>
            </w:pPr>
            <w:r>
              <w:rPr>
                <w:rFonts w:ascii="Arial" w:cs="Arial" w:eastAsia="Arial" w:hAnsi="Arial"/>
                <w:sz w:val="13"/>
                <w:szCs w:val="13"/>
                <w:color w:val="auto"/>
              </w:rPr>
              <w:t>Middle-Market</w:t>
            </w:r>
          </w:p>
        </w:tc>
        <w:tc>
          <w:tcPr>
            <w:tcW w:w="600" w:type="dxa"/>
            <w:vAlign w:val="bottom"/>
          </w:tcPr>
          <w:p>
            <w:pPr>
              <w:jc w:val="right"/>
              <w:spacing w:after="0"/>
              <w:rPr>
                <w:sz w:val="20"/>
                <w:szCs w:val="20"/>
                <w:color w:val="auto"/>
              </w:rPr>
            </w:pPr>
            <w:r>
              <w:rPr>
                <w:rFonts w:ascii="Arial" w:cs="Arial" w:eastAsia="Arial" w:hAnsi="Arial"/>
                <w:sz w:val="13"/>
                <w:szCs w:val="13"/>
                <w:color w:val="auto"/>
              </w:rPr>
              <w:t>13,894</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13,791</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13,890</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7,957</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9,503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90"/>
              </w:rPr>
              <w:t>10,246</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0.7%</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0.0%</w:t>
            </w:r>
          </w:p>
        </w:tc>
        <w:tc>
          <w:tcPr>
            <w:tcW w:w="60" w:type="dxa"/>
            <w:vAlign w:val="bottom"/>
          </w:tcPr>
          <w:p>
            <w:pPr>
              <w:spacing w:after="0"/>
              <w:rPr>
                <w:sz w:val="17"/>
                <w:szCs w:val="17"/>
                <w:color w:val="auto"/>
              </w:rPr>
            </w:pPr>
          </w:p>
        </w:tc>
        <w:tc>
          <w:tcPr>
            <w:tcW w:w="520" w:type="dxa"/>
            <w:vAlign w:val="bottom"/>
            <w:gridSpan w:val="2"/>
            <w:shd w:val="clear" w:color="auto" w:fill="66E0DA"/>
          </w:tcPr>
          <w:p>
            <w:pPr>
              <w:jc w:val="right"/>
              <w:ind w:right="100"/>
              <w:spacing w:after="0"/>
              <w:rPr>
                <w:sz w:val="20"/>
                <w:szCs w:val="20"/>
                <w:color w:val="auto"/>
              </w:rPr>
            </w:pPr>
            <w:r>
              <w:rPr>
                <w:rFonts w:ascii="Arial" w:cs="Arial" w:eastAsia="Arial" w:hAnsi="Arial"/>
                <w:sz w:val="13"/>
                <w:szCs w:val="13"/>
                <w:color w:val="auto"/>
                <w:shd w:val="clear" w:color="auto" w:fill="66E0DA"/>
              </w:rPr>
              <w:t>7.8%</w:t>
            </w:r>
          </w:p>
        </w:tc>
        <w:tc>
          <w:tcPr>
            <w:tcW w:w="48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rPr>
              <w:t>28.8%</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2,562</w:t>
            </w: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2,798</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2,646</w:t>
            </w:r>
          </w:p>
        </w:tc>
        <w:tc>
          <w:tcPr>
            <w:tcW w:w="500" w:type="dxa"/>
            <w:vAlign w:val="bottom"/>
            <w:gridSpan w:val="2"/>
            <w:shd w:val="clear" w:color="auto" w:fill="F17FC8"/>
          </w:tcPr>
          <w:p>
            <w:pPr>
              <w:jc w:val="right"/>
              <w:ind w:right="40"/>
              <w:spacing w:after="0"/>
              <w:rPr>
                <w:sz w:val="20"/>
                <w:szCs w:val="20"/>
                <w:color w:val="auto"/>
              </w:rPr>
            </w:pPr>
            <w:r>
              <w:rPr>
                <w:rFonts w:ascii="Arial" w:cs="Arial" w:eastAsia="Arial" w:hAnsi="Arial"/>
                <w:sz w:val="13"/>
                <w:szCs w:val="13"/>
                <w:color w:val="auto"/>
              </w:rPr>
              <w:t>-5.4%</w:t>
            </w:r>
          </w:p>
        </w:tc>
        <w:tc>
          <w:tcPr>
            <w:tcW w:w="100" w:type="dxa"/>
            <w:vAlign w:val="bottom"/>
            <w:tcBorders>
              <w:right w:val="single" w:sz="8" w:color="66E0DA"/>
            </w:tcBorders>
          </w:tcPr>
          <w:p>
            <w:pPr>
              <w:spacing w:after="0"/>
              <w:rPr>
                <w:sz w:val="17"/>
                <w:szCs w:val="17"/>
                <w:color w:val="auto"/>
              </w:rPr>
            </w:pPr>
          </w:p>
        </w:tc>
        <w:tc>
          <w:tcPr>
            <w:tcW w:w="480" w:type="dxa"/>
            <w:vAlign w:val="bottom"/>
            <w:gridSpan w:val="2"/>
            <w:shd w:val="clear" w:color="auto" w:fill="66E0DA"/>
          </w:tcPr>
          <w:p>
            <w:pPr>
              <w:jc w:val="right"/>
              <w:ind w:right="40"/>
              <w:spacing w:after="0"/>
              <w:rPr>
                <w:sz w:val="20"/>
                <w:szCs w:val="20"/>
                <w:color w:val="auto"/>
              </w:rPr>
            </w:pPr>
            <w:r>
              <w:rPr>
                <w:rFonts w:ascii="Arial" w:cs="Arial" w:eastAsia="Arial" w:hAnsi="Arial"/>
                <w:sz w:val="13"/>
                <w:szCs w:val="13"/>
                <w:color w:val="auto"/>
              </w:rPr>
              <w:t>3.3%</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Retail Banking</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54,455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54,880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55,625</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39,237</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40,423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0"/>
              </w:rPr>
              <w:t>42,323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7.9%</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1,896</w:t>
            </w: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1,962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1,774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-9.6%</w:t>
            </w: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-6.5%</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88.7%</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11.3%</w:t>
            </w:r>
          </w:p>
        </w:tc>
        <w:tc>
          <w:tcPr>
            <w:tcW w:w="0" w:type="dxa"/>
            <w:vAlign w:val="bottom"/>
          </w:tcPr>
          <w:p>
            <w:pPr>
              <w:spacing w:after="0"/>
              <w:rPr>
                <w:sz w:val="1"/>
                <w:szCs w:val="1"/>
                <w:color w:val="auto"/>
              </w:rPr>
            </w:pPr>
          </w:p>
        </w:tc>
      </w:tr>
      <w:tr>
        <w:trPr>
          <w:trHeight w:val="196"/>
        </w:trPr>
        <w:tc>
          <w:tcPr>
            <w:tcW w:w="1260" w:type="dxa"/>
            <w:vAlign w:val="bottom"/>
          </w:tcPr>
          <w:p>
            <w:pPr>
              <w:ind w:left="220"/>
              <w:spacing w:after="0"/>
              <w:rPr>
                <w:sz w:val="20"/>
                <w:szCs w:val="20"/>
                <w:color w:val="auto"/>
              </w:rPr>
            </w:pPr>
            <w:r>
              <w:rPr>
                <w:rFonts w:ascii="Arial" w:cs="Arial" w:eastAsia="Arial" w:hAnsi="Arial"/>
                <w:sz w:val="13"/>
                <w:szCs w:val="13"/>
                <w:color w:val="auto"/>
              </w:rPr>
              <w:t>SME - Business</w:t>
            </w:r>
          </w:p>
        </w:tc>
        <w:tc>
          <w:tcPr>
            <w:tcW w:w="600" w:type="dxa"/>
            <w:vAlign w:val="bottom"/>
          </w:tcPr>
          <w:p>
            <w:pPr>
              <w:jc w:val="right"/>
              <w:spacing w:after="0"/>
              <w:rPr>
                <w:sz w:val="20"/>
                <w:szCs w:val="20"/>
                <w:color w:val="auto"/>
              </w:rPr>
            </w:pPr>
            <w:r>
              <w:rPr>
                <w:rFonts w:ascii="Arial" w:cs="Arial" w:eastAsia="Arial" w:hAnsi="Arial"/>
                <w:sz w:val="13"/>
                <w:szCs w:val="13"/>
                <w:color w:val="auto"/>
              </w:rPr>
              <w:t>8,402</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8,076</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7,780</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2,161</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2,199</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2,597</w:t>
            </w:r>
          </w:p>
        </w:tc>
        <w:tc>
          <w:tcPr>
            <w:tcW w:w="500" w:type="dxa"/>
            <w:vAlign w:val="bottom"/>
            <w:gridSpan w:val="2"/>
            <w:shd w:val="clear" w:color="auto" w:fill="F17FC8"/>
          </w:tcPr>
          <w:p>
            <w:pPr>
              <w:jc w:val="right"/>
              <w:ind w:right="80"/>
              <w:spacing w:after="0"/>
              <w:rPr>
                <w:sz w:val="20"/>
                <w:szCs w:val="20"/>
                <w:color w:val="auto"/>
              </w:rPr>
            </w:pPr>
            <w:r>
              <w:rPr>
                <w:rFonts w:ascii="Arial" w:cs="Arial" w:eastAsia="Arial" w:hAnsi="Arial"/>
                <w:sz w:val="13"/>
                <w:szCs w:val="13"/>
                <w:color w:val="auto"/>
              </w:rPr>
              <w:t>-3.7%</w:t>
            </w:r>
          </w:p>
        </w:tc>
        <w:tc>
          <w:tcPr>
            <w:tcW w:w="500" w:type="dxa"/>
            <w:vAlign w:val="bottom"/>
            <w:gridSpan w:val="2"/>
            <w:shd w:val="clear" w:color="auto" w:fill="F17FC8"/>
          </w:tcPr>
          <w:p>
            <w:pPr>
              <w:jc w:val="right"/>
              <w:ind w:right="20"/>
              <w:spacing w:after="0"/>
              <w:rPr>
                <w:sz w:val="20"/>
                <w:szCs w:val="20"/>
                <w:color w:val="auto"/>
              </w:rPr>
            </w:pPr>
            <w:r>
              <w:rPr>
                <w:rFonts w:ascii="Arial" w:cs="Arial" w:eastAsia="Arial" w:hAnsi="Arial"/>
                <w:sz w:val="13"/>
                <w:szCs w:val="13"/>
                <w:color w:val="auto"/>
              </w:rPr>
              <w:t>-7.4%</w:t>
            </w:r>
          </w:p>
        </w:tc>
        <w:tc>
          <w:tcPr>
            <w:tcW w:w="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18.1%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20.2%</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689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815</w:t>
            </w: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674</w:t>
            </w:r>
          </w:p>
        </w:tc>
        <w:tc>
          <w:tcPr>
            <w:tcW w:w="500" w:type="dxa"/>
            <w:vAlign w:val="bottom"/>
            <w:gridSpan w:val="2"/>
            <w:shd w:val="clear" w:color="auto" w:fill="F17FC8"/>
          </w:tcPr>
          <w:p>
            <w:pPr>
              <w:jc w:val="right"/>
              <w:ind w:right="40"/>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74.2%</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SME - Pyme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19,441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19,517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10,062</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10,861</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11,398</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66E0DA"/>
          </w:tcPr>
          <w:p>
            <w:pPr>
              <w:jc w:val="right"/>
              <w:ind w:right="100"/>
              <w:spacing w:after="0"/>
              <w:rPr>
                <w:sz w:val="20"/>
                <w:szCs w:val="20"/>
                <w:color w:val="auto"/>
              </w:rPr>
            </w:pPr>
            <w:r>
              <w:rPr>
                <w:rFonts w:ascii="Arial" w:cs="Arial" w:eastAsia="Arial" w:hAnsi="Arial"/>
                <w:sz w:val="13"/>
                <w:szCs w:val="13"/>
                <w:color w:val="auto"/>
                <w:shd w:val="clear" w:color="auto" w:fill="66E0DA"/>
              </w:rPr>
              <w:t>4.9%</w:t>
            </w:r>
          </w:p>
        </w:tc>
        <w:tc>
          <w:tcPr>
            <w:tcW w:w="48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shd w:val="clear" w:color="auto" w:fill="66E0DA"/>
              </w:rPr>
              <w:t>13.3%</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w:t>
            </w: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6"/>
        </w:trPr>
        <w:tc>
          <w:tcPr>
            <w:tcW w:w="1260" w:type="dxa"/>
            <w:vAlign w:val="bottom"/>
          </w:tcPr>
          <w:p>
            <w:pPr>
              <w:ind w:left="220"/>
              <w:spacing w:after="0"/>
              <w:rPr>
                <w:sz w:val="20"/>
                <w:szCs w:val="20"/>
                <w:color w:val="auto"/>
              </w:rPr>
            </w:pPr>
            <w:r>
              <w:rPr>
                <w:rFonts w:ascii="Arial" w:cs="Arial" w:eastAsia="Arial" w:hAnsi="Arial"/>
                <w:sz w:val="13"/>
                <w:szCs w:val="13"/>
                <w:color w:val="auto"/>
              </w:rPr>
              <w:t>Mortgage</w:t>
            </w:r>
          </w:p>
        </w:tc>
        <w:tc>
          <w:tcPr>
            <w:tcW w:w="600" w:type="dxa"/>
            <w:vAlign w:val="bottom"/>
          </w:tcPr>
          <w:p>
            <w:pPr>
              <w:jc w:val="right"/>
              <w:spacing w:after="0"/>
              <w:rPr>
                <w:sz w:val="20"/>
                <w:szCs w:val="20"/>
                <w:color w:val="auto"/>
              </w:rPr>
            </w:pPr>
            <w:r>
              <w:rPr>
                <w:rFonts w:ascii="Arial" w:cs="Arial" w:eastAsia="Arial" w:hAnsi="Arial"/>
                <w:sz w:val="13"/>
                <w:szCs w:val="13"/>
                <w:color w:val="auto"/>
              </w:rPr>
              <w:t>15,063</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15,960</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16,391</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15,063</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15,960</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90"/>
              </w:rPr>
              <w:t>16,391</w:t>
            </w:r>
          </w:p>
        </w:tc>
        <w:tc>
          <w:tcPr>
            <w:tcW w:w="500" w:type="dxa"/>
            <w:vAlign w:val="bottom"/>
            <w:gridSpan w:val="2"/>
            <w:shd w:val="clear" w:color="auto" w:fill="66E0DA"/>
          </w:tcPr>
          <w:p>
            <w:pPr>
              <w:jc w:val="right"/>
              <w:ind w:right="80"/>
              <w:spacing w:after="0"/>
              <w:rPr>
                <w:sz w:val="20"/>
                <w:szCs w:val="20"/>
                <w:color w:val="auto"/>
              </w:rPr>
            </w:pPr>
            <w:r>
              <w:rPr>
                <w:rFonts w:ascii="Arial" w:cs="Arial" w:eastAsia="Arial" w:hAnsi="Arial"/>
                <w:sz w:val="13"/>
                <w:szCs w:val="13"/>
                <w:color w:val="auto"/>
              </w:rPr>
              <w:t>2.7%</w:t>
            </w:r>
          </w:p>
        </w:tc>
        <w:tc>
          <w:tcPr>
            <w:tcW w:w="50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7"/>
                <w:szCs w:val="17"/>
                <w:color w:val="auto"/>
              </w:rPr>
            </w:pPr>
          </w:p>
        </w:tc>
        <w:tc>
          <w:tcPr>
            <w:tcW w:w="520" w:type="dxa"/>
            <w:vAlign w:val="bottom"/>
            <w:gridSpan w:val="2"/>
            <w:shd w:val="clear" w:color="auto" w:fill="66E0DA"/>
          </w:tcPr>
          <w:p>
            <w:pPr>
              <w:jc w:val="right"/>
              <w:ind w:right="100"/>
              <w:spacing w:after="0"/>
              <w:rPr>
                <w:sz w:val="20"/>
                <w:szCs w:val="20"/>
                <w:color w:val="auto"/>
              </w:rPr>
            </w:pPr>
            <w:r>
              <w:rPr>
                <w:rFonts w:ascii="Arial" w:cs="Arial" w:eastAsia="Arial" w:hAnsi="Arial"/>
                <w:sz w:val="13"/>
                <w:szCs w:val="13"/>
                <w:color w:val="auto"/>
              </w:rPr>
              <w:t>2.7%</w:t>
            </w:r>
          </w:p>
        </w:tc>
        <w:tc>
          <w:tcPr>
            <w:tcW w:w="48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596</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532</w:t>
            </w: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509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-14.7%</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88.9%</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Consumer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8,469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8,898</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8,119</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8,469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8,898</w:t>
            </w:r>
          </w:p>
        </w:tc>
        <w:tc>
          <w:tcPr>
            <w:tcW w:w="500" w:type="dxa"/>
            <w:vAlign w:val="bottom"/>
            <w:gridSpan w:val="2"/>
            <w:shd w:val="clear" w:color="auto" w:fill="66E0DA"/>
          </w:tcPr>
          <w:p>
            <w:pPr>
              <w:jc w:val="right"/>
              <w:ind w:right="80"/>
              <w:spacing w:after="0"/>
              <w:rPr>
                <w:sz w:val="20"/>
                <w:szCs w:val="20"/>
                <w:color w:val="auto"/>
              </w:rPr>
            </w:pPr>
            <w:r>
              <w:rPr>
                <w:rFonts w:ascii="Arial" w:cs="Arial" w:eastAsia="Arial" w:hAnsi="Arial"/>
                <w:sz w:val="13"/>
                <w:szCs w:val="13"/>
                <w:color w:val="auto"/>
              </w:rPr>
              <w:t>5.1%</w:t>
            </w:r>
          </w:p>
        </w:tc>
        <w:tc>
          <w:tcPr>
            <w:tcW w:w="500" w:type="dxa"/>
            <w:vAlign w:val="bottom"/>
            <w:gridSpan w:val="2"/>
            <w:shd w:val="clear" w:color="auto" w:fill="66E0DA"/>
          </w:tcPr>
          <w:p>
            <w:pPr>
              <w:jc w:val="right"/>
              <w:ind w:right="20"/>
              <w:spacing w:after="0"/>
              <w:rPr>
                <w:sz w:val="20"/>
                <w:szCs w:val="20"/>
                <w:color w:val="auto"/>
              </w:rPr>
            </w:pPr>
            <w:r>
              <w:rPr>
                <w:rFonts w:ascii="Arial" w:cs="Arial" w:eastAsia="Arial" w:hAnsi="Arial"/>
                <w:sz w:val="13"/>
                <w:szCs w:val="13"/>
                <w:color w:val="auto"/>
              </w:rPr>
              <w:t>9.6%</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9.6%</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5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86.4%</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96"/>
        </w:trPr>
        <w:tc>
          <w:tcPr>
            <w:tcW w:w="1260" w:type="dxa"/>
            <w:vAlign w:val="bottom"/>
          </w:tcPr>
          <w:p>
            <w:pPr>
              <w:ind w:left="220"/>
              <w:spacing w:after="0"/>
              <w:rPr>
                <w:sz w:val="20"/>
                <w:szCs w:val="20"/>
                <w:color w:val="auto"/>
              </w:rPr>
            </w:pPr>
            <w:r>
              <w:rPr>
                <w:rFonts w:ascii="Arial" w:cs="Arial" w:eastAsia="Arial" w:hAnsi="Arial"/>
                <w:sz w:val="13"/>
                <w:szCs w:val="13"/>
                <w:color w:val="auto"/>
              </w:rPr>
              <w:t>Credit Card</w:t>
            </w:r>
          </w:p>
        </w:tc>
        <w:tc>
          <w:tcPr>
            <w:tcW w:w="600" w:type="dxa"/>
            <w:vAlign w:val="bottom"/>
          </w:tcPr>
          <w:p>
            <w:pPr>
              <w:jc w:val="right"/>
              <w:spacing w:after="0"/>
              <w:rPr>
                <w:sz w:val="20"/>
                <w:szCs w:val="20"/>
                <w:color w:val="auto"/>
              </w:rPr>
            </w:pPr>
            <w:r>
              <w:rPr>
                <w:rFonts w:ascii="Arial" w:cs="Arial" w:eastAsia="Arial" w:hAnsi="Arial"/>
                <w:sz w:val="13"/>
                <w:szCs w:val="13"/>
                <w:color w:val="auto"/>
              </w:rPr>
              <w:t>3,831</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color w:val="auto"/>
              </w:rPr>
              <w:t>2,933</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3,039</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3,831</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2,933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3,039</w:t>
            </w: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3.6%</w:t>
            </w:r>
          </w:p>
        </w:tc>
        <w:tc>
          <w:tcPr>
            <w:tcW w:w="500" w:type="dxa"/>
            <w:vAlign w:val="bottom"/>
            <w:gridSpan w:val="2"/>
            <w:shd w:val="clear" w:color="auto" w:fill="F17FC8"/>
          </w:tcPr>
          <w:p>
            <w:pPr>
              <w:jc w:val="right"/>
              <w:ind w:right="20"/>
              <w:spacing w:after="0"/>
              <w:rPr>
                <w:sz w:val="20"/>
                <w:szCs w:val="20"/>
                <w:color w:val="auto"/>
              </w:rPr>
            </w:pPr>
            <w:r>
              <w:rPr>
                <w:rFonts w:ascii="Arial" w:cs="Arial" w:eastAsia="Arial" w:hAnsi="Arial"/>
                <w:sz w:val="13"/>
                <w:szCs w:val="13"/>
                <w:color w:val="auto"/>
                <w:shd w:val="clear" w:color="auto" w:fill="F17FC8"/>
              </w:rPr>
              <w:t>-20.7%</w:t>
            </w:r>
          </w:p>
        </w:tc>
        <w:tc>
          <w:tcPr>
            <w:tcW w:w="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c>
          <w:tcPr>
            <w:tcW w:w="480" w:type="dxa"/>
            <w:vAlign w:val="bottom"/>
            <w:gridSpan w:val="2"/>
            <w:shd w:val="clear" w:color="auto" w:fill="F17FC8"/>
          </w:tcPr>
          <w:p>
            <w:pPr>
              <w:jc w:val="right"/>
              <w:ind w:right="20"/>
              <w:spacing w:after="0"/>
              <w:rPr>
                <w:sz w:val="20"/>
                <w:szCs w:val="20"/>
                <w:color w:val="auto"/>
              </w:rPr>
            </w:pPr>
            <w:r>
              <w:rPr>
                <w:rFonts w:ascii="Arial" w:cs="Arial" w:eastAsia="Arial" w:hAnsi="Arial"/>
                <w:sz w:val="13"/>
                <w:szCs w:val="13"/>
                <w:color w:val="auto"/>
                <w:shd w:val="clear" w:color="auto" w:fill="F17FC8"/>
              </w:rPr>
              <w:t>-20.7%</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161</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193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Mibanco</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12,191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12,614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12,880</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9,377</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9,960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0"/>
              </w:rPr>
              <w:t>10,518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2.1%</w:t>
            </w:r>
          </w:p>
        </w:tc>
        <w:tc>
          <w:tcPr>
            <w:tcW w:w="500" w:type="dxa"/>
            <w:vAlign w:val="bottom"/>
            <w:gridSpan w:val="2"/>
            <w:shd w:val="clear" w:color="auto" w:fill="66E0DA"/>
          </w:tcPr>
          <w:p>
            <w:pPr>
              <w:jc w:val="right"/>
              <w:spacing w:after="0"/>
              <w:rPr>
                <w:sz w:val="20"/>
                <w:szCs w:val="20"/>
                <w:color w:val="auto"/>
              </w:rPr>
            </w:pPr>
            <w:r>
              <w:rPr>
                <w:rFonts w:ascii="Arial" w:cs="Arial" w:eastAsia="Arial" w:hAnsi="Arial"/>
                <w:sz w:val="13"/>
                <w:szCs w:val="13"/>
                <w:b w:val="1"/>
                <w:bCs w:val="1"/>
                <w:color w:val="auto"/>
                <w:shd w:val="clear" w:color="auto" w:fill="66E0DA"/>
              </w:rPr>
              <w:t>5.7%</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66E0DA"/>
          </w:tcPr>
          <w:p>
            <w:pPr>
              <w:jc w:val="right"/>
              <w:ind w:right="60"/>
              <w:spacing w:after="0"/>
              <w:rPr>
                <w:sz w:val="20"/>
                <w:szCs w:val="20"/>
                <w:color w:val="auto"/>
              </w:rPr>
            </w:pPr>
            <w:r>
              <w:rPr>
                <w:rFonts w:ascii="Arial" w:cs="Arial" w:eastAsia="Arial" w:hAnsi="Arial"/>
                <w:sz w:val="13"/>
                <w:szCs w:val="13"/>
                <w:b w:val="1"/>
                <w:bCs w:val="1"/>
                <w:color w:val="auto"/>
                <w:shd w:val="clear" w:color="auto" w:fill="66E0DA"/>
              </w:rPr>
              <w:t>5.6%</w:t>
            </w:r>
          </w:p>
        </w:tc>
        <w:tc>
          <w:tcPr>
            <w:tcW w:w="480" w:type="dxa"/>
            <w:vAlign w:val="bottom"/>
            <w:gridSpan w:val="2"/>
            <w:shd w:val="clear" w:color="auto" w:fill="66E0DA"/>
          </w:tcPr>
          <w:p>
            <w:pPr>
              <w:jc w:val="right"/>
              <w:spacing w:after="0"/>
              <w:rPr>
                <w:sz w:val="20"/>
                <w:szCs w:val="20"/>
                <w:color w:val="auto"/>
              </w:rPr>
            </w:pPr>
            <w:r>
              <w:rPr>
                <w:rFonts w:ascii="Arial" w:cs="Arial" w:eastAsia="Arial" w:hAnsi="Arial"/>
                <w:sz w:val="13"/>
                <w:szCs w:val="13"/>
                <w:b w:val="1"/>
                <w:bCs w:val="1"/>
                <w:color w:val="auto"/>
                <w:shd w:val="clear" w:color="auto" w:fill="66E0DA"/>
              </w:rPr>
              <w:t>12.2%</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w:t>
            </w: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115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2.6%</w:t>
            </w: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-12.9%</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96.5%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3.5%</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20"/>
                <w:szCs w:val="20"/>
                <w:color w:val="auto"/>
              </w:rPr>
            </w:pPr>
            <w:r>
              <w:rPr>
                <w:rFonts w:ascii="Arial" w:cs="Arial" w:eastAsia="Arial" w:hAnsi="Arial"/>
                <w:sz w:val="13"/>
                <w:szCs w:val="13"/>
                <w:b w:val="1"/>
                <w:bCs w:val="1"/>
                <w:color w:val="auto"/>
              </w:rPr>
              <w:t>Mibanco Colombia</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240</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256</w:t>
            </w: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265</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10.7%</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100.0%</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Bolivia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2,289</w:t>
            </w: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2,302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2,300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Borders>
              <w:right w:val="single" w:sz="8" w:color="CCEEFF"/>
            </w:tcBorders>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0.5%</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100.0%</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20"/>
                <w:szCs w:val="20"/>
                <w:color w:val="auto"/>
              </w:rPr>
            </w:pPr>
            <w:r>
              <w:rPr>
                <w:rFonts w:ascii="Arial" w:cs="Arial" w:eastAsia="Arial" w:hAnsi="Arial"/>
                <w:sz w:val="13"/>
                <w:szCs w:val="13"/>
                <w:b w:val="1"/>
                <w:bCs w:val="1"/>
                <w:color w:val="auto"/>
              </w:rPr>
              <w:t>ASB</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648</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521</w:t>
            </w: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580</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11.2%</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-10.5%</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100.0%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loans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93,136</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96,056</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97,472</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68,416</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74,162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0"/>
              </w:rPr>
              <w:t>77,738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13.6%</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12,177</w:t>
            </w: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12,322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11,863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-3.7%</w:t>
            </w:r>
          </w:p>
        </w:tc>
        <w:tc>
          <w:tcPr>
            <w:tcW w:w="100" w:type="dxa"/>
            <w:vAlign w:val="bottom"/>
            <w:tcBorders>
              <w:right w:val="single" w:sz="8" w:color="CCEEFF"/>
            </w:tcBorders>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-2.6%</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67.2%</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32.8%</w:t>
            </w:r>
          </w:p>
        </w:tc>
        <w:tc>
          <w:tcPr>
            <w:tcW w:w="0" w:type="dxa"/>
            <w:vAlign w:val="bottom"/>
          </w:tcPr>
          <w:p>
            <w:pPr>
              <w:spacing w:after="0"/>
              <w:rPr>
                <w:sz w:val="1"/>
                <w:szCs w:val="1"/>
                <w:color w:val="auto"/>
              </w:rPr>
            </w:pPr>
          </w:p>
        </w:tc>
      </w:tr>
      <w:tr>
        <w:trPr>
          <w:trHeight w:val="25"/>
        </w:trPr>
        <w:tc>
          <w:tcPr>
            <w:tcW w:w="12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02"/>
        <w:spacing w:after="0"/>
        <w:rPr>
          <w:sz w:val="20"/>
          <w:szCs w:val="20"/>
          <w:color w:val="auto"/>
        </w:rPr>
      </w:pPr>
      <w:r>
        <w:rPr>
          <w:rFonts w:ascii="Arial" w:cs="Arial" w:eastAsia="Arial" w:hAnsi="Arial"/>
          <w:sz w:val="16"/>
          <w:szCs w:val="16"/>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202565" cy="132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2565" cy="132715"/>
                    </a:xfrm>
                    <a:prstGeom prst="rect">
                      <a:avLst/>
                    </a:prstGeom>
                    <a:noFill/>
                  </pic:spPr>
                </pic:pic>
              </a:graphicData>
            </a:graphic>
          </wp:anchor>
        </w:drawing>
      </w:r>
    </w:p>
    <w:p>
      <w:pPr>
        <w:spacing w:after="0" w:line="4" w:lineRule="exact"/>
        <w:rPr>
          <w:sz w:val="20"/>
          <w:szCs w:val="20"/>
          <w:color w:val="auto"/>
        </w:rPr>
      </w:pPr>
    </w:p>
    <w:p>
      <w:pPr>
        <w:ind w:left="802"/>
        <w:spacing w:after="0"/>
        <w:rPr>
          <w:sz w:val="20"/>
          <w:szCs w:val="20"/>
          <w:color w:val="auto"/>
        </w:rPr>
      </w:pPr>
      <w:r>
        <w:rPr>
          <w:rFonts w:ascii="Arial" w:cs="Arial" w:eastAsia="Arial" w:hAnsi="Arial"/>
          <w:sz w:val="16"/>
          <w:szCs w:val="16"/>
          <w:color w:val="auto"/>
        </w:rPr>
        <w:t>Highest growth in volumes</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20"/>
          <w:szCs w:val="20"/>
          <w:color w:val="auto"/>
        </w:rPr>
        <w:t>For consolidation purposes, loans generated in FC are converted to LC.</w:t>
      </w:r>
    </w:p>
    <w:p>
      <w:pPr>
        <w:spacing w:after="0" w:line="7"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Structural Portfolio excludes the average daily balances from loans offered through de Reactiva Peru y FAE-Mype Government Programs.</w:t>
      </w:r>
    </w:p>
    <w:p>
      <w:pPr>
        <w:spacing w:after="0" w:line="25" w:lineRule="exact"/>
        <w:rPr>
          <w:rFonts w:ascii="Arial" w:cs="Arial" w:eastAsia="Arial" w:hAnsi="Arial"/>
          <w:sz w:val="17"/>
          <w:szCs w:val="17"/>
          <w:color w:val="auto"/>
        </w:rPr>
      </w:pPr>
    </w:p>
    <w:p>
      <w:pPr>
        <w:ind w:left="282" w:hanging="282"/>
        <w:spacing w:after="0"/>
        <w:tabs>
          <w:tab w:leader="none" w:pos="282" w:val="left"/>
        </w:tabs>
        <w:numPr>
          <w:ilvl w:val="0"/>
          <w:numId w:val="11"/>
        </w:numPr>
        <w:rPr>
          <w:rFonts w:ascii="Arial" w:cs="Arial" w:eastAsia="Arial" w:hAnsi="Arial"/>
          <w:sz w:val="20"/>
          <w:szCs w:val="20"/>
          <w:color w:val="auto"/>
        </w:rPr>
      </w:pPr>
      <w:r>
        <w:rPr>
          <w:rFonts w:ascii="Arial" w:cs="Arial" w:eastAsia="Arial" w:hAnsi="Arial"/>
          <w:sz w:val="20"/>
          <w:szCs w:val="20"/>
          <w:color w:val="auto"/>
        </w:rPr>
        <w:t>Figures differ from previously reported</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 xml:space="preserve">YoY evolution of the dollarization level by Credicorp Segment </w:t>
      </w:r>
      <w:r>
        <w:rPr>
          <w:rFonts w:ascii="Arial" w:cs="Arial" w:eastAsia="Arial" w:hAnsi="Arial"/>
          <w:sz w:val="32"/>
          <w:szCs w:val="32"/>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142875</wp:posOffset>
            </wp:positionV>
            <wp:extent cx="4784090" cy="1901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84090" cy="190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2" w:hanging="282"/>
        <w:spacing w:after="0"/>
        <w:tabs>
          <w:tab w:leader="none" w:pos="28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Average daily balances.</w:t>
      </w:r>
    </w:p>
    <w:p>
      <w:pPr>
        <w:spacing w:after="0" w:line="6" w:lineRule="exact"/>
        <w:rPr>
          <w:rFonts w:ascii="Arial" w:cs="Arial" w:eastAsia="Arial" w:hAnsi="Arial"/>
          <w:sz w:val="20"/>
          <w:szCs w:val="20"/>
          <w:color w:val="auto"/>
        </w:rPr>
      </w:pPr>
    </w:p>
    <w:p>
      <w:pPr>
        <w:ind w:left="2" w:hanging="2"/>
        <w:spacing w:after="0" w:line="230" w:lineRule="auto"/>
        <w:tabs>
          <w:tab w:leader="none" w:pos="286"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FC share of Credicorp’s loan portfolio is calculated including BCP Bolivia and ASB, however the chart shows only the loan books of BCP Stand-alone and Mibanco.</w:t>
      </w:r>
    </w:p>
    <w:p>
      <w:pPr>
        <w:ind w:left="2" w:hanging="2"/>
        <w:spacing w:after="0" w:line="236" w:lineRule="auto"/>
        <w:tabs>
          <w:tab w:leader="none" w:pos="28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year with the historic maximum level of dollarization for Wholesale Banking was 2012, for Mibanco was 2016, for Credit Card was in 2021 and for the rest of segments was 2009.</w:t>
      </w:r>
    </w:p>
    <w:p>
      <w:pPr>
        <w:spacing w:after="0" w:line="19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YoY, the portfolio’s dollarization level grew slightly due to the exchange rate effect (LC depreciation) and to an uptick in amortizations of GP loans.</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68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8550" cy="656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19" w:name="page20"/>
    <w:bookmarkEnd w:id="19"/>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2. Funding sources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2.1 Funding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172085</wp:posOffset>
            </wp:positionV>
            <wp:extent cx="4651375" cy="1784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51375" cy="178435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funding level fell 2.0% QoQ. If we isolate the exchange rate effect, the level falls 0.3%. In terms of structure, the following dynamics stand out:</w:t>
      </w:r>
    </w:p>
    <w:p>
      <w:pPr>
        <w:spacing w:after="0" w:line="196" w:lineRule="exact"/>
        <w:rPr>
          <w:sz w:val="20"/>
          <w:szCs w:val="20"/>
          <w:color w:val="auto"/>
        </w:rPr>
      </w:pPr>
    </w:p>
    <w:p>
      <w:pPr>
        <w:ind w:left="222" w:hanging="222"/>
        <w:spacing w:after="0" w:line="292" w:lineRule="auto"/>
        <w:tabs>
          <w:tab w:leader="none" w:pos="2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Growth in the share of </w:t>
      </w:r>
      <w:r>
        <w:rPr>
          <w:rFonts w:ascii="Arial" w:cs="Arial" w:eastAsia="Arial" w:hAnsi="Arial"/>
          <w:sz w:val="16"/>
          <w:szCs w:val="16"/>
          <w:b w:val="1"/>
          <w:bCs w:val="1"/>
          <w:color w:val="auto"/>
        </w:rPr>
        <w:t>Deposits</w:t>
      </w:r>
      <w:r>
        <w:rPr>
          <w:rFonts w:ascii="Arial" w:cs="Arial" w:eastAsia="Arial" w:hAnsi="Arial"/>
          <w:sz w:val="16"/>
          <w:szCs w:val="16"/>
          <w:color w:val="auto"/>
        </w:rPr>
        <w:t xml:space="preserve"> (76.9% vs 76.4% in 3Q21), which occurred despite a slight QoQ contraction in volume.</w:t>
      </w:r>
    </w:p>
    <w:p>
      <w:pPr>
        <w:spacing w:after="0" w:line="169" w:lineRule="exact"/>
        <w:rPr>
          <w:rFonts w:ascii="Arial" w:cs="Arial" w:eastAsia="Arial" w:hAnsi="Arial"/>
          <w:sz w:val="16"/>
          <w:szCs w:val="16"/>
          <w:color w:val="auto"/>
        </w:rPr>
      </w:pPr>
    </w:p>
    <w:p>
      <w:pPr>
        <w:jc w:val="both"/>
        <w:ind w:left="302" w:hanging="302"/>
        <w:spacing w:after="0" w:line="271" w:lineRule="auto"/>
        <w:tabs>
          <w:tab w:leader="none" w:pos="3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on-going reduction in the share of BCRP Instruments (10.1% vs 10.4% in 3Q21). This was fueled by amortizations of Reactiva loans, mainly at BCP Stand-alone.</w:t>
      </w:r>
    </w:p>
    <w:p>
      <w:pPr>
        <w:spacing w:after="0" w:line="182" w:lineRule="exact"/>
        <w:rPr>
          <w:rFonts w:ascii="Arial" w:cs="Arial" w:eastAsia="Arial" w:hAnsi="Arial"/>
          <w:sz w:val="16"/>
          <w:szCs w:val="16"/>
          <w:color w:val="auto"/>
        </w:rPr>
      </w:pPr>
    </w:p>
    <w:p>
      <w:pPr>
        <w:ind w:left="302" w:right="20" w:hanging="302"/>
        <w:spacing w:after="0" w:line="292" w:lineRule="auto"/>
        <w:tabs>
          <w:tab w:leader="none" w:pos="3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 slight decrease in the share of </w:t>
      </w:r>
      <w:r>
        <w:rPr>
          <w:rFonts w:ascii="Arial" w:cs="Arial" w:eastAsia="Arial" w:hAnsi="Arial"/>
          <w:sz w:val="16"/>
          <w:szCs w:val="16"/>
          <w:b w:val="1"/>
          <w:bCs w:val="1"/>
          <w:color w:val="auto"/>
        </w:rPr>
        <w:t>Bonds and Issued Notes,</w:t>
      </w:r>
      <w:r>
        <w:rPr>
          <w:rFonts w:ascii="Arial" w:cs="Arial" w:eastAsia="Arial" w:hAnsi="Arial"/>
          <w:sz w:val="16"/>
          <w:szCs w:val="16"/>
          <w:color w:val="auto"/>
        </w:rPr>
        <w:t xml:space="preserve"> which fell from 8.8% in 3Q21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40"/>
        <w:spacing w:after="0" w:line="276" w:lineRule="auto"/>
        <w:rPr>
          <w:sz w:val="20"/>
          <w:szCs w:val="20"/>
          <w:color w:val="auto"/>
        </w:rPr>
      </w:pPr>
      <w:r>
        <w:rPr>
          <w:rFonts w:ascii="Arial" w:cs="Arial" w:eastAsia="Arial" w:hAnsi="Arial"/>
          <w:sz w:val="19"/>
          <w:szCs w:val="19"/>
          <w:color w:val="auto"/>
        </w:rPr>
        <w:t>8.7% in 4Q21. This drop was primarily due to the expiration both corporate and subordinated bonds at BCP Stand-alone.</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In the YoY analysis, the total funding level increased +2.2%. If we exclude the exchange rate effect, the level falls -2.4%. The increase in the </w:t>
      </w:r>
      <w:r>
        <w:rPr>
          <w:rFonts w:ascii="Arial" w:cs="Arial" w:eastAsia="Arial" w:hAnsi="Arial"/>
          <w:sz w:val="17"/>
          <w:szCs w:val="17"/>
          <w:b w:val="1"/>
          <w:bCs w:val="1"/>
          <w:color w:val="auto"/>
        </w:rPr>
        <w:t>share of deposits</w:t>
      </w:r>
      <w:r>
        <w:rPr>
          <w:rFonts w:ascii="Arial" w:cs="Arial" w:eastAsia="Arial" w:hAnsi="Arial"/>
          <w:sz w:val="17"/>
          <w:szCs w:val="17"/>
          <w:color w:val="auto"/>
        </w:rPr>
        <w:t xml:space="preserve"> was noteworthy (76.9% vs 74.4% in 4Q20); this result was driven by an uptick in personal liquidity, which was attributable to government relief facilities. The aforementioned was offset by a drop in </w:t>
      </w:r>
      <w:r>
        <w:rPr>
          <w:rFonts w:ascii="Arial" w:cs="Arial" w:eastAsia="Arial" w:hAnsi="Arial"/>
          <w:sz w:val="17"/>
          <w:szCs w:val="17"/>
          <w:b w:val="1"/>
          <w:bCs w:val="1"/>
          <w:color w:val="auto"/>
        </w:rPr>
        <w:t>BCRP instruments</w:t>
      </w:r>
      <w:r>
        <w:rPr>
          <w:rFonts w:ascii="Arial" w:cs="Arial" w:eastAsia="Arial" w:hAnsi="Arial"/>
          <w:sz w:val="17"/>
          <w:szCs w:val="17"/>
          <w:color w:val="auto"/>
        </w:rPr>
        <w:t xml:space="preserve"> (10.0% vs 13.4%), which was associated with amortization of Reactiva loans.</w:t>
      </w:r>
    </w:p>
    <w:p>
      <w:pPr>
        <w:spacing w:after="0" w:line="686" w:lineRule="exact"/>
        <w:rPr>
          <w:sz w:val="20"/>
          <w:szCs w:val="20"/>
          <w:color w:val="auto"/>
        </w:rPr>
      </w:pPr>
    </w:p>
    <w:p>
      <w:pPr>
        <w:sectPr>
          <w:pgSz w:w="11900" w:h="16838" w:orient="portrait"/>
          <w:cols w:equalWidth="0" w:num="2">
            <w:col w:w="5402" w:space="440"/>
            <w:col w:w="5400"/>
          </w:cols>
          <w:pgMar w:left="318" w:top="765" w:right="339" w:bottom="1440" w:gutter="0" w:footer="0" w:header="0"/>
          <w:type w:val="continuous"/>
        </w:sectPr>
      </w:pPr>
    </w:p>
    <w:p>
      <w:pPr>
        <w:spacing w:after="0" w:line="15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2.2. Deposits</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Deposits</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 change</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0"/>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Dec 20</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Sep 21</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Dec 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w w:val="92"/>
              </w:rPr>
              <w:t>QoQ</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YoY</w:t>
            </w:r>
          </w:p>
        </w:tc>
        <w:tc>
          <w:tcPr>
            <w:tcW w:w="180" w:type="dxa"/>
            <w:vAlign w:val="bottom"/>
          </w:tcPr>
          <w:p>
            <w:pPr>
              <w:spacing w:after="0"/>
              <w:rPr>
                <w:sz w:val="16"/>
                <w:szCs w:val="16"/>
                <w:color w:val="auto"/>
              </w:rPr>
            </w:pPr>
          </w:p>
        </w:tc>
      </w:tr>
      <w:tr>
        <w:trPr>
          <w:trHeight w:val="18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54,530,356</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61,112,084</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58,629,661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r>
      <w:tr>
        <w:trPr>
          <w:trHeight w:val="196"/>
        </w:trPr>
        <w:tc>
          <w:tcPr>
            <w:tcW w:w="3340" w:type="dxa"/>
            <w:vAlign w:val="bottom"/>
          </w:tcPr>
          <w:p>
            <w:pPr>
              <w:spacing w:after="0"/>
              <w:rPr>
                <w:sz w:val="20"/>
                <w:szCs w:val="20"/>
                <w:color w:val="auto"/>
              </w:rPr>
            </w:pPr>
            <w:r>
              <w:rPr>
                <w:rFonts w:ascii="Arial" w:cs="Arial" w:eastAsia="Arial" w:hAnsi="Arial"/>
                <w:sz w:val="16"/>
                <w:szCs w:val="16"/>
                <w:color w:val="auto"/>
              </w:rPr>
              <w:t>Saving deposits</w:t>
            </w:r>
          </w:p>
        </w:tc>
        <w:tc>
          <w:tcPr>
            <w:tcW w:w="1380" w:type="dxa"/>
            <w:vAlign w:val="bottom"/>
            <w:gridSpan w:val="3"/>
          </w:tcPr>
          <w:p>
            <w:pPr>
              <w:jc w:val="right"/>
              <w:ind w:right="200"/>
              <w:spacing w:after="0"/>
              <w:rPr>
                <w:sz w:val="20"/>
                <w:szCs w:val="20"/>
                <w:color w:val="auto"/>
              </w:rPr>
            </w:pPr>
            <w:r>
              <w:rPr>
                <w:rFonts w:ascii="Arial" w:cs="Arial" w:eastAsia="Arial" w:hAnsi="Arial"/>
                <w:sz w:val="16"/>
                <w:szCs w:val="16"/>
                <w:color w:val="auto"/>
              </w:rPr>
              <w:t>50,069,129</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54,365,781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56,945,262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13.7%</w:t>
            </w:r>
          </w:p>
        </w:tc>
      </w:tr>
      <w:tr>
        <w:trPr>
          <w:trHeight w:val="19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Time deposits</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29,324,090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31,601,351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29,995,810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r>
      <w:tr>
        <w:trPr>
          <w:trHeight w:val="196"/>
        </w:trPr>
        <w:tc>
          <w:tcPr>
            <w:tcW w:w="3340" w:type="dxa"/>
            <w:vAlign w:val="bottom"/>
          </w:tcPr>
          <w:p>
            <w:pPr>
              <w:spacing w:after="0"/>
              <w:rPr>
                <w:sz w:val="20"/>
                <w:szCs w:val="20"/>
                <w:color w:val="auto"/>
              </w:rPr>
            </w:pPr>
            <w:r>
              <w:rPr>
                <w:rFonts w:ascii="Arial" w:cs="Arial" w:eastAsia="Arial" w:hAnsi="Arial"/>
                <w:sz w:val="16"/>
                <w:szCs w:val="16"/>
                <w:color w:val="auto"/>
              </w:rPr>
              <w:t>Severance indemnity deposits</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7,736,747</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4,681,224</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4,017,065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-14.2%</w:t>
            </w:r>
          </w:p>
        </w:tc>
        <w:tc>
          <w:tcPr>
            <w:tcW w:w="3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-48.1%</w:t>
            </w:r>
          </w:p>
        </w:tc>
      </w:tr>
      <w:tr>
        <w:trPr>
          <w:trHeight w:val="19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705,180</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787,928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753,064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r>
      <w:tr>
        <w:trPr>
          <w:trHeight w:val="20"/>
        </w:trPr>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b w:val="1"/>
                <w:bCs w:val="1"/>
                <w:color w:val="auto"/>
              </w:rPr>
              <w:t>Total Deposits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142,365,502</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152,548,368</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150,340,862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w:t>
            </w:r>
          </w:p>
        </w:tc>
        <w:tc>
          <w:tcPr>
            <w:tcW w:w="3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5.6%</w:t>
            </w: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 xml:space="preserve">Deposits </w:t>
      </w:r>
      <w:r>
        <w:rPr>
          <w:rFonts w:ascii="Arial" w:cs="Arial" w:eastAsia="Arial" w:hAnsi="Arial"/>
          <w:sz w:val="20"/>
          <w:szCs w:val="20"/>
          <w:color w:val="auto"/>
        </w:rPr>
        <w:t>registered a drop QoQ. Nonetheless, if we isolate the exchange rate effect, growth of 0.4% was evident.</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main drivers of these movements were:</w:t>
      </w:r>
    </w:p>
    <w:p>
      <w:pPr>
        <w:spacing w:after="0" w:line="214" w:lineRule="exact"/>
        <w:rPr>
          <w:sz w:val="20"/>
          <w:szCs w:val="20"/>
          <w:color w:val="auto"/>
        </w:rPr>
      </w:pPr>
    </w:p>
    <w:p>
      <w:pPr>
        <w:jc w:val="both"/>
        <w:ind w:left="742" w:hanging="447"/>
        <w:spacing w:after="0" w:line="274" w:lineRule="auto"/>
        <w:tabs>
          <w:tab w:leader="none" w:pos="7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drop in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which fell -4.1% (-2.0% if we exclude the exchange rate effect), was driven mainly by a decrease in current accounts in LC held by corporate clients and, to a lesser extent, by current accounts held by retail banking clients. The aforementioned reduction in retail accounts reflected clients’ use of funds from AFPs.</w:t>
      </w:r>
    </w:p>
    <w:p>
      <w:pPr>
        <w:spacing w:after="0" w:line="183" w:lineRule="exact"/>
        <w:rPr>
          <w:rFonts w:ascii="Arial" w:cs="Arial" w:eastAsia="Arial" w:hAnsi="Arial"/>
          <w:sz w:val="16"/>
          <w:szCs w:val="16"/>
          <w:color w:val="auto"/>
        </w:rPr>
      </w:pPr>
    </w:p>
    <w:p>
      <w:pPr>
        <w:ind w:left="742" w:hanging="447"/>
        <w:spacing w:after="0"/>
        <w:tabs>
          <w:tab w:leader="none" w:pos="742"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-5.1% decline in time deposits (-3.1% if we exclude the exchange rate effect). This drop was mainly driven by BCP Stand-alone in Corporate Banking.</w:t>
      </w:r>
    </w:p>
    <w:p>
      <w:pPr>
        <w:spacing w:after="0" w:line="200" w:lineRule="exact"/>
        <w:rPr>
          <w:sz w:val="20"/>
          <w:szCs w:val="20"/>
          <w:color w:val="auto"/>
        </w:rPr>
      </w:pPr>
    </w:p>
    <w:p>
      <w:pPr>
        <w:spacing w:after="0" w:line="274"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type w:val="continuous"/>
        </w:sectPr>
      </w:pPr>
    </w:p>
    <w:bookmarkStart w:id="20" w:name="page21"/>
    <w:bookmarkEnd w:id="20"/>
    <w:p>
      <w:pPr>
        <w:ind w:left="740" w:hanging="447"/>
        <w:spacing w:after="0" w:line="29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 xml:space="preserve">A significant drop in </w:t>
      </w:r>
      <w:r>
        <w:rPr>
          <w:rFonts w:ascii="Arial" w:cs="Arial" w:eastAsia="Arial" w:hAnsi="Arial"/>
          <w:sz w:val="16"/>
          <w:szCs w:val="16"/>
          <w:b w:val="1"/>
          <w:bCs w:val="1"/>
          <w:color w:val="auto"/>
        </w:rPr>
        <w:t>Severance Indemnity Deposits</w:t>
      </w:r>
      <w:r>
        <w:rPr>
          <w:rFonts w:ascii="Arial" w:cs="Arial" w:eastAsia="Arial" w:hAnsi="Arial"/>
          <w:sz w:val="16"/>
          <w:szCs w:val="16"/>
          <w:color w:val="auto"/>
        </w:rPr>
        <w:t>, which was driven by a government mandate that freed up these funds for withdrawal until the last day of 2021; this was slightly mitigated by inflows of severance indemnity deposits, which are made in November every year.</w:t>
      </w:r>
    </w:p>
    <w:p>
      <w:pPr>
        <w:spacing w:after="0" w:line="165" w:lineRule="exact"/>
        <w:rPr>
          <w:rFonts w:ascii="Arial" w:cs="Arial" w:eastAsia="Arial" w:hAnsi="Arial"/>
          <w:sz w:val="16"/>
          <w:szCs w:val="16"/>
          <w:color w:val="auto"/>
        </w:rPr>
      </w:pPr>
    </w:p>
    <w:p>
      <w:pPr>
        <w:ind w:left="740" w:hanging="447"/>
        <w:spacing w:after="0" w:line="29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Growth in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particularly at BCP Stand-alone, which grew +4.7% QoQ (6.4% if we exclude the exchange rate effect). This growth was mainly spurred from higher levels of savings by individuals, associated with bonus payments in the month of December.</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YoY terms, total deposits grew +5.6% (+0.6% if we exclude the exchange rate effect). Growth was mainly driven by savings and demand deposits, which was triggered by higher personal liquidity (after AFP and Severance Indemnity funds were released).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60" w:type="dxa"/>
            <w:vAlign w:val="bottom"/>
          </w:tcPr>
          <w:p>
            <w:pPr>
              <w:spacing w:after="0"/>
              <w:rPr>
                <w:sz w:val="20"/>
                <w:szCs w:val="20"/>
                <w:color w:val="auto"/>
              </w:rPr>
            </w:pPr>
            <w:r>
              <w:rPr>
                <w:rFonts w:ascii="Arial" w:cs="Arial" w:eastAsia="Arial" w:hAnsi="Arial"/>
                <w:sz w:val="20"/>
                <w:szCs w:val="20"/>
                <w:b w:val="1"/>
                <w:bCs w:val="1"/>
                <w:color w:val="auto"/>
              </w:rPr>
              <w:t>2.2.1. Deposits: Dollarization Level</w:t>
            </w:r>
          </w:p>
        </w:tc>
        <w:tc>
          <w:tcPr>
            <w:tcW w:w="6280" w:type="dxa"/>
            <w:vAlign w:val="bottom"/>
          </w:tcPr>
          <w:p>
            <w:pPr>
              <w:spacing w:after="0"/>
              <w:rPr>
                <w:sz w:val="22"/>
                <w:szCs w:val="22"/>
                <w:color w:val="auto"/>
              </w:rPr>
            </w:pPr>
          </w:p>
        </w:tc>
      </w:tr>
      <w:tr>
        <w:trPr>
          <w:trHeight w:val="414"/>
        </w:trPr>
        <w:tc>
          <w:tcPr>
            <w:tcW w:w="4960" w:type="dxa"/>
            <w:vAlign w:val="bottom"/>
          </w:tcPr>
          <w:p>
            <w:pPr>
              <w:jc w:val="center"/>
              <w:ind w:left="342"/>
              <w:spacing w:after="0"/>
              <w:rPr>
                <w:sz w:val="20"/>
                <w:szCs w:val="20"/>
                <w:color w:val="auto"/>
              </w:rPr>
            </w:pPr>
            <w:r>
              <w:rPr>
                <w:rFonts w:ascii="Arial" w:cs="Arial" w:eastAsia="Arial" w:hAnsi="Arial"/>
                <w:sz w:val="20"/>
                <w:szCs w:val="20"/>
                <w:b w:val="1"/>
                <w:bCs w:val="1"/>
                <w:color w:val="auto"/>
                <w:w w:val="87"/>
              </w:rPr>
              <w:t>Total Deposits by Currency</w:t>
            </w:r>
          </w:p>
        </w:tc>
        <w:tc>
          <w:tcPr>
            <w:tcW w:w="6280" w:type="dxa"/>
            <w:vAlign w:val="bottom"/>
          </w:tcPr>
          <w:p>
            <w:pPr>
              <w:ind w:left="880"/>
              <w:spacing w:after="0"/>
              <w:rPr>
                <w:sz w:val="20"/>
                <w:szCs w:val="20"/>
                <w:color w:val="auto"/>
              </w:rPr>
            </w:pPr>
            <w:r>
              <w:rPr>
                <w:rFonts w:ascii="Arial" w:cs="Arial" w:eastAsia="Arial" w:hAnsi="Arial"/>
                <w:sz w:val="20"/>
                <w:szCs w:val="20"/>
                <w:color w:val="auto"/>
                <w:w w:val="90"/>
              </w:rPr>
              <w:t>FC’s share of deposits rose from 50.7% at the end of September to</w:t>
            </w:r>
          </w:p>
        </w:tc>
      </w:tr>
      <w:tr>
        <w:trPr>
          <w:trHeight w:val="221"/>
        </w:trPr>
        <w:tc>
          <w:tcPr>
            <w:tcW w:w="4960" w:type="dxa"/>
            <w:vAlign w:val="bottom"/>
          </w:tcPr>
          <w:p>
            <w:pPr>
              <w:jc w:val="center"/>
              <w:ind w:left="342"/>
              <w:spacing w:after="0" w:line="221" w:lineRule="exact"/>
              <w:rPr>
                <w:sz w:val="20"/>
                <w:szCs w:val="20"/>
                <w:color w:val="auto"/>
              </w:rPr>
            </w:pPr>
            <w:r>
              <w:rPr>
                <w:rFonts w:ascii="Arial" w:cs="Arial" w:eastAsia="Arial" w:hAnsi="Arial"/>
                <w:sz w:val="20"/>
                <w:szCs w:val="20"/>
                <w:color w:val="auto"/>
                <w:w w:val="86"/>
              </w:rPr>
              <w:t>(measured in quarter-end balances)</w:t>
            </w:r>
          </w:p>
        </w:tc>
        <w:tc>
          <w:tcPr>
            <w:tcW w:w="6280" w:type="dxa"/>
            <w:vAlign w:val="bottom"/>
          </w:tcPr>
          <w:p>
            <w:pPr>
              <w:ind w:left="880"/>
              <w:spacing w:after="0" w:line="221" w:lineRule="exact"/>
              <w:rPr>
                <w:sz w:val="20"/>
                <w:szCs w:val="20"/>
                <w:color w:val="auto"/>
              </w:rPr>
            </w:pPr>
            <w:r>
              <w:rPr>
                <w:rFonts w:ascii="Arial" w:cs="Arial" w:eastAsia="Arial" w:hAnsi="Arial"/>
                <w:sz w:val="20"/>
                <w:szCs w:val="20"/>
                <w:color w:val="auto"/>
                <w:w w:val="90"/>
              </w:rPr>
              <w:t>52.1% at the end of December. This increase was mainly driven by</w:t>
            </w:r>
          </w:p>
        </w:tc>
      </w:tr>
      <w:tr>
        <w:trPr>
          <w:trHeight w:val="221"/>
        </w:trPr>
        <w:tc>
          <w:tcPr>
            <w:tcW w:w="4960" w:type="dxa"/>
            <w:vAlign w:val="bottom"/>
          </w:tcPr>
          <w:p>
            <w:pPr>
              <w:spacing w:after="0"/>
              <w:rPr>
                <w:sz w:val="19"/>
                <w:szCs w:val="19"/>
                <w:color w:val="auto"/>
              </w:rPr>
            </w:pPr>
          </w:p>
        </w:tc>
        <w:tc>
          <w:tcPr>
            <w:tcW w:w="6280" w:type="dxa"/>
            <w:vAlign w:val="bottom"/>
          </w:tcPr>
          <w:p>
            <w:pPr>
              <w:ind w:left="880"/>
              <w:spacing w:after="0" w:line="221" w:lineRule="exact"/>
              <w:rPr>
                <w:sz w:val="20"/>
                <w:szCs w:val="20"/>
                <w:color w:val="auto"/>
              </w:rPr>
            </w:pPr>
            <w:r>
              <w:rPr>
                <w:rFonts w:ascii="Arial" w:cs="Arial" w:eastAsia="Arial" w:hAnsi="Arial"/>
                <w:sz w:val="20"/>
                <w:szCs w:val="20"/>
                <w:color w:val="auto"/>
                <w:w w:val="96"/>
              </w:rPr>
              <w:t>withdrawals  from  demand  deposits  in  LC  and  was  partially</w:t>
            </w:r>
          </w:p>
        </w:tc>
      </w:tr>
      <w:tr>
        <w:trPr>
          <w:trHeight w:val="221"/>
        </w:trPr>
        <w:tc>
          <w:tcPr>
            <w:tcW w:w="4960" w:type="dxa"/>
            <w:vAlign w:val="bottom"/>
          </w:tcPr>
          <w:p>
            <w:pPr>
              <w:spacing w:after="0"/>
              <w:rPr>
                <w:sz w:val="19"/>
                <w:szCs w:val="19"/>
                <w:color w:val="auto"/>
              </w:rPr>
            </w:pPr>
          </w:p>
        </w:tc>
        <w:tc>
          <w:tcPr>
            <w:tcW w:w="6280" w:type="dxa"/>
            <w:vAlign w:val="bottom"/>
          </w:tcPr>
          <w:p>
            <w:pPr>
              <w:ind w:left="880"/>
              <w:spacing w:after="0" w:line="221" w:lineRule="exact"/>
              <w:rPr>
                <w:sz w:val="20"/>
                <w:szCs w:val="20"/>
                <w:color w:val="auto"/>
              </w:rPr>
            </w:pPr>
            <w:r>
              <w:rPr>
                <w:rFonts w:ascii="Arial" w:cs="Arial" w:eastAsia="Arial" w:hAnsi="Arial"/>
                <w:sz w:val="20"/>
                <w:szCs w:val="20"/>
                <w:color w:val="auto"/>
                <w:w w:val="96"/>
              </w:rPr>
              <w:t>mitigated by the exchange rate effect. If the exchange rate had</w:t>
            </w:r>
          </w:p>
        </w:tc>
      </w:tr>
      <w:tr>
        <w:trPr>
          <w:trHeight w:val="249"/>
        </w:trPr>
        <w:tc>
          <w:tcPr>
            <w:tcW w:w="4960" w:type="dxa"/>
            <w:vAlign w:val="bottom"/>
          </w:tcPr>
          <w:p>
            <w:pPr>
              <w:spacing w:after="0"/>
              <w:rPr>
                <w:sz w:val="21"/>
                <w:szCs w:val="21"/>
                <w:color w:val="auto"/>
              </w:rPr>
            </w:pPr>
          </w:p>
        </w:tc>
        <w:tc>
          <w:tcPr>
            <w:tcW w:w="6280" w:type="dxa"/>
            <w:vAlign w:val="bottom"/>
          </w:tcPr>
          <w:p>
            <w:pPr>
              <w:ind w:left="880"/>
              <w:spacing w:after="0"/>
              <w:rPr>
                <w:sz w:val="20"/>
                <w:szCs w:val="20"/>
                <w:color w:val="auto"/>
              </w:rPr>
            </w:pPr>
            <w:r>
              <w:rPr>
                <w:rFonts w:ascii="Arial" w:cs="Arial" w:eastAsia="Arial" w:hAnsi="Arial"/>
                <w:sz w:val="20"/>
                <w:szCs w:val="20"/>
                <w:color w:val="auto"/>
                <w:w w:val="94"/>
              </w:rPr>
              <w:t>remained constant, dollarization would have increased to 53.0%.</w:t>
            </w:r>
          </w:p>
        </w:tc>
      </w:tr>
      <w:tr>
        <w:trPr>
          <w:trHeight w:val="414"/>
        </w:trPr>
        <w:tc>
          <w:tcPr>
            <w:tcW w:w="4960" w:type="dxa"/>
            <w:vAlign w:val="bottom"/>
          </w:tcPr>
          <w:p>
            <w:pPr>
              <w:spacing w:after="0"/>
              <w:rPr>
                <w:sz w:val="24"/>
                <w:szCs w:val="24"/>
                <w:color w:val="auto"/>
              </w:rPr>
            </w:pPr>
          </w:p>
        </w:tc>
        <w:tc>
          <w:tcPr>
            <w:tcW w:w="6280" w:type="dxa"/>
            <w:vAlign w:val="bottom"/>
          </w:tcPr>
          <w:p>
            <w:pPr>
              <w:ind w:left="880"/>
              <w:spacing w:after="0"/>
              <w:rPr>
                <w:sz w:val="20"/>
                <w:szCs w:val="20"/>
                <w:color w:val="auto"/>
              </w:rPr>
            </w:pPr>
            <w:r>
              <w:rPr>
                <w:rFonts w:ascii="Arial" w:cs="Arial" w:eastAsia="Arial" w:hAnsi="Arial"/>
                <w:sz w:val="20"/>
                <w:szCs w:val="20"/>
                <w:color w:val="auto"/>
                <w:w w:val="90"/>
              </w:rPr>
              <w:t>In the YoY analysis, the dollarization level increased from 46.5% to</w:t>
            </w:r>
          </w:p>
        </w:tc>
      </w:tr>
      <w:tr>
        <w:trPr>
          <w:trHeight w:val="221"/>
        </w:trPr>
        <w:tc>
          <w:tcPr>
            <w:tcW w:w="4960" w:type="dxa"/>
            <w:vAlign w:val="bottom"/>
          </w:tcPr>
          <w:p>
            <w:pPr>
              <w:spacing w:after="0"/>
              <w:rPr>
                <w:sz w:val="19"/>
                <w:szCs w:val="19"/>
                <w:color w:val="auto"/>
              </w:rPr>
            </w:pPr>
          </w:p>
        </w:tc>
        <w:tc>
          <w:tcPr>
            <w:tcW w:w="6280" w:type="dxa"/>
            <w:vAlign w:val="bottom"/>
          </w:tcPr>
          <w:p>
            <w:pPr>
              <w:ind w:left="880"/>
              <w:spacing w:after="0" w:line="221" w:lineRule="exact"/>
              <w:rPr>
                <w:sz w:val="20"/>
                <w:szCs w:val="20"/>
                <w:color w:val="auto"/>
              </w:rPr>
            </w:pPr>
            <w:r>
              <w:rPr>
                <w:rFonts w:ascii="Arial" w:cs="Arial" w:eastAsia="Arial" w:hAnsi="Arial"/>
                <w:sz w:val="20"/>
                <w:szCs w:val="20"/>
                <w:color w:val="auto"/>
                <w:w w:val="93"/>
              </w:rPr>
              <w:t>52.1%, which was spurred by the 10.1% depreciation in the sol. If</w:t>
            </w:r>
          </w:p>
        </w:tc>
      </w:tr>
      <w:tr>
        <w:trPr>
          <w:trHeight w:val="221"/>
        </w:trPr>
        <w:tc>
          <w:tcPr>
            <w:tcW w:w="4960" w:type="dxa"/>
            <w:vAlign w:val="bottom"/>
          </w:tcPr>
          <w:p>
            <w:pPr>
              <w:spacing w:after="0"/>
              <w:rPr>
                <w:sz w:val="19"/>
                <w:szCs w:val="19"/>
                <w:color w:val="auto"/>
              </w:rPr>
            </w:pPr>
          </w:p>
        </w:tc>
        <w:tc>
          <w:tcPr>
            <w:tcW w:w="6280" w:type="dxa"/>
            <w:vAlign w:val="bottom"/>
          </w:tcPr>
          <w:p>
            <w:pPr>
              <w:ind w:left="880"/>
              <w:spacing w:after="0" w:line="221" w:lineRule="exact"/>
              <w:rPr>
                <w:sz w:val="20"/>
                <w:szCs w:val="20"/>
                <w:color w:val="auto"/>
              </w:rPr>
            </w:pPr>
            <w:r>
              <w:rPr>
                <w:rFonts w:ascii="Arial" w:cs="Arial" w:eastAsia="Arial" w:hAnsi="Arial"/>
                <w:sz w:val="20"/>
                <w:szCs w:val="20"/>
                <w:color w:val="auto"/>
                <w:w w:val="92"/>
              </w:rPr>
              <w:t>we exclude this effect, dollarization in FC would have stood at just</w:t>
            </w:r>
          </w:p>
        </w:tc>
      </w:tr>
      <w:tr>
        <w:trPr>
          <w:trHeight w:val="249"/>
        </w:trPr>
        <w:tc>
          <w:tcPr>
            <w:tcW w:w="4960" w:type="dxa"/>
            <w:vAlign w:val="bottom"/>
          </w:tcPr>
          <w:p>
            <w:pPr>
              <w:spacing w:after="0"/>
              <w:rPr>
                <w:sz w:val="21"/>
                <w:szCs w:val="21"/>
                <w:color w:val="auto"/>
              </w:rPr>
            </w:pPr>
          </w:p>
        </w:tc>
        <w:tc>
          <w:tcPr>
            <w:tcW w:w="6280" w:type="dxa"/>
            <w:vAlign w:val="bottom"/>
          </w:tcPr>
          <w:p>
            <w:pPr>
              <w:ind w:left="880"/>
              <w:spacing w:after="0"/>
              <w:rPr>
                <w:sz w:val="20"/>
                <w:szCs w:val="20"/>
                <w:color w:val="auto"/>
              </w:rPr>
            </w:pPr>
            <w:r>
              <w:rPr>
                <w:rFonts w:ascii="Arial" w:cs="Arial" w:eastAsia="Arial" w:hAnsi="Arial"/>
                <w:sz w:val="20"/>
                <w:szCs w:val="20"/>
                <w:color w:val="auto"/>
              </w:rPr>
              <w:t>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-986790</wp:posOffset>
            </wp:positionV>
            <wp:extent cx="2080260" cy="12465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80260" cy="124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Deposits by type and currency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136525</wp:posOffset>
            </wp:positionV>
            <wp:extent cx="4947920" cy="1238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47920" cy="123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Other sources of funding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Other funding sources</w:t>
            </w: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As of</w:t>
            </w: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 change</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0"/>
        </w:trPr>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Dec 20</w:t>
            </w:r>
          </w:p>
        </w:tc>
        <w:tc>
          <w:tcPr>
            <w:tcW w:w="200" w:type="dxa"/>
            <w:vAlign w:val="bottom"/>
          </w:tcPr>
          <w:p>
            <w:pPr>
              <w:spacing w:after="0"/>
              <w:rPr>
                <w:sz w:val="16"/>
                <w:szCs w:val="16"/>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Sep 21</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Dec 21</w:t>
            </w:r>
          </w:p>
        </w:tc>
        <w:tc>
          <w:tcPr>
            <w:tcW w:w="200" w:type="dxa"/>
            <w:vAlign w:val="bottom"/>
          </w:tcPr>
          <w:p>
            <w:pPr>
              <w:spacing w:after="0"/>
              <w:rPr>
                <w:sz w:val="16"/>
                <w:szCs w:val="16"/>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YoY</w:t>
            </w:r>
          </w:p>
        </w:tc>
        <w:tc>
          <w:tcPr>
            <w:tcW w:w="200" w:type="dxa"/>
            <w:vAlign w:val="bottom"/>
          </w:tcPr>
          <w:p>
            <w:pPr>
              <w:spacing w:after="0"/>
              <w:rPr>
                <w:sz w:val="16"/>
                <w:szCs w:val="16"/>
                <w:color w:val="auto"/>
              </w:rPr>
            </w:pPr>
          </w:p>
        </w:tc>
      </w:tr>
      <w:tr>
        <w:trPr>
          <w:trHeight w:val="189"/>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5,978,257</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7,466,434</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7,212,946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-3.4%</w:t>
            </w:r>
          </w:p>
        </w:tc>
        <w:tc>
          <w:tcPr>
            <w:tcW w:w="3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r>
      <w:tr>
        <w:trPr>
          <w:trHeight w:val="196"/>
        </w:trPr>
        <w:tc>
          <w:tcPr>
            <w:tcW w:w="2620" w:type="dxa"/>
            <w:vAlign w:val="bottom"/>
            <w:gridSpan w:val="2"/>
          </w:tcPr>
          <w:p>
            <w:pPr>
              <w:spacing w:after="0"/>
              <w:rPr>
                <w:sz w:val="20"/>
                <w:szCs w:val="20"/>
                <w:color w:val="auto"/>
              </w:rPr>
            </w:pPr>
            <w:r>
              <w:rPr>
                <w:rFonts w:ascii="Arial" w:cs="Arial" w:eastAsia="Arial" w:hAnsi="Arial"/>
                <w:sz w:val="16"/>
                <w:szCs w:val="16"/>
                <w:color w:val="auto"/>
              </w:rPr>
              <w:t>BCRP instruments</w:t>
            </w:r>
          </w:p>
        </w:tc>
        <w:tc>
          <w:tcPr>
            <w:tcW w:w="1040" w:type="dxa"/>
            <w:vAlign w:val="bottom"/>
          </w:tcPr>
          <w:p>
            <w:pPr>
              <w:jc w:val="right"/>
              <w:spacing w:after="0"/>
              <w:rPr>
                <w:sz w:val="20"/>
                <w:szCs w:val="20"/>
                <w:color w:val="auto"/>
              </w:rPr>
            </w:pPr>
            <w:r>
              <w:rPr>
                <w:rFonts w:ascii="Arial" w:cs="Arial" w:eastAsia="Arial" w:hAnsi="Arial"/>
                <w:sz w:val="16"/>
                <w:szCs w:val="16"/>
                <w:color w:val="auto"/>
              </w:rPr>
              <w:t>25,734,963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20,746,109</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19,692,474</w:t>
            </w:r>
          </w:p>
        </w:tc>
        <w:tc>
          <w:tcPr>
            <w:tcW w:w="78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-23.5%</w:t>
            </w:r>
          </w:p>
        </w:tc>
      </w:tr>
      <w:tr>
        <w:trPr>
          <w:trHeight w:val="196"/>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agreements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1,072,920</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1,330,811</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1,296,277</w:t>
            </w:r>
          </w:p>
        </w:tc>
        <w:tc>
          <w:tcPr>
            <w:tcW w:w="7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-2.6%</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r>
      <w:tr>
        <w:trPr>
          <w:trHeight w:val="196"/>
        </w:trPr>
        <w:tc>
          <w:tcPr>
            <w:tcW w:w="2620" w:type="dxa"/>
            <w:vAlign w:val="bottom"/>
            <w:gridSpan w:val="2"/>
          </w:tcPr>
          <w:p>
            <w:pPr>
              <w:spacing w:after="0"/>
              <w:rPr>
                <w:sz w:val="20"/>
                <w:szCs w:val="20"/>
                <w:color w:val="auto"/>
              </w:rPr>
            </w:pPr>
            <w:r>
              <w:rPr>
                <w:rFonts w:ascii="Arial" w:cs="Arial" w:eastAsia="Arial" w:hAnsi="Arial"/>
                <w:sz w:val="16"/>
                <w:szCs w:val="16"/>
                <w:color w:val="auto"/>
              </w:rPr>
              <w:t>Bonds and notes issued</w:t>
            </w:r>
          </w:p>
        </w:tc>
        <w:tc>
          <w:tcPr>
            <w:tcW w:w="1040" w:type="dxa"/>
            <w:vAlign w:val="bottom"/>
          </w:tcPr>
          <w:p>
            <w:pPr>
              <w:jc w:val="right"/>
              <w:spacing w:after="0"/>
              <w:rPr>
                <w:sz w:val="20"/>
                <w:szCs w:val="20"/>
                <w:color w:val="auto"/>
              </w:rPr>
            </w:pPr>
            <w:r>
              <w:rPr>
                <w:rFonts w:ascii="Arial" w:cs="Arial" w:eastAsia="Arial" w:hAnsi="Arial"/>
                <w:sz w:val="16"/>
                <w:szCs w:val="16"/>
                <w:color w:val="auto"/>
              </w:rPr>
              <w:t>16,319,407</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17,577,630</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17,078,829</w:t>
            </w:r>
          </w:p>
        </w:tc>
        <w:tc>
          <w:tcPr>
            <w:tcW w:w="78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r>
      <w:tr>
        <w:trPr>
          <w:trHeight w:val="20"/>
        </w:trPr>
        <w:tc>
          <w:tcPr>
            <w:tcW w:w="262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other funding sources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49,105,547</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47,120,984</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45,280,526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-3.9%</w:t>
            </w:r>
          </w:p>
        </w:tc>
        <w:tc>
          <w:tcPr>
            <w:tcW w:w="3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-7.8%</w:t>
            </w:r>
          </w:p>
        </w:tc>
      </w:tr>
      <w:tr>
        <w:trPr>
          <w:trHeight w:val="20"/>
        </w:trPr>
        <w:tc>
          <w:tcPr>
            <w:tcW w:w="2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The total of </w:t>
      </w:r>
      <w:r>
        <w:rPr>
          <w:rFonts w:ascii="Arial" w:cs="Arial" w:eastAsia="Arial" w:hAnsi="Arial"/>
          <w:sz w:val="20"/>
          <w:szCs w:val="20"/>
          <w:b w:val="1"/>
          <w:bCs w:val="1"/>
          <w:color w:val="auto"/>
        </w:rPr>
        <w:t>Other sources of funding</w:t>
      </w:r>
      <w:r>
        <w:rPr>
          <w:rFonts w:ascii="Arial" w:cs="Arial" w:eastAsia="Arial" w:hAnsi="Arial"/>
          <w:sz w:val="20"/>
          <w:szCs w:val="20"/>
          <w:color w:val="auto"/>
        </w:rPr>
        <w:t xml:space="preserve"> fell -3.9% QoQ. If we exclude the exchange rate effect, the reduction stands at -2.5%. This evolution reflects: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drop registered in </w:t>
      </w:r>
      <w:r>
        <w:rPr>
          <w:rFonts w:ascii="Arial" w:cs="Arial" w:eastAsia="Arial" w:hAnsi="Arial"/>
          <w:sz w:val="19"/>
          <w:szCs w:val="19"/>
          <w:b w:val="1"/>
          <w:bCs w:val="1"/>
          <w:color w:val="auto"/>
        </w:rPr>
        <w:t>BCRP Instruments</w:t>
      </w:r>
      <w:r>
        <w:rPr>
          <w:rFonts w:ascii="Arial" w:cs="Arial" w:eastAsia="Arial" w:hAnsi="Arial"/>
          <w:sz w:val="19"/>
          <w:szCs w:val="19"/>
          <w:color w:val="auto"/>
        </w:rPr>
        <w:t>, which was mainly driven by BCP Stand-alone in a context of Reactiva loan amortizations.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decrease in </w:t>
      </w:r>
      <w:r>
        <w:rPr>
          <w:rFonts w:ascii="Arial" w:cs="Arial" w:eastAsia="Arial" w:hAnsi="Arial"/>
          <w:sz w:val="20"/>
          <w:szCs w:val="20"/>
          <w:b w:val="1"/>
          <w:bCs w:val="1"/>
          <w:color w:val="auto"/>
        </w:rPr>
        <w:t>Bonds and Issued Notes</w:t>
      </w:r>
      <w:r>
        <w:rPr>
          <w:rFonts w:ascii="Arial" w:cs="Arial" w:eastAsia="Arial" w:hAnsi="Arial"/>
          <w:sz w:val="20"/>
          <w:szCs w:val="20"/>
          <w:color w:val="auto"/>
        </w:rPr>
        <w:t>, which was primarily attributable to the expiration of corporate bonds in LC and of a subordinated note in FC at BCP Stand-alone. This item was also affected, although to a lesser degree, by the exchange rate effect because 78% of the total balance is in FC.</w:t>
      </w:r>
    </w:p>
    <w:p>
      <w:pPr>
        <w:spacing w:after="0" w:line="200" w:lineRule="exact"/>
        <w:rPr>
          <w:sz w:val="20"/>
          <w:szCs w:val="20"/>
          <w:color w:val="auto"/>
        </w:rPr>
      </w:pPr>
    </w:p>
    <w:p>
      <w:pPr>
        <w:spacing w:after="0" w:line="227"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 xml:space="preserve">The decrease in </w:t>
      </w:r>
      <w:r>
        <w:rPr>
          <w:rFonts w:ascii="Arial" w:cs="Arial" w:eastAsia="Arial" w:hAnsi="Arial"/>
          <w:sz w:val="20"/>
          <w:szCs w:val="20"/>
          <w:b w:val="1"/>
          <w:bCs w:val="1"/>
          <w:color w:val="auto"/>
        </w:rPr>
        <w:t>Due to banks and correspondents</w:t>
      </w:r>
      <w:r>
        <w:rPr>
          <w:rFonts w:ascii="Arial" w:cs="Arial" w:eastAsia="Arial" w:hAnsi="Arial"/>
          <w:sz w:val="20"/>
          <w:szCs w:val="20"/>
          <w:color w:val="auto"/>
        </w:rPr>
        <w:t>, which was driven by a decrease in debt obligations at BCP Stand-alone after instruments held with foreign financial institutions in FC expired.</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In the YoY evolution, a -7.8% decreased was registered; this was primarily attributable to a drop in the balance of </w:t>
      </w:r>
      <w:r>
        <w:rPr>
          <w:rFonts w:ascii="Arial" w:cs="Arial" w:eastAsia="Arial" w:hAnsi="Arial"/>
          <w:sz w:val="20"/>
          <w:szCs w:val="20"/>
          <w:b w:val="1"/>
          <w:bCs w:val="1"/>
          <w:color w:val="auto"/>
        </w:rPr>
        <w:t>BCRP Instruments</w:t>
      </w:r>
      <w:r>
        <w:rPr>
          <w:rFonts w:ascii="Arial" w:cs="Arial" w:eastAsia="Arial" w:hAnsi="Arial"/>
          <w:sz w:val="20"/>
          <w:szCs w:val="20"/>
          <w:color w:val="auto"/>
        </w:rPr>
        <w:t xml:space="preserve"> at BCP Stand-alone, which was impacted by progressive amortizations of Reactiva loans. The aforementioned was partially offset by a variation in the exchange rate given that a high percentage of total debt is in FC.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 Loans / Deposits (L/D)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 Deposit ratio by subsidiary</w:t>
      </w:r>
    </w:p>
    <w:p>
      <w:pPr>
        <w:spacing w:after="0" w:line="218" w:lineRule="exact"/>
        <w:rPr>
          <w:sz w:val="20"/>
          <w:szCs w:val="20"/>
          <w:color w:val="auto"/>
        </w:rPr>
      </w:pPr>
    </w:p>
    <w:p>
      <w:pPr>
        <w:jc w:val="both"/>
        <w:ind w:left="5840"/>
        <w:spacing w:after="0"/>
        <w:rPr>
          <w:sz w:val="20"/>
          <w:szCs w:val="20"/>
          <w:color w:val="auto"/>
        </w:rPr>
      </w:pPr>
      <w:r>
        <w:rPr>
          <w:rFonts w:ascii="Arial" w:cs="Arial" w:eastAsia="Arial" w:hAnsi="Arial"/>
          <w:sz w:val="20"/>
          <w:szCs w:val="20"/>
          <w:color w:val="auto"/>
        </w:rPr>
        <w:t>The L/D ratio at Credicorp rose slightly after the level of deposits fell. At the subsidiary level, both BP Stand-alone and Mibanco registered growth in their L/D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-425450</wp:posOffset>
            </wp:positionV>
            <wp:extent cx="2609850" cy="163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9850" cy="1636395"/>
                    </a:xfrm>
                    <a:prstGeom prst="rect">
                      <a:avLst/>
                    </a:prstGeom>
                    <a:noFill/>
                  </pic:spPr>
                </pic:pic>
              </a:graphicData>
            </a:graphic>
          </wp:anchor>
        </w:drawing>
      </w:r>
    </w:p>
    <w:p>
      <w:pPr>
        <w:spacing w:after="0" w:line="174" w:lineRule="exact"/>
        <w:rPr>
          <w:sz w:val="20"/>
          <w:szCs w:val="20"/>
          <w:color w:val="auto"/>
        </w:rPr>
      </w:pPr>
    </w:p>
    <w:p>
      <w:pPr>
        <w:ind w:left="5840" w:right="260"/>
        <w:spacing w:after="0" w:line="250" w:lineRule="auto"/>
        <w:rPr>
          <w:sz w:val="20"/>
          <w:szCs w:val="20"/>
          <w:color w:val="auto"/>
        </w:rPr>
      </w:pPr>
      <w:r>
        <w:rPr>
          <w:rFonts w:ascii="Arial" w:cs="Arial" w:eastAsia="Arial" w:hAnsi="Arial"/>
          <w:sz w:val="20"/>
          <w:szCs w:val="20"/>
          <w:color w:val="auto"/>
        </w:rPr>
        <w:t>In the YoY analysis, the L/D ratio at Credicorp, BCP Stand-alone and Mibanco also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7780" w:val="left"/>
        </w:tabs>
        <w:rPr>
          <w:sz w:val="20"/>
          <w:szCs w:val="20"/>
          <w:color w:val="auto"/>
        </w:rPr>
      </w:pPr>
      <w:r>
        <w:rPr>
          <w:rFonts w:ascii="Arial" w:cs="Arial" w:eastAsia="Arial" w:hAnsi="Arial"/>
          <w:sz w:val="20"/>
          <w:szCs w:val="20"/>
          <w:b w:val="1"/>
          <w:bCs w:val="1"/>
          <w:color w:val="auto"/>
        </w:rPr>
        <w:t>Local Currency</w:t>
      </w:r>
      <w:r>
        <w:rPr>
          <w:sz w:val="20"/>
          <w:szCs w:val="20"/>
          <w:color w:val="auto"/>
        </w:rPr>
        <w:tab/>
      </w:r>
      <w:r>
        <w:rPr>
          <w:rFonts w:ascii="Arial" w:cs="Arial" w:eastAsia="Arial" w:hAnsi="Arial"/>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2430780" cy="15195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30780" cy="15195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150495</wp:posOffset>
            </wp:positionV>
            <wp:extent cx="1862455" cy="1145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62455" cy="114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QoQ analysis by currency, slight growth was registered in the L/D ratio in LC ratio at Credicorp, BCP Individual and Mibanco. The L/D ratio in FC fell slightly a Credicorp, BCP Individual and Mibanco. YoY, the L/D ratio in LC fell at Credicorp, BCP and Mibanco. Growth in loans at Mibanco was driven by record-high disbursement levels in 4Q21. During the same period, a decrease was reported for the L/D ratio in FC for l Credicorp, BCP and Mibanco.</w:t>
      </w:r>
    </w:p>
    <w:p>
      <w:pPr>
        <w:spacing w:after="0" w:line="200" w:lineRule="exact"/>
        <w:rPr>
          <w:sz w:val="20"/>
          <w:szCs w:val="20"/>
          <w:color w:val="auto"/>
        </w:rPr>
      </w:pPr>
    </w:p>
    <w:p>
      <w:pPr>
        <w:spacing w:after="0" w:line="232"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2.5. Funding Cost</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 xml:space="preserve">Funding Cost – Credicorp </w:t>
      </w:r>
      <w:r>
        <w:rPr>
          <w:rFonts w:ascii="Arial" w:cs="Arial" w:eastAsia="Arial" w:hAnsi="Arial"/>
          <w:sz w:val="32"/>
          <w:szCs w:val="3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65405</wp:posOffset>
            </wp:positionV>
            <wp:extent cx="3381375" cy="17608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81375"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 w:right="100" w:hanging="2"/>
        <w:spacing w:after="0" w:line="250" w:lineRule="auto"/>
        <w:tabs>
          <w:tab w:leader="none" w:pos="2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Structural Funding Cost deducts the impact in expenses and funding related to GP Loans (BCRP Repos) and deducts non-recurring events from Interest Expenses</w:t>
      </w:r>
    </w:p>
    <w:p>
      <w:pPr>
        <w:spacing w:after="0" w:line="183"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Credicorp’s funding cost in the fourth quarter remained low and stood at 1.24% (+3bps QoQ) in a context of strong growth in interest rates and an increase in the share of low-cost deposits in the funding mix. Th structural funding cost, which excludes the effects of funding generated by Reactiva loans and other non-recurring funding expenses, rose slightly to 1.31% (+4bps QoQ).</w:t>
      </w:r>
    </w:p>
    <w:p>
      <w:pPr>
        <w:spacing w:after="0" w:line="176"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In the YoY analysis, the Cost of funding in the fourth quarter fell -10 pbs, which was primarily driven by an increase in the share of low-cost deposits in the funding mix.</w:t>
      </w:r>
    </w:p>
    <w:p>
      <w:pPr>
        <w:spacing w:after="0" w:line="183"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In the FY analysis, the funding cost in 2021 fell -49 bps with regard to last year’s figure. This was triggered primarily by an increase in the share of low-cost deposits in the funding mix and by the execution of liability management transactions.</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 xml:space="preserve">Funding Cost – Credicorp In Local Currency </w:t>
      </w:r>
      <w:r>
        <w:rPr>
          <w:rFonts w:ascii="Arial" w:cs="Arial" w:eastAsia="Arial" w:hAnsi="Arial"/>
          <w:sz w:val="32"/>
          <w:szCs w:val="3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64770</wp:posOffset>
            </wp:positionV>
            <wp:extent cx="4129405" cy="1807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29405" cy="180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722" w:right="40" w:hanging="4663"/>
        <w:spacing w:after="0" w:line="250" w:lineRule="auto"/>
        <w:tabs>
          <w:tab w:leader="none" w:pos="338"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Structural Funding Cost deducts the impact in expenses and funding related to GP Loans (BCRP Repos) and deducts non-recurring events from Interest Expenses</w:t>
      </w:r>
    </w:p>
    <w:p>
      <w:pPr>
        <w:spacing w:after="0" w:line="183"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cost of funding in LC increased 16 bps. This dynamic was driven by withdrawals from demand and time deposits in LC and by an increase in interest rates. With regard to structural funding, the funding cost in LC rose to 1.33% in 4Q21 (+20 bps).</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23" w:name="page24"/>
    <w:bookmarkEnd w:id="23"/>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Funding Cost - Credicorp in Foreign Currency</w:t>
      </w:r>
      <w:r>
        <w:rPr>
          <w:rFonts w:ascii="Arial" w:cs="Arial" w:eastAsia="Arial" w:hAnsi="Arial"/>
          <w:sz w:val="32"/>
          <w:szCs w:val="3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-74295</wp:posOffset>
            </wp:positionV>
            <wp:extent cx="3740150" cy="15506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40150"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722" w:right="40" w:hanging="4663"/>
        <w:spacing w:after="0" w:line="250" w:lineRule="auto"/>
        <w:tabs>
          <w:tab w:leader="none" w:pos="338" w:val="left"/>
        </w:tabs>
        <w:numPr>
          <w:ilvl w:val="0"/>
          <w:numId w:val="18"/>
        </w:numPr>
        <w:rPr>
          <w:rFonts w:ascii="Arial" w:cs="Arial" w:eastAsia="Arial" w:hAnsi="Arial"/>
          <w:sz w:val="20"/>
          <w:szCs w:val="20"/>
          <w:color w:val="auto"/>
        </w:rPr>
      </w:pPr>
      <w:r>
        <w:rPr>
          <w:rFonts w:ascii="Arial" w:cs="Arial" w:eastAsia="Arial" w:hAnsi="Arial"/>
          <w:sz w:val="20"/>
          <w:szCs w:val="20"/>
          <w:color w:val="auto"/>
        </w:rPr>
        <w:t>Structural Funding Cost deducts the impact in expenses and funding related to GP Loans (BCRP Repos) and deducts non-recurring events from Interest Expenses</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20"/>
          <w:szCs w:val="20"/>
          <w:color w:val="auto"/>
        </w:rPr>
        <w:t>The decrease in the cost of funding in FC (-11bps) was associated with an increase in the share of low-cost FC deposits.</w:t>
      </w:r>
    </w:p>
    <w:p>
      <w:pPr>
        <w:spacing w:after="0" w:line="212"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funding cost in LC and FC fell -1bps and -22bps YoY respectively. The cost of FC funding dropped due to the effects of liability transactions that were executed throughout the year.</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 xml:space="preserve">Funding cost by subsidiary </w:t>
      </w:r>
      <w:r>
        <w:rPr>
          <w:rFonts w:ascii="Arial" w:cs="Arial" w:eastAsia="Arial" w:hAnsi="Arial"/>
          <w:sz w:val="32"/>
          <w:szCs w:val="3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33655</wp:posOffset>
            </wp:positionV>
            <wp:extent cx="4176395" cy="27273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7639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 w:right="100" w:hanging="2"/>
        <w:spacing w:after="0" w:line="250" w:lineRule="auto"/>
        <w:tabs>
          <w:tab w:leader="none" w:pos="2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Structural Funding Cost deducts the impact in expenses and funding related to GP Loans (BCRP Repos) and deducts non-recurring events from Interest Expenses</w:t>
      </w:r>
    </w:p>
    <w:p>
      <w:pPr>
        <w:spacing w:after="0" w:line="190" w:lineRule="exact"/>
        <w:rPr>
          <w:rFonts w:ascii="Arial" w:cs="Arial" w:eastAsia="Arial" w:hAnsi="Arial"/>
          <w:sz w:val="20"/>
          <w:szCs w:val="20"/>
          <w:color w:val="auto"/>
        </w:rPr>
      </w:pPr>
    </w:p>
    <w:p>
      <w:pPr>
        <w:ind w:left="702" w:hanging="358"/>
        <w:spacing w:after="0" w:line="322" w:lineRule="auto"/>
        <w:tabs>
          <w:tab w:leader="none" w:pos="702"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The funding cost at BCP Stand-alone increased slightly to 0.98% (+3 bps QoQ). YoY, a decrease of -9 bps was reported in the cost of funding. This was associated with (i) an uptick in the share of deposits and (ii) the rate effect, which was primarily generated by a subordinated debt management transaction.</w:t>
      </w:r>
    </w:p>
    <w:p>
      <w:pPr>
        <w:spacing w:after="0" w:line="150" w:lineRule="exact"/>
        <w:rPr>
          <w:rFonts w:ascii="Arial" w:cs="Arial" w:eastAsia="Arial" w:hAnsi="Arial"/>
          <w:sz w:val="15"/>
          <w:szCs w:val="15"/>
          <w:color w:val="auto"/>
        </w:rPr>
      </w:pPr>
    </w:p>
    <w:p>
      <w:pPr>
        <w:jc w:val="both"/>
        <w:ind w:left="702" w:hanging="358"/>
        <w:spacing w:after="0" w:line="271" w:lineRule="auto"/>
        <w:tabs>
          <w:tab w:leader="none" w:pos="70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funding cost at Mibanco increased considerably (+29 bps QoQ), which was attributable to repricing of the institutional funding base due to an increase in interest rates. In the YoY analysis, a drop of -50 bps was recorded. This result was mainly driven by an uptick in institutional banking’s share of the funding mix (this type of funding is less expenses than retail funding).</w:t>
      </w:r>
    </w:p>
    <w:p>
      <w:pPr>
        <w:spacing w:after="0" w:line="186" w:lineRule="exact"/>
        <w:rPr>
          <w:rFonts w:ascii="Arial" w:cs="Arial" w:eastAsia="Arial" w:hAnsi="Arial"/>
          <w:sz w:val="16"/>
          <w:szCs w:val="16"/>
          <w:color w:val="auto"/>
        </w:rPr>
      </w:pPr>
    </w:p>
    <w:p>
      <w:pPr>
        <w:ind w:left="702" w:hanging="358"/>
        <w:spacing w:after="0"/>
        <w:tabs>
          <w:tab w:leader="none" w:pos="70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cost of funding at BCP Bolivia fell at 3.19% (-12 bps). In the YoY analysis, the cost fell -8 bps.</w:t>
      </w:r>
    </w:p>
    <w:p>
      <w:pPr>
        <w:spacing w:after="0" w:line="200" w:lineRule="exact"/>
        <w:rPr>
          <w:sz w:val="20"/>
          <w:szCs w:val="20"/>
          <w:color w:val="auto"/>
        </w:rPr>
      </w:pPr>
    </w:p>
    <w:p>
      <w:pPr>
        <w:spacing w:after="0" w:line="263"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1"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68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78550" cy="656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25" w:name="page26"/>
    <w:bookmarkEnd w:id="25"/>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3. Net interest income (NII)</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38"/>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Quarter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right"/>
              <w:ind w:right="378"/>
              <w:spacing w:after="0"/>
              <w:rPr>
                <w:sz w:val="20"/>
                <w:szCs w:val="20"/>
                <w:color w:val="auto"/>
              </w:rPr>
            </w:pPr>
            <w:r>
              <w:rPr>
                <w:rFonts w:ascii="Arial" w:cs="Arial" w:eastAsia="Arial" w:hAnsi="Arial"/>
                <w:sz w:val="16"/>
                <w:szCs w:val="16"/>
                <w:b w:val="1"/>
                <w:bCs w:val="1"/>
                <w:color w:val="auto"/>
              </w:rPr>
              <w:t>% change</w:t>
            </w:r>
          </w:p>
        </w:tc>
        <w:tc>
          <w:tcPr>
            <w:tcW w:w="2200" w:type="dxa"/>
            <w:vAlign w:val="bottom"/>
            <w:gridSpan w:val="4"/>
          </w:tcPr>
          <w:p>
            <w:pPr>
              <w:jc w:val="right"/>
              <w:ind w:right="1080"/>
              <w:spacing w:after="0"/>
              <w:rPr>
                <w:sz w:val="20"/>
                <w:szCs w:val="20"/>
                <w:color w:val="auto"/>
              </w:rPr>
            </w:pPr>
            <w:r>
              <w:rPr>
                <w:rFonts w:ascii="Arial" w:cs="Arial" w:eastAsia="Arial" w:hAnsi="Arial"/>
                <w:sz w:val="16"/>
                <w:szCs w:val="16"/>
                <w:b w:val="1"/>
                <w:bCs w:val="1"/>
                <w:color w:val="auto"/>
              </w:rPr>
              <w:t>Year</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change</w:t>
            </w:r>
          </w:p>
        </w:tc>
      </w:tr>
      <w:tr>
        <w:trPr>
          <w:trHeight w:val="201"/>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8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QoQ</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2021 / 2020</w:t>
            </w:r>
          </w:p>
        </w:tc>
        <w:tc>
          <w:tcPr>
            <w:tcW w:w="160" w:type="dxa"/>
            <w:vAlign w:val="bottom"/>
          </w:tcPr>
          <w:p>
            <w:pPr>
              <w:spacing w:after="0"/>
              <w:rPr>
                <w:sz w:val="17"/>
                <w:szCs w:val="17"/>
                <w:color w:val="auto"/>
              </w:rPr>
            </w:pPr>
          </w:p>
        </w:tc>
      </w:tr>
      <w:tr>
        <w:trPr>
          <w:trHeight w:val="196"/>
        </w:trPr>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Interest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2,703,100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3,051,000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3,091,754</w:t>
            </w: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14.4%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11,547,648</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11,850,406</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r>
      <w:tr>
        <w:trPr>
          <w:trHeight w:val="196"/>
        </w:trPr>
        <w:tc>
          <w:tcPr>
            <w:tcW w:w="3560" w:type="dxa"/>
            <w:vAlign w:val="bottom"/>
          </w:tcPr>
          <w:p>
            <w:pPr>
              <w:ind w:left="140"/>
              <w:spacing w:after="0"/>
              <w:rPr>
                <w:sz w:val="20"/>
                <w:szCs w:val="20"/>
                <w:color w:val="auto"/>
              </w:rPr>
            </w:pPr>
            <w:r>
              <w:rPr>
                <w:rFonts w:ascii="Arial" w:cs="Arial" w:eastAsia="Arial" w:hAnsi="Arial"/>
                <w:sz w:val="16"/>
                <w:szCs w:val="16"/>
                <w:color w:val="auto"/>
              </w:rPr>
              <w:t>Interest on loans</w:t>
            </w:r>
          </w:p>
        </w:tc>
        <w:tc>
          <w:tcPr>
            <w:tcW w:w="860" w:type="dxa"/>
            <w:vAlign w:val="bottom"/>
          </w:tcPr>
          <w:p>
            <w:pPr>
              <w:jc w:val="right"/>
              <w:spacing w:after="0"/>
              <w:rPr>
                <w:sz w:val="20"/>
                <w:szCs w:val="20"/>
                <w:color w:val="auto"/>
              </w:rPr>
            </w:pPr>
            <w:r>
              <w:rPr>
                <w:rFonts w:ascii="Arial" w:cs="Arial" w:eastAsia="Arial" w:hAnsi="Arial"/>
                <w:sz w:val="16"/>
                <w:szCs w:val="16"/>
                <w:color w:val="auto"/>
              </w:rPr>
              <w:t>2,325,836</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2,607,349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2,654,383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760" w:type="dxa"/>
            <w:vAlign w:val="bottom"/>
            <w:gridSpan w:val="2"/>
          </w:tcPr>
          <w:p>
            <w:pPr>
              <w:jc w:val="right"/>
              <w:ind w:right="38"/>
              <w:spacing w:after="0"/>
              <w:rPr>
                <w:sz w:val="20"/>
                <w:szCs w:val="20"/>
                <w:color w:val="auto"/>
              </w:rPr>
            </w:pPr>
            <w:r>
              <w:rPr>
                <w:rFonts w:ascii="Arial" w:cs="Arial" w:eastAsia="Arial" w:hAnsi="Arial"/>
                <w:sz w:val="16"/>
                <w:szCs w:val="16"/>
                <w:color w:val="auto"/>
              </w:rPr>
              <w:t>14.1%</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10,027,834</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w w:val="99"/>
              </w:rPr>
              <w:t>10,170,680</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196"/>
        </w:trPr>
        <w:tc>
          <w:tcPr>
            <w:tcW w:w="35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Dividends on investments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3,987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19,668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-68.4%</w:t>
            </w: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55.8%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25,603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40,637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58.7%</w:t>
            </w:r>
          </w:p>
        </w:tc>
      </w:tr>
      <w:tr>
        <w:trPr>
          <w:trHeight w:val="196"/>
        </w:trPr>
        <w:tc>
          <w:tcPr>
            <w:tcW w:w="3560" w:type="dxa"/>
            <w:vAlign w:val="bottom"/>
          </w:tcPr>
          <w:p>
            <w:pPr>
              <w:ind w:left="140"/>
              <w:spacing w:after="0"/>
              <w:rPr>
                <w:sz w:val="20"/>
                <w:szCs w:val="20"/>
                <w:color w:val="auto"/>
              </w:rPr>
            </w:pPr>
            <w:r>
              <w:rPr>
                <w:rFonts w:ascii="Arial" w:cs="Arial" w:eastAsia="Arial" w:hAnsi="Arial"/>
                <w:sz w:val="16"/>
                <w:szCs w:val="16"/>
                <w:color w:val="auto"/>
              </w:rPr>
              <w:t>Interest on deposits with banks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8,456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12,185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23,480</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92.7%</w:t>
            </w:r>
          </w:p>
        </w:tc>
        <w:tc>
          <w:tcPr>
            <w:tcW w:w="760" w:type="dxa"/>
            <w:vAlign w:val="bottom"/>
            <w:gridSpan w:val="2"/>
          </w:tcPr>
          <w:p>
            <w:pPr>
              <w:jc w:val="right"/>
              <w:ind w:right="38"/>
              <w:spacing w:after="0"/>
              <w:rPr>
                <w:sz w:val="20"/>
                <w:szCs w:val="20"/>
                <w:color w:val="auto"/>
              </w:rPr>
            </w:pPr>
            <w:r>
              <w:rPr>
                <w:rFonts w:ascii="Arial" w:cs="Arial" w:eastAsia="Arial" w:hAnsi="Arial"/>
                <w:sz w:val="16"/>
                <w:szCs w:val="16"/>
                <w:color w:val="auto"/>
              </w:rPr>
              <w:t>177.7%</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74,814</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49,637</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-33.7%</w:t>
            </w:r>
          </w:p>
        </w:tc>
      </w:tr>
      <w:tr>
        <w:trPr>
          <w:trHeight w:val="196"/>
        </w:trPr>
        <w:tc>
          <w:tcPr>
            <w:tcW w:w="35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on securities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351,502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385,874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395,815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12.6%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1,372,163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1,526,793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r>
      <w:tr>
        <w:trPr>
          <w:trHeight w:val="196"/>
        </w:trPr>
        <w:tc>
          <w:tcPr>
            <w:tcW w:w="3560" w:type="dxa"/>
            <w:vAlign w:val="bottom"/>
          </w:tcPr>
          <w:p>
            <w:pPr>
              <w:ind w:left="140"/>
              <w:spacing w:after="0"/>
              <w:rPr>
                <w:sz w:val="20"/>
                <w:szCs w:val="20"/>
                <w:color w:val="auto"/>
              </w:rPr>
            </w:pPr>
            <w:r>
              <w:rPr>
                <w:rFonts w:ascii="Arial" w:cs="Arial" w:eastAsia="Arial" w:hAnsi="Arial"/>
                <w:sz w:val="16"/>
                <w:szCs w:val="16"/>
                <w:color w:val="auto"/>
              </w:rPr>
              <w:t>Other interest income</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13,319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25,924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11,864</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98"/>
              </w:rPr>
              <w:t>-54.2%</w:t>
            </w:r>
          </w:p>
        </w:tc>
        <w:tc>
          <w:tcPr>
            <w:tcW w:w="760" w:type="dxa"/>
            <w:vAlign w:val="bottom"/>
            <w:gridSpan w:val="2"/>
          </w:tcPr>
          <w:p>
            <w:pPr>
              <w:jc w:val="right"/>
              <w:ind w:right="38"/>
              <w:spacing w:after="0"/>
              <w:rPr>
                <w:sz w:val="20"/>
                <w:szCs w:val="20"/>
                <w:color w:val="auto"/>
              </w:rPr>
            </w:pPr>
            <w:r>
              <w:rPr>
                <w:rFonts w:ascii="Arial" w:cs="Arial" w:eastAsia="Arial" w:hAnsi="Arial"/>
                <w:sz w:val="16"/>
                <w:szCs w:val="16"/>
                <w:color w:val="auto"/>
              </w:rPr>
              <w:t>-10.9%</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47,234</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62,659</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32.7%</w:t>
            </w:r>
          </w:p>
        </w:tc>
      </w:tr>
      <w:tr>
        <w:trPr>
          <w:trHeight w:val="196"/>
        </w:trPr>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Interest expense (1)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634,540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599,292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613,907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-3.3%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2,976,306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2,488,426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r>
      <w:tr>
        <w:trPr>
          <w:trHeight w:val="196"/>
        </w:trPr>
        <w:tc>
          <w:tcPr>
            <w:tcW w:w="3560" w:type="dxa"/>
            <w:vAlign w:val="bottom"/>
          </w:tcPr>
          <w:p>
            <w:pPr>
              <w:ind w:left="140"/>
              <w:spacing w:after="0"/>
              <w:rPr>
                <w:sz w:val="20"/>
                <w:szCs w:val="20"/>
                <w:color w:val="auto"/>
              </w:rPr>
            </w:pPr>
            <w:r>
              <w:rPr>
                <w:rFonts w:ascii="Arial" w:cs="Arial" w:eastAsia="Arial" w:hAnsi="Arial"/>
                <w:sz w:val="16"/>
                <w:szCs w:val="16"/>
                <w:color w:val="auto"/>
              </w:rPr>
              <w:t>Interest on deposits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245,221</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209,564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222,992</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760" w:type="dxa"/>
            <w:vAlign w:val="bottom"/>
            <w:gridSpan w:val="2"/>
          </w:tcPr>
          <w:p>
            <w:pPr>
              <w:jc w:val="right"/>
              <w:ind w:right="38"/>
              <w:spacing w:after="0"/>
              <w:rPr>
                <w:sz w:val="20"/>
                <w:szCs w:val="20"/>
                <w:color w:val="auto"/>
              </w:rPr>
            </w:pPr>
            <w:r>
              <w:rPr>
                <w:rFonts w:ascii="Arial" w:cs="Arial" w:eastAsia="Arial" w:hAnsi="Arial"/>
                <w:sz w:val="16"/>
                <w:szCs w:val="16"/>
                <w:color w:val="auto"/>
              </w:rPr>
              <w:t>-9.1%</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1,188,335</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865,474</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-27.2%</w:t>
            </w:r>
          </w:p>
        </w:tc>
      </w:tr>
      <w:tr>
        <w:trPr>
          <w:trHeight w:val="196"/>
        </w:trPr>
        <w:tc>
          <w:tcPr>
            <w:tcW w:w="35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on borrowed funds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118,457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110,308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111,625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-5.8%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557,141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435,426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r>
      <w:tr>
        <w:trPr>
          <w:trHeight w:val="196"/>
        </w:trPr>
        <w:tc>
          <w:tcPr>
            <w:tcW w:w="3560" w:type="dxa"/>
            <w:vAlign w:val="bottom"/>
          </w:tcPr>
          <w:p>
            <w:pPr>
              <w:ind w:left="140"/>
              <w:spacing w:after="0"/>
              <w:rPr>
                <w:sz w:val="20"/>
                <w:szCs w:val="20"/>
                <w:color w:val="auto"/>
              </w:rPr>
            </w:pPr>
            <w:r>
              <w:rPr>
                <w:rFonts w:ascii="Arial" w:cs="Arial" w:eastAsia="Arial" w:hAnsi="Arial"/>
                <w:sz w:val="16"/>
                <w:szCs w:val="16"/>
                <w:color w:val="auto"/>
              </w:rPr>
              <w:t>Interest on bonds and subordinated notes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185,104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179,476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175,690</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760" w:type="dxa"/>
            <w:vAlign w:val="bottom"/>
            <w:gridSpan w:val="2"/>
          </w:tcPr>
          <w:p>
            <w:pPr>
              <w:jc w:val="right"/>
              <w:ind w:right="38"/>
              <w:spacing w:after="0"/>
              <w:rPr>
                <w:sz w:val="20"/>
                <w:szCs w:val="20"/>
                <w:color w:val="auto"/>
              </w:rPr>
            </w:pPr>
            <w:r>
              <w:rPr>
                <w:rFonts w:ascii="Arial" w:cs="Arial" w:eastAsia="Arial" w:hAnsi="Arial"/>
                <w:sz w:val="16"/>
                <w:szCs w:val="16"/>
                <w:color w:val="auto"/>
              </w:rPr>
              <w:t>-5.1%</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883,912</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800,801</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r>
      <w:tr>
        <w:trPr>
          <w:trHeight w:val="196"/>
        </w:trPr>
        <w:tc>
          <w:tcPr>
            <w:tcW w:w="35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interest expense (1)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85,758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99,944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103,600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20.8%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346,918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386,725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r>
      <w:tr>
        <w:trPr>
          <w:trHeight w:val="25"/>
        </w:trPr>
        <w:tc>
          <w:tcPr>
            <w:tcW w:w="3560" w:type="dxa"/>
            <w:vAlign w:val="bottom"/>
            <w:tcBorders>
              <w:right w:val="single" w:sz="8" w:color="CCEEFF"/>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b w:val="1"/>
                <w:bCs w:val="1"/>
                <w:color w:val="auto"/>
              </w:rPr>
              <w:t>Net interest income (1)</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2,068,560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2,451,708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2,477,847</w:t>
            </w:r>
          </w:p>
        </w:tc>
        <w:tc>
          <w:tcPr>
            <w:tcW w:w="2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1.1%</w:t>
            </w:r>
          </w:p>
        </w:tc>
        <w:tc>
          <w:tcPr>
            <w:tcW w:w="760" w:type="dxa"/>
            <w:vAlign w:val="bottom"/>
            <w:gridSpan w:val="2"/>
          </w:tcPr>
          <w:p>
            <w:pPr>
              <w:jc w:val="right"/>
              <w:ind w:right="18"/>
              <w:spacing w:after="0"/>
              <w:rPr>
                <w:sz w:val="20"/>
                <w:szCs w:val="20"/>
                <w:color w:val="auto"/>
              </w:rPr>
            </w:pPr>
            <w:r>
              <w:rPr>
                <w:rFonts w:ascii="Arial" w:cs="Arial" w:eastAsia="Arial" w:hAnsi="Arial"/>
                <w:sz w:val="16"/>
                <w:szCs w:val="16"/>
                <w:b w:val="1"/>
                <w:bCs w:val="1"/>
                <w:color w:val="auto"/>
              </w:rPr>
              <w:t>19.8%</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8,571,342</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9,361,980</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9.2%</w:t>
            </w:r>
          </w:p>
        </w:tc>
      </w:tr>
      <w:tr>
        <w:trPr>
          <w:trHeight w:val="25"/>
        </w:trPr>
        <w:tc>
          <w:tcPr>
            <w:tcW w:w="3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Adjusted Net interest income (2)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2,161,800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2,420,842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2,457,471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9,006,448</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9,305,567</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r>
      <w:tr>
        <w:trPr>
          <w:trHeight w:val="25"/>
        </w:trPr>
        <w:tc>
          <w:tcPr>
            <w:tcW w:w="3560" w:type="dxa"/>
            <w:vAlign w:val="bottom"/>
            <w:tcBorders>
              <w:right w:val="single" w:sz="8" w:color="CCEEFF"/>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b w:val="1"/>
                <w:bCs w:val="1"/>
                <w:color w:val="auto"/>
              </w:rPr>
              <w:t>Risk-adjusted Net interest income (1)</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1,335,895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2,287,294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2,351,065</w:t>
            </w:r>
          </w:p>
        </w:tc>
        <w:tc>
          <w:tcPr>
            <w:tcW w:w="2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rPr>
              <w:t>2.8%</w:t>
            </w:r>
          </w:p>
        </w:tc>
        <w:tc>
          <w:tcPr>
            <w:tcW w:w="760" w:type="dxa"/>
            <w:vAlign w:val="bottom"/>
            <w:gridSpan w:val="2"/>
          </w:tcPr>
          <w:p>
            <w:pPr>
              <w:jc w:val="right"/>
              <w:ind w:right="18"/>
              <w:spacing w:after="0"/>
              <w:rPr>
                <w:sz w:val="20"/>
                <w:szCs w:val="20"/>
                <w:color w:val="auto"/>
              </w:rPr>
            </w:pPr>
            <w:r>
              <w:rPr>
                <w:rFonts w:ascii="Arial" w:cs="Arial" w:eastAsia="Arial" w:hAnsi="Arial"/>
                <w:sz w:val="16"/>
                <w:szCs w:val="16"/>
                <w:b w:val="1"/>
                <w:bCs w:val="1"/>
                <w:color w:val="auto"/>
              </w:rPr>
              <w:t>76.0%</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2,650,834</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8,149,757</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207.4%</w:t>
            </w:r>
          </w:p>
        </w:tc>
      </w:tr>
      <w:tr>
        <w:trPr>
          <w:trHeight w:val="25"/>
        </w:trPr>
        <w:tc>
          <w:tcPr>
            <w:tcW w:w="3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interest earning assets (1)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222,098,498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231,912,064</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233,016,342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199,243,133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228,157,256</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r>
      <w:tr>
        <w:trPr>
          <w:trHeight w:val="25"/>
        </w:trPr>
        <w:tc>
          <w:tcPr>
            <w:tcW w:w="3560" w:type="dxa"/>
            <w:vAlign w:val="bottom"/>
            <w:tcBorders>
              <w:right w:val="single" w:sz="8" w:color="CCEEFF"/>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780" w:type="dxa"/>
            <w:vAlign w:val="bottom"/>
          </w:tcPr>
          <w:p>
            <w:pPr>
              <w:spacing w:after="0"/>
              <w:rPr>
                <w:sz w:val="20"/>
                <w:szCs w:val="20"/>
                <w:color w:val="auto"/>
              </w:rPr>
            </w:pPr>
            <w:r>
              <w:rPr>
                <w:rFonts w:ascii="Arial" w:cs="Arial" w:eastAsia="Arial" w:hAnsi="Arial"/>
                <w:sz w:val="16"/>
                <w:szCs w:val="16"/>
                <w:b w:val="1"/>
                <w:bCs w:val="1"/>
                <w:color w:val="auto"/>
              </w:rPr>
              <w:t>Net interest margin (3)</w:t>
            </w:r>
          </w:p>
        </w:tc>
        <w:tc>
          <w:tcPr>
            <w:tcW w:w="1140" w:type="dxa"/>
            <w:vAlign w:val="bottom"/>
          </w:tcPr>
          <w:p>
            <w:pPr>
              <w:jc w:val="right"/>
              <w:ind w:right="238"/>
              <w:spacing w:after="0"/>
              <w:rPr>
                <w:sz w:val="20"/>
                <w:szCs w:val="20"/>
                <w:color w:val="auto"/>
              </w:rPr>
            </w:pPr>
            <w:r>
              <w:rPr>
                <w:rFonts w:ascii="Arial" w:cs="Arial" w:eastAsia="Arial" w:hAnsi="Arial"/>
                <w:sz w:val="16"/>
                <w:szCs w:val="16"/>
                <w:b w:val="1"/>
                <w:bCs w:val="1"/>
                <w:color w:val="auto"/>
              </w:rPr>
              <w:t>3.73%</w:t>
            </w:r>
          </w:p>
        </w:tc>
        <w:tc>
          <w:tcPr>
            <w:tcW w:w="1080" w:type="dxa"/>
            <w:vAlign w:val="bottom"/>
          </w:tcPr>
          <w:p>
            <w:pPr>
              <w:jc w:val="right"/>
              <w:ind w:right="238"/>
              <w:spacing w:after="0"/>
              <w:rPr>
                <w:sz w:val="20"/>
                <w:szCs w:val="20"/>
                <w:color w:val="auto"/>
              </w:rPr>
            </w:pPr>
            <w:r>
              <w:rPr>
                <w:rFonts w:ascii="Arial" w:cs="Arial" w:eastAsia="Arial" w:hAnsi="Arial"/>
                <w:sz w:val="16"/>
                <w:szCs w:val="16"/>
                <w:b w:val="1"/>
                <w:bCs w:val="1"/>
                <w:color w:val="auto"/>
              </w:rPr>
              <w:t>4.23%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4.25%</w:t>
            </w:r>
          </w:p>
        </w:tc>
        <w:tc>
          <w:tcPr>
            <w:tcW w:w="600" w:type="dxa"/>
            <w:vAlign w:val="bottom"/>
          </w:tcPr>
          <w:p>
            <w:pPr>
              <w:ind w:left="40"/>
              <w:spacing w:after="0"/>
              <w:rPr>
                <w:sz w:val="20"/>
                <w:szCs w:val="20"/>
                <w:color w:val="auto"/>
              </w:rPr>
            </w:pPr>
            <w:r>
              <w:rPr>
                <w:rFonts w:ascii="Arial" w:cs="Arial" w:eastAsia="Arial" w:hAnsi="Arial"/>
                <w:sz w:val="16"/>
                <w:szCs w:val="16"/>
                <w:b w:val="1"/>
                <w:bCs w:val="1"/>
                <w:color w:val="auto"/>
              </w:rPr>
              <w:t>2bps</w:t>
            </w:r>
          </w:p>
        </w:tc>
        <w:tc>
          <w:tcPr>
            <w:tcW w:w="960" w:type="dxa"/>
            <w:vAlign w:val="bottom"/>
          </w:tcPr>
          <w:p>
            <w:pPr>
              <w:jc w:val="right"/>
              <w:ind w:right="398"/>
              <w:spacing w:after="0"/>
              <w:rPr>
                <w:sz w:val="20"/>
                <w:szCs w:val="20"/>
                <w:color w:val="auto"/>
              </w:rPr>
            </w:pPr>
            <w:r>
              <w:rPr>
                <w:rFonts w:ascii="Arial" w:cs="Arial" w:eastAsia="Arial" w:hAnsi="Arial"/>
                <w:sz w:val="16"/>
                <w:szCs w:val="16"/>
                <w:b w:val="1"/>
                <w:bCs w:val="1"/>
                <w:color w:val="auto"/>
                <w:w w:val="99"/>
              </w:rPr>
              <w:t>52bps</w:t>
            </w:r>
          </w:p>
        </w:tc>
        <w:tc>
          <w:tcPr>
            <w:tcW w:w="1100" w:type="dxa"/>
            <w:vAlign w:val="bottom"/>
          </w:tcPr>
          <w:p>
            <w:pPr>
              <w:jc w:val="right"/>
              <w:ind w:right="198"/>
              <w:spacing w:after="0"/>
              <w:rPr>
                <w:sz w:val="20"/>
                <w:szCs w:val="20"/>
                <w:color w:val="auto"/>
              </w:rPr>
            </w:pPr>
            <w:r>
              <w:rPr>
                <w:rFonts w:ascii="Arial" w:cs="Arial" w:eastAsia="Arial" w:hAnsi="Arial"/>
                <w:sz w:val="16"/>
                <w:szCs w:val="16"/>
                <w:b w:val="1"/>
                <w:bCs w:val="1"/>
                <w:color w:val="auto"/>
              </w:rPr>
              <w:t>4.30%</w:t>
            </w:r>
          </w:p>
        </w:tc>
        <w:tc>
          <w:tcPr>
            <w:tcW w:w="920" w:type="dxa"/>
            <w:vAlign w:val="bottom"/>
          </w:tcPr>
          <w:p>
            <w:pPr>
              <w:jc w:val="right"/>
              <w:ind w:right="38"/>
              <w:spacing w:after="0"/>
              <w:rPr>
                <w:sz w:val="20"/>
                <w:szCs w:val="20"/>
                <w:color w:val="auto"/>
              </w:rPr>
            </w:pPr>
            <w:r>
              <w:rPr>
                <w:rFonts w:ascii="Arial" w:cs="Arial" w:eastAsia="Arial" w:hAnsi="Arial"/>
                <w:sz w:val="16"/>
                <w:szCs w:val="16"/>
                <w:b w:val="1"/>
                <w:bCs w:val="1"/>
                <w:color w:val="auto"/>
              </w:rPr>
              <w:t>4.10%</w:t>
            </w:r>
          </w:p>
        </w:tc>
        <w:tc>
          <w:tcPr>
            <w:tcW w:w="940" w:type="dxa"/>
            <w:vAlign w:val="bottom"/>
          </w:tcPr>
          <w:p>
            <w:pPr>
              <w:jc w:val="center"/>
              <w:ind w:right="138"/>
              <w:spacing w:after="0"/>
              <w:rPr>
                <w:sz w:val="20"/>
                <w:szCs w:val="20"/>
                <w:color w:val="auto"/>
              </w:rPr>
            </w:pPr>
            <w:r>
              <w:rPr>
                <w:rFonts w:ascii="Arial" w:cs="Arial" w:eastAsia="Arial" w:hAnsi="Arial"/>
                <w:sz w:val="16"/>
                <w:szCs w:val="16"/>
                <w:b w:val="1"/>
                <w:bCs w:val="1"/>
                <w:color w:val="auto"/>
                <w:w w:val="92"/>
              </w:rPr>
              <w:t>-20bps</w:t>
            </w:r>
          </w:p>
        </w:tc>
      </w:tr>
      <w:tr>
        <w:trPr>
          <w:trHeight w:val="196"/>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Risk-adjusted Net interest margin (3)</w:t>
            </w:r>
          </w:p>
        </w:tc>
        <w:tc>
          <w:tcPr>
            <w:tcW w:w="1140" w:type="dxa"/>
            <w:vAlign w:val="bottom"/>
            <w:shd w:val="clear" w:color="auto" w:fill="CCEEFF"/>
          </w:tcPr>
          <w:p>
            <w:pPr>
              <w:jc w:val="right"/>
              <w:ind w:right="238"/>
              <w:spacing w:after="0"/>
              <w:rPr>
                <w:sz w:val="20"/>
                <w:szCs w:val="20"/>
                <w:color w:val="auto"/>
              </w:rPr>
            </w:pPr>
            <w:r>
              <w:rPr>
                <w:rFonts w:ascii="Arial" w:cs="Arial" w:eastAsia="Arial" w:hAnsi="Arial"/>
                <w:sz w:val="16"/>
                <w:szCs w:val="16"/>
                <w:b w:val="1"/>
                <w:bCs w:val="1"/>
                <w:color w:val="auto"/>
              </w:rPr>
              <w:t>2.41%</w:t>
            </w: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6"/>
                <w:szCs w:val="16"/>
                <w:b w:val="1"/>
                <w:bCs w:val="1"/>
                <w:color w:val="auto"/>
              </w:rPr>
              <w:t>3.95%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4.04%</w:t>
            </w:r>
          </w:p>
        </w:tc>
        <w:tc>
          <w:tcPr>
            <w:tcW w:w="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9bps</w:t>
            </w:r>
          </w:p>
        </w:tc>
        <w:tc>
          <w:tcPr>
            <w:tcW w:w="960" w:type="dxa"/>
            <w:vAlign w:val="bottom"/>
            <w:shd w:val="clear" w:color="auto" w:fill="CCEEFF"/>
          </w:tcPr>
          <w:p>
            <w:pPr>
              <w:jc w:val="right"/>
              <w:ind w:right="358"/>
              <w:spacing w:after="0"/>
              <w:rPr>
                <w:sz w:val="20"/>
                <w:szCs w:val="20"/>
                <w:color w:val="auto"/>
              </w:rPr>
            </w:pPr>
            <w:r>
              <w:rPr>
                <w:rFonts w:ascii="Arial" w:cs="Arial" w:eastAsia="Arial" w:hAnsi="Arial"/>
                <w:sz w:val="16"/>
                <w:szCs w:val="16"/>
                <w:b w:val="1"/>
                <w:bCs w:val="1"/>
                <w:color w:val="auto"/>
                <w:w w:val="90"/>
              </w:rPr>
              <w:t>163bps</w:t>
            </w:r>
          </w:p>
        </w:tc>
        <w:tc>
          <w:tcPr>
            <w:tcW w:w="1100" w:type="dxa"/>
            <w:vAlign w:val="bottom"/>
            <w:shd w:val="clear" w:color="auto" w:fill="CCEEFF"/>
          </w:tcPr>
          <w:p>
            <w:pPr>
              <w:jc w:val="right"/>
              <w:ind w:right="198"/>
              <w:spacing w:after="0"/>
              <w:rPr>
                <w:sz w:val="20"/>
                <w:szCs w:val="20"/>
                <w:color w:val="auto"/>
              </w:rPr>
            </w:pPr>
            <w:r>
              <w:rPr>
                <w:rFonts w:ascii="Arial" w:cs="Arial" w:eastAsia="Arial" w:hAnsi="Arial"/>
                <w:sz w:val="16"/>
                <w:szCs w:val="16"/>
                <w:b w:val="1"/>
                <w:bCs w:val="1"/>
                <w:color w:val="auto"/>
              </w:rPr>
              <w:t>2.28%</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6.12%</w:t>
            </w:r>
          </w:p>
        </w:tc>
        <w:tc>
          <w:tcPr>
            <w:tcW w:w="940" w:type="dxa"/>
            <w:vAlign w:val="bottom"/>
            <w:shd w:val="clear" w:color="auto" w:fill="CCEEFF"/>
          </w:tcPr>
          <w:p>
            <w:pPr>
              <w:jc w:val="center"/>
              <w:ind w:right="138"/>
              <w:spacing w:after="0"/>
              <w:rPr>
                <w:sz w:val="20"/>
                <w:szCs w:val="20"/>
                <w:color w:val="auto"/>
              </w:rPr>
            </w:pPr>
            <w:r>
              <w:rPr>
                <w:rFonts w:ascii="Arial" w:cs="Arial" w:eastAsia="Arial" w:hAnsi="Arial"/>
                <w:sz w:val="16"/>
                <w:szCs w:val="16"/>
                <w:b w:val="1"/>
                <w:bCs w:val="1"/>
                <w:color w:val="auto"/>
                <w:w w:val="86"/>
              </w:rPr>
              <w:t>384bps</w:t>
            </w:r>
          </w:p>
        </w:tc>
      </w:t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color w:val="auto"/>
                <w:w w:val="96"/>
              </w:rPr>
              <w:t>Net provisions for loan losses / Net interest income</w:t>
            </w:r>
          </w:p>
        </w:tc>
        <w:tc>
          <w:tcPr>
            <w:tcW w:w="1140" w:type="dxa"/>
            <w:vAlign w:val="bottom"/>
          </w:tcPr>
          <w:p>
            <w:pPr>
              <w:jc w:val="right"/>
              <w:ind w:right="238"/>
              <w:spacing w:after="0"/>
              <w:rPr>
                <w:sz w:val="20"/>
                <w:szCs w:val="20"/>
                <w:color w:val="auto"/>
              </w:rPr>
            </w:pPr>
            <w:r>
              <w:rPr>
                <w:rFonts w:ascii="Arial" w:cs="Arial" w:eastAsia="Arial" w:hAnsi="Arial"/>
                <w:sz w:val="16"/>
                <w:szCs w:val="16"/>
                <w:b w:val="1"/>
                <w:bCs w:val="1"/>
                <w:color w:val="auto"/>
              </w:rPr>
              <w:t>35.42%</w:t>
            </w:r>
          </w:p>
        </w:tc>
        <w:tc>
          <w:tcPr>
            <w:tcW w:w="1080" w:type="dxa"/>
            <w:vAlign w:val="bottom"/>
          </w:tcPr>
          <w:p>
            <w:pPr>
              <w:jc w:val="right"/>
              <w:ind w:right="238"/>
              <w:spacing w:after="0"/>
              <w:rPr>
                <w:sz w:val="20"/>
                <w:szCs w:val="20"/>
                <w:color w:val="auto"/>
              </w:rPr>
            </w:pPr>
            <w:r>
              <w:rPr>
                <w:rFonts w:ascii="Arial" w:cs="Arial" w:eastAsia="Arial" w:hAnsi="Arial"/>
                <w:sz w:val="16"/>
                <w:szCs w:val="16"/>
                <w:b w:val="1"/>
                <w:bCs w:val="1"/>
                <w:color w:val="auto"/>
              </w:rPr>
              <w:t>6.71%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5.12%</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960" w:type="dxa"/>
            <w:vAlign w:val="bottom"/>
          </w:tcPr>
          <w:p>
            <w:pPr>
              <w:jc w:val="right"/>
              <w:ind w:right="198"/>
              <w:spacing w:after="0"/>
              <w:rPr>
                <w:sz w:val="20"/>
                <w:szCs w:val="20"/>
                <w:color w:val="auto"/>
              </w:rPr>
            </w:pPr>
            <w:r>
              <w:rPr>
                <w:rFonts w:ascii="Arial" w:cs="Arial" w:eastAsia="Arial" w:hAnsi="Arial"/>
                <w:sz w:val="16"/>
                <w:szCs w:val="16"/>
                <w:b w:val="1"/>
                <w:bCs w:val="1"/>
                <w:color w:val="auto"/>
              </w:rPr>
              <w:t>-30.3%</w:t>
            </w:r>
          </w:p>
        </w:tc>
        <w:tc>
          <w:tcPr>
            <w:tcW w:w="1100" w:type="dxa"/>
            <w:vAlign w:val="bottom"/>
          </w:tcPr>
          <w:p>
            <w:pPr>
              <w:jc w:val="right"/>
              <w:ind w:right="198"/>
              <w:spacing w:after="0"/>
              <w:rPr>
                <w:sz w:val="20"/>
                <w:szCs w:val="20"/>
                <w:color w:val="auto"/>
              </w:rPr>
            </w:pPr>
            <w:r>
              <w:rPr>
                <w:rFonts w:ascii="Arial" w:cs="Arial" w:eastAsia="Arial" w:hAnsi="Arial"/>
                <w:sz w:val="16"/>
                <w:szCs w:val="16"/>
                <w:b w:val="1"/>
                <w:bCs w:val="1"/>
                <w:color w:val="auto"/>
              </w:rPr>
              <w:t>69.07%</w:t>
            </w:r>
          </w:p>
        </w:tc>
        <w:tc>
          <w:tcPr>
            <w:tcW w:w="920" w:type="dxa"/>
            <w:vAlign w:val="bottom"/>
          </w:tcPr>
          <w:p>
            <w:pPr>
              <w:jc w:val="right"/>
              <w:ind w:right="38"/>
              <w:spacing w:after="0"/>
              <w:rPr>
                <w:sz w:val="20"/>
                <w:szCs w:val="20"/>
                <w:color w:val="auto"/>
              </w:rPr>
            </w:pPr>
            <w:r>
              <w:rPr>
                <w:rFonts w:ascii="Arial" w:cs="Arial" w:eastAsia="Arial" w:hAnsi="Arial"/>
                <w:sz w:val="16"/>
                <w:szCs w:val="16"/>
                <w:b w:val="1"/>
                <w:bCs w:val="1"/>
                <w:color w:val="auto"/>
              </w:rPr>
              <w:t>12.95%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-56.12%</w:t>
            </w:r>
          </w:p>
        </w:tc>
      </w:tr>
    </w:tbl>
    <w:p>
      <w:pPr>
        <w:spacing w:after="0" w:line="186" w:lineRule="exact"/>
        <w:rPr>
          <w:sz w:val="20"/>
          <w:szCs w:val="20"/>
          <w:color w:val="auto"/>
        </w:rPr>
      </w:pPr>
    </w:p>
    <w:p>
      <w:pPr>
        <w:ind w:left="282" w:hanging="282"/>
        <w:spacing w:after="0"/>
        <w:tabs>
          <w:tab w:leader="none" w:pos="282" w:val="left"/>
        </w:tabs>
        <w:numPr>
          <w:ilvl w:val="0"/>
          <w:numId w:val="20"/>
        </w:numPr>
        <w:rPr>
          <w:rFonts w:ascii="Arial" w:cs="Arial" w:eastAsia="Arial" w:hAnsi="Arial"/>
          <w:sz w:val="20"/>
          <w:szCs w:val="20"/>
          <w:color w:val="auto"/>
        </w:rPr>
      </w:pPr>
      <w:r>
        <w:rPr>
          <w:rFonts w:ascii="Arial" w:cs="Arial" w:eastAsia="Arial" w:hAnsi="Arial"/>
          <w:sz w:val="20"/>
          <w:szCs w:val="20"/>
          <w:color w:val="auto"/>
        </w:rPr>
        <w:t>Figures differ from previously reported.</w:t>
      </w:r>
    </w:p>
    <w:p>
      <w:pPr>
        <w:spacing w:after="0" w:line="6" w:lineRule="exact"/>
        <w:rPr>
          <w:rFonts w:ascii="Arial" w:cs="Arial" w:eastAsia="Arial" w:hAnsi="Arial"/>
          <w:sz w:val="20"/>
          <w:szCs w:val="20"/>
          <w:color w:val="auto"/>
        </w:rPr>
      </w:pPr>
    </w:p>
    <w:p>
      <w:pPr>
        <w:ind w:left="282" w:hanging="282"/>
        <w:spacing w:after="0"/>
        <w:tabs>
          <w:tab w:leader="none" w:pos="2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for (i) impairment from cero interest-rate loans and (ii) expenses related to liability management operations at BCP Stand-Alone.</w:t>
      </w:r>
    </w:p>
    <w:p>
      <w:pPr>
        <w:spacing w:after="0" w:line="25" w:lineRule="exact"/>
        <w:rPr>
          <w:rFonts w:ascii="Arial" w:cs="Arial" w:eastAsia="Arial" w:hAnsi="Arial"/>
          <w:sz w:val="17"/>
          <w:szCs w:val="17"/>
          <w:color w:val="auto"/>
        </w:rPr>
      </w:pPr>
    </w:p>
    <w:p>
      <w:pPr>
        <w:ind w:left="282" w:hanging="282"/>
        <w:spacing w:after="0"/>
        <w:tabs>
          <w:tab w:leader="none" w:pos="282"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Annualized.</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3.1. Interest Income</w:t>
      </w:r>
    </w:p>
    <w:p>
      <w:pPr>
        <w:sectPr>
          <w:pgSz w:w="11900" w:h="16838" w:orient="portrait"/>
          <w:cols w:equalWidth="0" w:num="1">
            <w:col w:w="11342"/>
          </w:cols>
          <w:pgMar w:left="318" w:top="765" w:right="239" w:bottom="847" w:gutter="0" w:footer="0" w:header="0"/>
        </w:sectPr>
      </w:pPr>
    </w:p>
    <w:p>
      <w:pPr>
        <w:spacing w:after="0" w:line="212" w:lineRule="exact"/>
        <w:rPr>
          <w:sz w:val="20"/>
          <w:szCs w:val="20"/>
          <w:color w:val="auto"/>
        </w:rPr>
      </w:pPr>
    </w:p>
    <w:p>
      <w:pPr>
        <w:jc w:val="center"/>
        <w:ind w:right="978"/>
        <w:spacing w:after="0"/>
        <w:rPr>
          <w:sz w:val="20"/>
          <w:szCs w:val="20"/>
          <w:color w:val="auto"/>
        </w:rPr>
      </w:pPr>
      <w:r>
        <w:rPr>
          <w:rFonts w:ascii="Arial" w:cs="Arial" w:eastAsia="Arial" w:hAnsi="Arial"/>
          <w:sz w:val="17"/>
          <w:szCs w:val="17"/>
          <w:b w:val="1"/>
          <w:bCs w:val="1"/>
          <w:color w:val="auto"/>
        </w:rPr>
        <w:t>Interest Income – local currency</w:t>
      </w:r>
    </w:p>
    <w:p>
      <w:pPr>
        <w:spacing w:after="0" w:line="47" w:lineRule="exact"/>
        <w:rPr>
          <w:sz w:val="20"/>
          <w:szCs w:val="20"/>
          <w:color w:val="auto"/>
        </w:rPr>
      </w:pPr>
    </w:p>
    <w:p>
      <w:pPr>
        <w:jc w:val="center"/>
        <w:ind w:right="978"/>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2594610" cy="1729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4610" cy="1729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340"/>
        <w:spacing w:after="0"/>
        <w:rPr>
          <w:sz w:val="20"/>
          <w:szCs w:val="20"/>
          <w:color w:val="auto"/>
        </w:rPr>
      </w:pPr>
      <w:r>
        <w:rPr>
          <w:rFonts w:ascii="Arial" w:cs="Arial" w:eastAsia="Arial" w:hAnsi="Arial"/>
          <w:sz w:val="17"/>
          <w:szCs w:val="17"/>
          <w:b w:val="1"/>
          <w:bCs w:val="1"/>
          <w:color w:val="auto"/>
        </w:rPr>
        <w:t>Interest income – foreign currency</w:t>
      </w:r>
    </w:p>
    <w:p>
      <w:pPr>
        <w:spacing w:after="0" w:line="47" w:lineRule="exact"/>
        <w:rPr>
          <w:sz w:val="20"/>
          <w:szCs w:val="20"/>
          <w:color w:val="auto"/>
        </w:rPr>
      </w:pPr>
    </w:p>
    <w:p>
      <w:pPr>
        <w:jc w:val="center"/>
        <w:ind w:right="1340"/>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136525</wp:posOffset>
            </wp:positionV>
            <wp:extent cx="4955540" cy="1939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55540" cy="193992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136525</wp:posOffset>
            </wp:positionV>
            <wp:extent cx="4955540" cy="1939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5540" cy="1939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2" w:space="720"/>
            <w:col w:w="4240"/>
          </w:cols>
          <w:pgMar w:left="318" w:top="765" w:right="239" w:bottom="8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 w:right="100"/>
        <w:spacing w:after="0"/>
        <w:rPr>
          <w:sz w:val="20"/>
          <w:szCs w:val="20"/>
          <w:color w:val="auto"/>
        </w:rPr>
      </w:pPr>
      <w:r>
        <w:rPr>
          <w:rFonts w:ascii="Arial" w:cs="Arial" w:eastAsia="Arial" w:hAnsi="Arial"/>
          <w:sz w:val="20"/>
          <w:szCs w:val="20"/>
          <w:color w:val="auto"/>
        </w:rPr>
        <w:t>In the QoQ analysis, the increase of +1.3% in Interest income in the fourth quarter (+1.7% adjusted, excluding non-recurring income) was primarily attributable to growth in the volume of structural loans at BCP Stand-alone and Mibanco. The dynamics of interest generation were as follows:</w:t>
      </w:r>
    </w:p>
    <w:p>
      <w:pPr>
        <w:spacing w:after="0" w:line="200" w:lineRule="exact"/>
        <w:rPr>
          <w:sz w:val="20"/>
          <w:szCs w:val="20"/>
          <w:color w:val="auto"/>
        </w:rPr>
      </w:pPr>
    </w:p>
    <w:p>
      <w:pPr>
        <w:ind w:left="582" w:right="100" w:hanging="287"/>
        <w:spacing w:after="0" w:line="287" w:lineRule="auto"/>
        <w:tabs>
          <w:tab w:leader="none" w:pos="5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Volume+mix effect: the volume effect was positive due to growth in structural loans, which was partially offset by a drop in investments. This dynamic generated a more profitable IEA structure.</w:t>
      </w:r>
    </w:p>
    <w:p>
      <w:pPr>
        <w:spacing w:after="0" w:line="173" w:lineRule="exact"/>
        <w:rPr>
          <w:rFonts w:ascii="Arial" w:cs="Arial" w:eastAsia="Arial" w:hAnsi="Arial"/>
          <w:sz w:val="16"/>
          <w:szCs w:val="16"/>
          <w:color w:val="auto"/>
        </w:rPr>
      </w:pPr>
    </w:p>
    <w:p>
      <w:pPr>
        <w:ind w:left="582" w:right="100" w:hanging="287"/>
        <w:spacing w:after="0" w:line="287" w:lineRule="auto"/>
        <w:tabs>
          <w:tab w:leader="none" w:pos="5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Price effect: the price effect was negative due to competitive pressures in Wholesale Banking, which exercised downward pressure on interest rates on loans. This impact was partially offset by growth in yields in the investment portfolio and by an uptick in available funds.</w:t>
      </w:r>
    </w:p>
    <w:p>
      <w:pPr>
        <w:spacing w:after="0" w:line="167" w:lineRule="exact"/>
        <w:rPr>
          <w:sz w:val="20"/>
          <w:szCs w:val="20"/>
          <w:color w:val="auto"/>
        </w:rPr>
      </w:pPr>
    </w:p>
    <w:p>
      <w:pPr>
        <w:jc w:val="both"/>
        <w:ind w:left="2" w:right="100"/>
        <w:spacing w:after="0" w:line="259" w:lineRule="auto"/>
        <w:rPr>
          <w:sz w:val="20"/>
          <w:szCs w:val="20"/>
          <w:color w:val="auto"/>
        </w:rPr>
      </w:pPr>
      <w:r>
        <w:rPr>
          <w:rFonts w:ascii="Arial" w:cs="Arial" w:eastAsia="Arial" w:hAnsi="Arial"/>
          <w:sz w:val="19"/>
          <w:szCs w:val="19"/>
          <w:color w:val="auto"/>
        </w:rPr>
        <w:t>In the YoY analysis, interest income grew +14.4% in the fourth quarter (+9.8% adjusted, excluding non-recurring expenses). This result was driven, in part, by the exchange rate. If we exclude the exchange rate effect, interest income rose 11.4% (+6.9% adjusted), which was mainly attributable to an increase in structural loan volumes and, to a lesser extent, to an uptick in market rates.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20"/>
          <w:szCs w:val="20"/>
          <w:color w:val="auto"/>
        </w:rPr>
        <w:t>In terms of the volume and price effect, the evolution was as follows:</w:t>
      </w:r>
    </w:p>
    <w:p>
      <w:pPr>
        <w:spacing w:after="0" w:line="218" w:lineRule="exact"/>
        <w:rPr>
          <w:sz w:val="20"/>
          <w:szCs w:val="20"/>
          <w:color w:val="auto"/>
        </w:rPr>
      </w:pPr>
    </w:p>
    <w:p>
      <w:pPr>
        <w:ind w:left="582" w:right="100" w:hanging="287"/>
        <w:spacing w:after="0" w:line="287" w:lineRule="auto"/>
        <w:tabs>
          <w:tab w:leader="none" w:pos="5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Volume + mix effect: the effect was positive and was attributable to growth in structural loans. This increase was partially offset through a strategy to shrink the investment portfolio to reduce exposure to interest rate movements.</w:t>
      </w:r>
    </w:p>
    <w:p>
      <w:pPr>
        <w:spacing w:after="0" w:line="200" w:lineRule="exact"/>
        <w:rPr>
          <w:sz w:val="20"/>
          <w:szCs w:val="20"/>
          <w:color w:val="auto"/>
        </w:rPr>
      </w:pPr>
    </w:p>
    <w:p>
      <w:pPr>
        <w:spacing w:after="0" w:line="203"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342"/>
          </w:cols>
          <w:pgMar w:left="318" w:top="765" w:right="239" w:bottom="847" w:gutter="0" w:footer="0" w:header="0"/>
          <w:type w:val="continuous"/>
        </w:sectPr>
      </w:pPr>
    </w:p>
    <w:bookmarkStart w:id="26" w:name="page27"/>
    <w:bookmarkEnd w:id="26"/>
    <w:p>
      <w:pPr>
        <w:ind w:left="580" w:hanging="287"/>
        <w:spacing w:after="0" w:line="287"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Price effect: the effect was positive due to an increase in interest rates, which began in the third quarter of 2021 and has, affected yields on investments and available funds. This growth was partially offset by a drop in active interest rates in Wholesale Banking due to competitive pressures.</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the FY analysis, interest income in 2021 rose +2.6% but fell -1.4% after non-recurring expenses associated with zero-rate loans granted during the pandemic were excluded from the calculation. This reduction was driven by the following dynamics:</w:t>
      </w:r>
    </w:p>
    <w:p>
      <w:pPr>
        <w:spacing w:after="0" w:line="190" w:lineRule="exact"/>
        <w:rPr>
          <w:sz w:val="20"/>
          <w:szCs w:val="20"/>
          <w:color w:val="auto"/>
        </w:rPr>
      </w:pPr>
    </w:p>
    <w:p>
      <w:pPr>
        <w:ind w:left="580" w:hanging="287"/>
        <w:spacing w:after="0" w:line="287"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Price effect: the price effect was negative given that market rates dropped in comparison to those seen in 2020, which impacted the yield of our interest-earning assets.</w:t>
      </w:r>
    </w:p>
    <w:p>
      <w:pPr>
        <w:spacing w:after="0" w:line="173" w:lineRule="exact"/>
        <w:rPr>
          <w:rFonts w:ascii="Arial" w:cs="Arial" w:eastAsia="Arial" w:hAnsi="Arial"/>
          <w:sz w:val="16"/>
          <w:szCs w:val="16"/>
          <w:color w:val="auto"/>
        </w:rPr>
      </w:pPr>
    </w:p>
    <w:p>
      <w:pPr>
        <w:ind w:left="580" w:hanging="287"/>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Volume + mix effect: this effect was positive and was driven by growth in the share of loans and the share of investments in the IEA mix.</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3.2. Interest expenses</w:t>
      </w:r>
    </w:p>
    <w:p>
      <w:pPr>
        <w:sectPr>
          <w:pgSz w:w="11900" w:h="16838" w:orient="portrait"/>
          <w:cols w:equalWidth="0" w:num="1">
            <w:col w:w="11240"/>
          </w:cols>
          <w:pgMar w:left="320" w:top="777" w:right="339" w:bottom="1440" w:gutter="0" w:footer="0" w:header="0"/>
        </w:sectPr>
      </w:pP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Interest expense – local currency</w:t>
      </w:r>
    </w:p>
    <w:p>
      <w:pPr>
        <w:spacing w:after="0" w:line="47" w:lineRule="exact"/>
        <w:rPr>
          <w:sz w:val="20"/>
          <w:szCs w:val="20"/>
          <w:color w:val="auto"/>
        </w:rPr>
      </w:pPr>
    </w:p>
    <w:p>
      <w:pPr>
        <w:jc w:val="center"/>
        <w:ind w:right="980"/>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6123940" cy="20961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23940" cy="2096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Interest expense – foreign currency</w:t>
      </w:r>
    </w:p>
    <w:p>
      <w:pPr>
        <w:spacing w:after="0" w:line="47"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(S/ millions)</w:t>
      </w:r>
    </w:p>
    <w:p>
      <w:pPr>
        <w:spacing w:after="0" w:line="200" w:lineRule="exact"/>
        <w:rPr>
          <w:sz w:val="20"/>
          <w:szCs w:val="20"/>
          <w:color w:val="auto"/>
        </w:rPr>
      </w:pPr>
    </w:p>
    <w:p>
      <w:pPr>
        <w:sectPr>
          <w:pgSz w:w="11900" w:h="16838" w:orient="portrait"/>
          <w:cols w:equalWidth="0" w:num="2">
            <w:col w:w="6360" w:space="720"/>
            <w:col w:w="4160"/>
          </w:cols>
          <w:pgMar w:left="320" w:top="77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In the QoQ analysis, interest expenses in the fourth quarter grew +2.4%; this was primarily attributable to an increase in interest on deposits.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In terms of the mix and price effect, the dynamic was as follows:</w:t>
      </w:r>
    </w:p>
    <w:p>
      <w:pPr>
        <w:spacing w:after="0" w:line="202" w:lineRule="exact"/>
        <w:rPr>
          <w:sz w:val="20"/>
          <w:szCs w:val="20"/>
          <w:color w:val="auto"/>
        </w:rPr>
      </w:pPr>
    </w:p>
    <w:p>
      <w:pPr>
        <w:ind w:left="580" w:hanging="300"/>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 effect: the increase in market rates contributed to growth in interest expenses on deposits.</w:t>
      </w:r>
    </w:p>
    <w:p>
      <w:pPr>
        <w:spacing w:after="0" w:line="233" w:lineRule="exact"/>
        <w:rPr>
          <w:rFonts w:ascii="Arial" w:cs="Arial" w:eastAsia="Arial" w:hAnsi="Arial"/>
          <w:sz w:val="16"/>
          <w:szCs w:val="16"/>
          <w:color w:val="auto"/>
        </w:rPr>
      </w:pPr>
    </w:p>
    <w:p>
      <w:pPr>
        <w:ind w:left="580" w:hanging="300"/>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Volume/mix effect: generated by the move to replace Reactiva funding (low-cost) with bank debt. This contributed to increase interest on loans.</w:t>
      </w:r>
    </w:p>
    <w:p>
      <w:pPr>
        <w:spacing w:after="0" w:line="227" w:lineRule="exact"/>
        <w:rPr>
          <w:sz w:val="20"/>
          <w:szCs w:val="20"/>
          <w:color w:val="auto"/>
        </w:rPr>
      </w:pPr>
    </w:p>
    <w:p>
      <w:pPr>
        <w:spacing w:after="0" w:line="336" w:lineRule="auto"/>
        <w:rPr>
          <w:sz w:val="20"/>
          <w:szCs w:val="20"/>
          <w:color w:val="auto"/>
        </w:rPr>
      </w:pPr>
      <w:r>
        <w:rPr>
          <w:rFonts w:ascii="Arial" w:cs="Arial" w:eastAsia="Arial" w:hAnsi="Arial"/>
          <w:sz w:val="17"/>
          <w:szCs w:val="17"/>
          <w:color w:val="auto"/>
        </w:rPr>
        <w:t>In the YoY analysis, interest expenses fell -3.3% due to an exchange rate effect. If we keep the exchange rate constant, interest expenses fall -8.7% YoY in a context marked by lower interest on deposits, bonds and subordinated notes. This dynamic was driven by the following:</w:t>
      </w:r>
    </w:p>
    <w:p>
      <w:pPr>
        <w:spacing w:after="0" w:line="122" w:lineRule="exact"/>
        <w:rPr>
          <w:sz w:val="20"/>
          <w:szCs w:val="20"/>
          <w:color w:val="auto"/>
        </w:rPr>
      </w:pPr>
    </w:p>
    <w:p>
      <w:pPr>
        <w:ind w:left="580" w:hanging="287"/>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Mix effect: growth in the share of low-cost deposits in the funding mix.</w:t>
      </w:r>
    </w:p>
    <w:p>
      <w:pPr>
        <w:spacing w:after="0" w:line="233"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Price effect: drop in the cost of funding for bonds and issued notes, which was primarily attributable to a subordinated debt management operation at BCP Stand-alone.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the FY analysis, interest expenses fell -16.4% (-16.3% adjusted, excluding non-recurring expenses associated with liability management at BCP Stand-alone). Similar to the YoY dynamic, the drop in interest expenses in 2021 was attributable to a lower-cost funding structure and to a drop in market interest rates.</w:t>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3.3. Net interest margin (NIM) and Risk-adjusted NIM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NIM and Risk Adjusted NIM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150495</wp:posOffset>
            </wp:positionV>
            <wp:extent cx="3669665" cy="2173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69665" cy="217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NIM </w:t>
      </w:r>
      <w:r>
        <w:rPr>
          <w:rFonts w:ascii="Arial" w:cs="Arial" w:eastAsia="Arial" w:hAnsi="Arial"/>
          <w:sz w:val="17"/>
          <w:szCs w:val="17"/>
          <w:color w:val="auto"/>
        </w:rPr>
        <w:t>stood at 4.25% in 4Q21, which topped the 4.23% obtained in 2Q21 and the 3.73% reported in 4Q20. The margin was impacted by non-recurring income associated with impairment amortization in 2020. The impact of non-recurring income on NIM in 4Q21 was positive (+3bps). NIM continued to be negatively impacted by GP loans. The effect of these loans on NIM declined throughout 2021, falling from -39bps in 4Q20 to -32bps in 4Q21. The analysis of structural NIM, which excludes non-recurring events and the effect of GP, indicates that:</w:t>
      </w:r>
    </w:p>
    <w:p>
      <w:pPr>
        <w:spacing w:after="0" w:line="156" w:lineRule="exact"/>
        <w:rPr>
          <w:sz w:val="20"/>
          <w:szCs w:val="20"/>
          <w:color w:val="auto"/>
        </w:rPr>
      </w:pPr>
    </w:p>
    <w:p>
      <w:pPr>
        <w:ind w:left="580" w:hanging="287"/>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Structural Portfolio registered a NIM of 4.54% in 4Q21, which represented an increase of +1bps QoQ, in line with the positive evolution of the IEA mix.</w:t>
      </w:r>
    </w:p>
    <w:p>
      <w:pPr>
        <w:spacing w:after="0" w:line="244" w:lineRule="exact"/>
        <w:rPr>
          <w:rFonts w:ascii="Arial" w:cs="Arial" w:eastAsia="Arial" w:hAnsi="Arial"/>
          <w:sz w:val="15"/>
          <w:szCs w:val="15"/>
          <w:color w:val="auto"/>
        </w:rPr>
      </w:pPr>
    </w:p>
    <w:p>
      <w:pPr>
        <w:ind w:left="580" w:hanging="287"/>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YoY, Structural NIM rose from 4.30% to 4.54%, which represented an increase of +24bp and was attributable to:</w:t>
      </w:r>
    </w:p>
    <w:p>
      <w:pPr>
        <w:spacing w:after="0" w:line="233" w:lineRule="exact"/>
        <w:rPr>
          <w:rFonts w:ascii="Arial" w:cs="Arial" w:eastAsia="Arial" w:hAnsi="Arial"/>
          <w:sz w:val="16"/>
          <w:szCs w:val="16"/>
          <w:color w:val="auto"/>
        </w:rPr>
      </w:pPr>
    </w:p>
    <w:p>
      <w:pPr>
        <w:ind w:left="920" w:hanging="345"/>
        <w:spacing w:after="0" w:line="263" w:lineRule="auto"/>
        <w:tabs>
          <w:tab w:leader="none" w:pos="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Volume+mix effect: Growth in structural loans generated a more profitable mix of IEAs. The uptick in the share of low-cost deposits took place in the context of a less expensive funding structure.</w:t>
      </w:r>
    </w:p>
    <w:p>
      <w:pPr>
        <w:ind w:left="920" w:hanging="345"/>
        <w:spacing w:after="0"/>
        <w:tabs>
          <w:tab w:leader="none" w:pos="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Rate effect: liability management operations led to a reduction in the rates of our fixed income issuances.</w:t>
      </w:r>
    </w:p>
    <w:p>
      <w:pPr>
        <w:spacing w:after="0" w:line="221" w:lineRule="exact"/>
        <w:rPr>
          <w:rFonts w:ascii="Arial" w:cs="Arial" w:eastAsia="Arial" w:hAnsi="Arial"/>
          <w:sz w:val="16"/>
          <w:szCs w:val="16"/>
          <w:color w:val="auto"/>
        </w:rPr>
      </w:pPr>
    </w:p>
    <w:p>
      <w:pPr>
        <w:ind w:left="580" w:hanging="287"/>
        <w:spacing w:after="0" w:line="279" w:lineRule="auto"/>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FY, structural NIM in 2021 fell -20pbs, going from 4.30% in 2020 to 4.10% at the end of 2021. This decline was due to the fact that interest rates in 2021 were lower than those reported in 2020. The aforementioned was partially offset by the dynamics of liabilities, which led financial expenses to fall in 2021.</w:t>
      </w:r>
    </w:p>
    <w:p>
      <w:pPr>
        <w:spacing w:after="0" w:line="231" w:lineRule="auto"/>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The table below provides details of the NIM and Risk-adjusted NIM of Credicorp’s main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60" w:type="dxa"/>
            <w:vAlign w:val="bottom"/>
            <w:vMerge w:val="restart"/>
          </w:tcPr>
          <w:p>
            <w:pPr>
              <w:spacing w:after="0"/>
              <w:rPr>
                <w:sz w:val="20"/>
                <w:szCs w:val="20"/>
                <w:color w:val="auto"/>
              </w:rPr>
            </w:pPr>
            <w:r>
              <w:rPr>
                <w:rFonts w:ascii="Arial" w:cs="Arial" w:eastAsia="Arial" w:hAnsi="Arial"/>
                <w:sz w:val="16"/>
                <w:szCs w:val="16"/>
                <w:b w:val="1"/>
                <w:bCs w:val="1"/>
                <w:color w:val="auto"/>
              </w:rPr>
              <w:t>NIM</w:t>
            </w:r>
          </w:p>
        </w:tc>
        <w:tc>
          <w:tcPr>
            <w:tcW w:w="12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BCP</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6"/>
                <w:szCs w:val="16"/>
                <w:b w:val="1"/>
                <w:bCs w:val="1"/>
                <w:color w:val="auto"/>
              </w:rPr>
              <w:t>BCP</w:t>
            </w:r>
          </w:p>
        </w:tc>
        <w:tc>
          <w:tcPr>
            <w:tcW w:w="110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color w:val="auto"/>
                <w:w w:val="95"/>
              </w:rPr>
              <w:t>Credicorp</w:t>
            </w:r>
          </w:p>
        </w:tc>
        <w:tc>
          <w:tcPr>
            <w:tcW w:w="1420" w:type="dxa"/>
            <w:vAlign w:val="bottom"/>
            <w:vMerge w:val="restart"/>
          </w:tcPr>
          <w:p>
            <w:pPr>
              <w:spacing w:after="0"/>
              <w:rPr>
                <w:sz w:val="20"/>
                <w:szCs w:val="20"/>
                <w:color w:val="auto"/>
              </w:rPr>
            </w:pPr>
            <w:r>
              <w:rPr>
                <w:rFonts w:ascii="Arial" w:cs="Arial" w:eastAsia="Arial" w:hAnsi="Arial"/>
                <w:sz w:val="16"/>
                <w:szCs w:val="16"/>
                <w:b w:val="1"/>
                <w:bCs w:val="1"/>
                <w:color w:val="auto"/>
                <w:w w:val="99"/>
              </w:rPr>
              <w:t>Risk Adjusted NIM</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BCP</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BCP</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5"/>
              </w:rPr>
              <w:t>Credicorp</w:t>
            </w:r>
          </w:p>
        </w:tc>
        <w:tc>
          <w:tcPr>
            <w:tcW w:w="0" w:type="dxa"/>
            <w:vAlign w:val="bottom"/>
          </w:tcPr>
          <w:p>
            <w:pPr>
              <w:spacing w:after="0"/>
              <w:rPr>
                <w:sz w:val="1"/>
                <w:szCs w:val="1"/>
                <w:color w:val="auto"/>
              </w:rPr>
            </w:pPr>
          </w:p>
        </w:tc>
      </w:tr>
      <w:tr>
        <w:trPr>
          <w:trHeight w:val="98"/>
        </w:trPr>
        <w:tc>
          <w:tcPr>
            <w:tcW w:w="1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Stand-</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Mibanco</w:t>
            </w:r>
          </w:p>
        </w:tc>
        <w:tc>
          <w:tcPr>
            <w:tcW w:w="104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Stand-</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rPr>
              <w:t>Mibanco</w:t>
            </w:r>
          </w:p>
        </w:tc>
        <w:tc>
          <w:tcPr>
            <w:tcW w:w="10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60" w:type="dxa"/>
            <w:vAlign w:val="bottom"/>
            <w:vMerge w:val="restart"/>
          </w:tcPr>
          <w:p>
            <w:pPr>
              <w:spacing w:after="0"/>
              <w:rPr>
                <w:sz w:val="20"/>
                <w:szCs w:val="20"/>
                <w:color w:val="auto"/>
              </w:rPr>
            </w:pPr>
            <w:r>
              <w:rPr>
                <w:rFonts w:ascii="Arial" w:cs="Arial" w:eastAsia="Arial" w:hAnsi="Arial"/>
                <w:sz w:val="16"/>
                <w:szCs w:val="16"/>
                <w:b w:val="1"/>
                <w:bCs w:val="1"/>
                <w:color w:val="auto"/>
              </w:rPr>
              <w:t>Breakdown</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Bolivia</w:t>
            </w:r>
          </w:p>
        </w:tc>
        <w:tc>
          <w:tcPr>
            <w:tcW w:w="78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restart"/>
          </w:tcPr>
          <w:p>
            <w:pPr>
              <w:spacing w:after="0"/>
              <w:rPr>
                <w:sz w:val="20"/>
                <w:szCs w:val="20"/>
                <w:color w:val="auto"/>
              </w:rPr>
            </w:pPr>
            <w:r>
              <w:rPr>
                <w:rFonts w:ascii="Arial" w:cs="Arial" w:eastAsia="Arial" w:hAnsi="Arial"/>
                <w:sz w:val="16"/>
                <w:szCs w:val="16"/>
                <w:b w:val="1"/>
                <w:bCs w:val="1"/>
                <w:color w:val="auto"/>
              </w:rPr>
              <w:t>Breakdown</w:t>
            </w: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Bolivia</w:t>
            </w:r>
          </w:p>
        </w:tc>
        <w:tc>
          <w:tcPr>
            <w:tcW w:w="78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alone</w:t>
            </w:r>
          </w:p>
        </w:tc>
        <w:tc>
          <w:tcPr>
            <w:tcW w:w="24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alone</w:t>
            </w:r>
          </w:p>
        </w:tc>
        <w:tc>
          <w:tcPr>
            <w:tcW w:w="26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4Q20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3.73%</w:t>
            </w:r>
          </w:p>
        </w:tc>
        <w:tc>
          <w:tcPr>
            <w:tcW w:w="10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4Q20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b w:val="1"/>
                <w:bCs w:val="1"/>
                <w:color w:val="auto"/>
              </w:rPr>
              <w:t>3Q21</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3.57%</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12.59%</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3.23%</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4.23%</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6"/>
                <w:szCs w:val="16"/>
                <w:b w:val="1"/>
                <w:bCs w:val="1"/>
                <w:color w:val="auto"/>
              </w:rPr>
              <w:t>3Q21</w:t>
            </w: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3.49%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9.46%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2.47%</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3.95%</w:t>
            </w:r>
          </w:p>
        </w:tc>
        <w:tc>
          <w:tcPr>
            <w:tcW w:w="0" w:type="dxa"/>
            <w:vAlign w:val="bottom"/>
          </w:tcPr>
          <w:p>
            <w:pPr>
              <w:spacing w:after="0"/>
              <w:rPr>
                <w:sz w:val="1"/>
                <w:szCs w:val="1"/>
                <w:color w:val="auto"/>
              </w:rPr>
            </w:pPr>
          </w:p>
        </w:tc>
      </w:tr>
      <w:tr>
        <w:trPr>
          <w:trHeight w:val="221"/>
        </w:trPr>
        <w:tc>
          <w:tcPr>
            <w:tcW w:w="1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4Q21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3.68%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4.25%</w:t>
            </w:r>
          </w:p>
        </w:tc>
        <w:tc>
          <w:tcPr>
            <w:tcW w:w="100" w:type="dxa"/>
            <w:vAlign w:val="bottom"/>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4Q21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4.04%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20"/>
                <w:szCs w:val="20"/>
                <w:color w:val="auto"/>
              </w:rPr>
            </w:pPr>
            <w:r>
              <w:rPr>
                <w:rFonts w:ascii="Arial" w:cs="Arial" w:eastAsia="Arial" w:hAnsi="Arial"/>
                <w:sz w:val="16"/>
                <w:szCs w:val="16"/>
                <w:b w:val="1"/>
                <w:bCs w:val="1"/>
                <w:color w:val="auto"/>
              </w:rPr>
              <w:t>2020</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3.94%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10.84%</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1.81%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4.30%</w:t>
            </w:r>
          </w:p>
        </w:tc>
        <w:tc>
          <w:tcPr>
            <w:tcW w:w="10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6"/>
                <w:szCs w:val="16"/>
                <w:b w:val="1"/>
                <w:bCs w:val="1"/>
                <w:color w:val="auto"/>
              </w:rPr>
              <w:t>2020</w:t>
            </w: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1.02%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3.22%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-0.63%</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w:t>
            </w:r>
          </w:p>
        </w:tc>
        <w:tc>
          <w:tcPr>
            <w:tcW w:w="0" w:type="dxa"/>
            <w:vAlign w:val="bottom"/>
          </w:tcPr>
          <w:p>
            <w:pPr>
              <w:spacing w:after="0"/>
              <w:rPr>
                <w:sz w:val="1"/>
                <w:szCs w:val="1"/>
                <w:color w:val="auto"/>
              </w:rPr>
            </w:pPr>
          </w:p>
        </w:tc>
      </w:tr>
      <w:tr>
        <w:trPr>
          <w:trHeight w:val="221"/>
        </w:trPr>
        <w:tc>
          <w:tcPr>
            <w:tcW w:w="1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3.52%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4.10%</w:t>
            </w:r>
          </w:p>
        </w:tc>
        <w:tc>
          <w:tcPr>
            <w:tcW w:w="100" w:type="dxa"/>
            <w:vAlign w:val="bottom"/>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NIM: Annualized Net interest income / Average period end and period beginning interest earning assets. Risk-Adjusted NIM: (Annualized Net interest income - annualized provisions) / Average period end and period beginning interest earning assets.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(1) Credicorp also includes Mibanco colombia, Credicorp Capital, Prima, Pacífico, ASB and Eliminations for consolidation purposes.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dynamics of NIM at BCP Stand-alone, which is the largest contributor to consolidated NIM at the Credicorp level, followed the same patterns as those described for Credicorp. As such the paragraphs that follow focus on Mibanco and BCP Bolivia, which represent smaller but nonetheless important components of consolidated NIM:</w:t>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both"/>
        <w:ind w:left="582" w:hanging="287"/>
        <w:spacing w:after="0" w:line="212" w:lineRule="auto"/>
        <w:tabs>
          <w:tab w:leader="none" w:pos="582"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Mibanco Perú registered an increase in NIM of +24bps QoQ, +262bps YoY and +101bps FY due to (i) the evolution of structural loans and (ii) reversals of interest reimbursements on reprogrammed loans that became delinquent</w:t>
      </w:r>
      <w:r>
        <w:rPr>
          <w:rFonts w:ascii="Arial" w:cs="Arial" w:eastAsia="Arial" w:hAnsi="Arial"/>
          <w:sz w:val="27"/>
          <w:szCs w:val="27"/>
          <w:color w:val="auto"/>
          <w:vertAlign w:val="superscript"/>
        </w:rPr>
        <w:t>1</w:t>
      </w:r>
      <w:r>
        <w:rPr>
          <w:rFonts w:ascii="Arial" w:cs="Arial" w:eastAsia="Arial" w:hAnsi="Arial"/>
          <w:sz w:val="16"/>
          <w:szCs w:val="16"/>
          <w:color w:val="auto"/>
        </w:rPr>
        <w:t>. These reversals are made once we write off the corresponding portfolios because reimbursed interest is also included in loan provisions for loans that became delinquent.</w:t>
      </w:r>
    </w:p>
    <w:p>
      <w:pPr>
        <w:spacing w:after="0" w:line="210" w:lineRule="exact"/>
        <w:rPr>
          <w:rFonts w:ascii="Arial" w:cs="Arial" w:eastAsia="Arial" w:hAnsi="Arial"/>
          <w:sz w:val="16"/>
          <w:szCs w:val="16"/>
          <w:color w:val="auto"/>
        </w:rPr>
      </w:pPr>
    </w:p>
    <w:p>
      <w:pPr>
        <w:jc w:val="both"/>
        <w:ind w:left="582" w:hanging="287"/>
        <w:spacing w:after="0" w:line="266" w:lineRule="auto"/>
        <w:tabs>
          <w:tab w:leader="none" w:pos="5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QoQ, BCP Bolivia registered a drop of -52pbs in its margin due to the reduction of loan volumes, which was mainly attributable to a decrease in its appetite for retail and micro loans. The latter was partially offset by an increase in disbursements in the wholesale banking segments. YoY and FY, NIM rose +570bps and+112bps respectively. This result was primarily driven by the base effect generated by impairment associated with loans granted in 4Q20 in the context of the pandemic.</w:t>
      </w:r>
    </w:p>
    <w:p>
      <w:pPr>
        <w:spacing w:after="0" w:line="178" w:lineRule="exact"/>
        <w:rPr>
          <w:sz w:val="20"/>
          <w:szCs w:val="20"/>
          <w:color w:val="auto"/>
        </w:rPr>
      </w:pPr>
    </w:p>
    <w:p>
      <w:pPr>
        <w:ind w:left="2"/>
        <w:spacing w:after="0" w:line="256" w:lineRule="auto"/>
        <w:rPr>
          <w:sz w:val="20"/>
          <w:szCs w:val="20"/>
          <w:color w:val="auto"/>
        </w:rPr>
      </w:pPr>
      <w:r>
        <w:rPr>
          <w:rFonts w:ascii="Arial" w:cs="Arial" w:eastAsia="Arial" w:hAnsi="Arial"/>
          <w:sz w:val="20"/>
          <w:szCs w:val="20"/>
          <w:b w:val="1"/>
          <w:bCs w:val="1"/>
          <w:color w:val="auto"/>
        </w:rPr>
        <w:t xml:space="preserve">Risk-adjusted NIM </w:t>
      </w:r>
      <w:r>
        <w:rPr>
          <w:rFonts w:ascii="Arial" w:cs="Arial" w:eastAsia="Arial" w:hAnsi="Arial"/>
          <w:sz w:val="20"/>
          <w:szCs w:val="20"/>
          <w:color w:val="auto"/>
        </w:rPr>
        <w:t>rose +9bps QoQ, which was attributable to the positive evolution of the IEA mix. This indicator rose +163bps YoY and</w:t>
      </w:r>
      <w:r>
        <w:rPr>
          <w:rFonts w:ascii="Arial" w:cs="Arial" w:eastAsia="Arial" w:hAnsi="Arial"/>
          <w:sz w:val="20"/>
          <w:szCs w:val="20"/>
          <w:b w:val="1"/>
          <w:bCs w:val="1"/>
          <w:color w:val="auto"/>
        </w:rPr>
        <w:t xml:space="preserve"> </w:t>
      </w:r>
      <w:r>
        <w:rPr>
          <w:rFonts w:ascii="Arial" w:cs="Arial" w:eastAsia="Arial" w:hAnsi="Arial"/>
          <w:sz w:val="20"/>
          <w:szCs w:val="20"/>
          <w:color w:val="auto"/>
        </w:rPr>
        <w:t>+224pbs FY due to a significant reduction in provisions and to the factors that drove the variation 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43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4350" cy="1587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 w:right="340" w:hanging="2"/>
        <w:spacing w:after="0" w:line="185" w:lineRule="auto"/>
        <w:tabs>
          <w:tab w:leader="none" w:pos="133" w:val="left"/>
        </w:tabs>
        <w:numPr>
          <w:ilvl w:val="0"/>
          <w:numId w:val="29"/>
        </w:numPr>
        <w:rPr>
          <w:rFonts w:ascii="Arial" w:cs="Arial" w:eastAsia="Arial" w:hAnsi="Arial"/>
          <w:sz w:val="33"/>
          <w:szCs w:val="33"/>
          <w:color w:val="auto"/>
          <w:vertAlign w:val="superscript"/>
        </w:rPr>
      </w:pPr>
      <w:r>
        <w:rPr>
          <w:rFonts w:ascii="Arial" w:cs="Arial" w:eastAsia="Arial" w:hAnsi="Arial"/>
          <w:sz w:val="20"/>
          <w:szCs w:val="20"/>
          <w:color w:val="auto"/>
        </w:rPr>
        <w:t>In 2021, we registered provisions for interest income that was accrued over the reprogrammed loans grace periods and was not paid-back when grace periods expired due to delinquency.</w:t>
      </w:r>
    </w:p>
    <w:p>
      <w:pPr>
        <w:spacing w:after="0" w:line="200" w:lineRule="exact"/>
        <w:rPr>
          <w:sz w:val="20"/>
          <w:szCs w:val="20"/>
          <w:color w:val="auto"/>
        </w:rPr>
      </w:pPr>
    </w:p>
    <w:p>
      <w:pPr>
        <w:spacing w:after="0" w:line="229"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77"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91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8550" cy="659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30" w:name="page31"/>
    <w:bookmarkEnd w:id="30"/>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4. Portfolio Quality</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4.1. Provisions and CofR</w:t>
      </w:r>
    </w:p>
    <w:p>
      <w:pPr>
        <w:spacing w:after="0" w:line="200" w:lineRule="exact"/>
        <w:rPr>
          <w:sz w:val="20"/>
          <w:szCs w:val="20"/>
          <w:color w:val="auto"/>
        </w:rPr>
      </w:pPr>
    </w:p>
    <w:p>
      <w:pPr>
        <w:spacing w:after="0" w:line="241"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320" w:type="dxa"/>
            <w:vAlign w:val="bottom"/>
            <w:gridSpan w:val="5"/>
          </w:tcPr>
          <w:p>
            <w:pPr>
              <w:spacing w:after="0"/>
              <w:rPr>
                <w:sz w:val="20"/>
                <w:szCs w:val="20"/>
                <w:color w:val="auto"/>
              </w:rPr>
            </w:pPr>
            <w:r>
              <w:rPr>
                <w:rFonts w:ascii="Arial" w:cs="Arial" w:eastAsia="Arial" w:hAnsi="Arial"/>
                <w:sz w:val="16"/>
                <w:szCs w:val="16"/>
                <w:b w:val="1"/>
                <w:bCs w:val="1"/>
                <w:color w:val="auto"/>
                <w:w w:val="98"/>
              </w:rPr>
              <w:t>Provision for credit losses on loan portfolio,</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300" w:type="dxa"/>
            <w:vAlign w:val="bottom"/>
          </w:tcPr>
          <w:p>
            <w:pPr>
              <w:spacing w:after="0"/>
              <w:rPr>
                <w:sz w:val="20"/>
                <w:szCs w:val="20"/>
                <w:color w:val="auto"/>
              </w:rPr>
            </w:pPr>
            <w:r>
              <w:rPr>
                <w:rFonts w:ascii="Arial" w:cs="Arial" w:eastAsia="Arial" w:hAnsi="Arial"/>
                <w:sz w:val="16"/>
                <w:szCs w:val="16"/>
                <w:b w:val="1"/>
                <w:bCs w:val="1"/>
                <w:color w:val="auto"/>
              </w:rPr>
              <w:t>net of recoveries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98"/>
              <w:spacing w:after="0"/>
              <w:rPr>
                <w:sz w:val="20"/>
                <w:szCs w:val="20"/>
                <w:color w:val="auto"/>
              </w:rPr>
            </w:pPr>
            <w:r>
              <w:rPr>
                <w:rFonts w:ascii="Arial" w:cs="Arial" w:eastAsia="Arial" w:hAnsi="Arial"/>
                <w:sz w:val="16"/>
                <w:szCs w:val="16"/>
                <w:b w:val="1"/>
                <w:bCs w:val="1"/>
                <w:color w:val="auto"/>
              </w:rPr>
              <w:t>Quarter</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9"/>
          </w:tcPr>
          <w:p>
            <w:pPr>
              <w:jc w:val="right"/>
              <w:ind w:right="800"/>
              <w:spacing w:after="0"/>
              <w:rPr>
                <w:sz w:val="20"/>
                <w:szCs w:val="20"/>
                <w:color w:val="auto"/>
              </w:rPr>
            </w:pPr>
            <w:r>
              <w:rPr>
                <w:rFonts w:ascii="Arial" w:cs="Arial" w:eastAsia="Arial" w:hAnsi="Arial"/>
                <w:sz w:val="16"/>
                <w:szCs w:val="16"/>
                <w:b w:val="1"/>
                <w:bCs w:val="1"/>
                <w:color w:val="auto"/>
              </w:rPr>
              <w:t>% change</w:t>
            </w:r>
          </w:p>
        </w:tc>
        <w:tc>
          <w:tcPr>
            <w:tcW w:w="760" w:type="dxa"/>
            <w:vAlign w:val="bottom"/>
          </w:tcPr>
          <w:p>
            <w:pPr>
              <w:spacing w:after="0"/>
              <w:rPr>
                <w:sz w:val="18"/>
                <w:szCs w:val="18"/>
                <w:color w:val="auto"/>
              </w:rPr>
            </w:pPr>
          </w:p>
        </w:tc>
        <w:tc>
          <w:tcPr>
            <w:tcW w:w="400" w:type="dxa"/>
            <w:vAlign w:val="bottom"/>
            <w:gridSpan w:val="4"/>
          </w:tcPr>
          <w:p>
            <w:pPr>
              <w:ind w:left="40"/>
              <w:spacing w:after="0"/>
              <w:rPr>
                <w:sz w:val="20"/>
                <w:szCs w:val="20"/>
                <w:color w:val="auto"/>
              </w:rPr>
            </w:pPr>
            <w:r>
              <w:rPr>
                <w:rFonts w:ascii="Arial" w:cs="Arial" w:eastAsia="Arial" w:hAnsi="Arial"/>
                <w:sz w:val="16"/>
                <w:szCs w:val="16"/>
                <w:b w:val="1"/>
                <w:bCs w:val="1"/>
                <w:color w:val="auto"/>
                <w:w w:val="97"/>
              </w:rPr>
              <w:t>Year</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6"/>
              </w:rPr>
              <w:t>% change</w:t>
            </w:r>
          </w:p>
        </w:tc>
      </w:tr>
      <w:tr>
        <w:trPr>
          <w:trHeight w:val="190"/>
        </w:trPr>
        <w:tc>
          <w:tcPr>
            <w:tcW w:w="2300" w:type="dxa"/>
            <w:vAlign w:val="bottom"/>
          </w:tcPr>
          <w:p>
            <w:pPr>
              <w:spacing w:after="0"/>
              <w:rPr>
                <w:sz w:val="20"/>
                <w:szCs w:val="20"/>
                <w:color w:val="auto"/>
              </w:rPr>
            </w:pPr>
            <w:r>
              <w:rPr>
                <w:rFonts w:ascii="Arial" w:cs="Arial" w:eastAsia="Arial" w:hAnsi="Arial"/>
                <w:sz w:val="16"/>
                <w:szCs w:val="16"/>
                <w:b w:val="1"/>
                <w:bCs w:val="1"/>
                <w:color w:val="auto"/>
              </w:rPr>
              <w:t>S/ 000</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4Q20</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right"/>
              <w:ind w:right="258"/>
              <w:spacing w:after="0"/>
              <w:rPr>
                <w:sz w:val="20"/>
                <w:szCs w:val="20"/>
                <w:color w:val="auto"/>
              </w:rPr>
            </w:pPr>
            <w:r>
              <w:rPr>
                <w:rFonts w:ascii="Arial" w:cs="Arial" w:eastAsia="Arial" w:hAnsi="Arial"/>
                <w:sz w:val="16"/>
                <w:szCs w:val="16"/>
                <w:b w:val="1"/>
                <w:bCs w:val="1"/>
                <w:color w:val="auto"/>
                <w:w w:val="96"/>
              </w:rPr>
              <w:t>3Q21</w:t>
            </w:r>
          </w:p>
        </w:tc>
        <w:tc>
          <w:tcPr>
            <w:tcW w:w="800" w:type="dxa"/>
            <w:vAlign w:val="bottom"/>
            <w:tcBorders>
              <w:top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4Q21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QoQ</w:t>
            </w:r>
          </w:p>
        </w:tc>
        <w:tc>
          <w:tcPr>
            <w:tcW w:w="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YoY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 / 2020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304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6"/>
                <w:szCs w:val="16"/>
                <w:color w:val="auto"/>
              </w:rPr>
              <w:t>Gross provision for credit losses on loan</w:t>
            </w:r>
          </w:p>
        </w:tc>
        <w:tc>
          <w:tcPr>
            <w:tcW w:w="8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9"/>
        </w:trPr>
        <w:tc>
          <w:tcPr>
            <w:tcW w:w="2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0"/>
              </w:rPr>
              <w:t>(785,194)</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8"/>
              <w:spacing w:after="0"/>
              <w:rPr>
                <w:sz w:val="20"/>
                <w:szCs w:val="20"/>
                <w:color w:val="auto"/>
              </w:rPr>
            </w:pPr>
            <w:r>
              <w:rPr>
                <w:rFonts w:ascii="Arial" w:cs="Arial" w:eastAsia="Arial" w:hAnsi="Arial"/>
                <w:sz w:val="16"/>
                <w:szCs w:val="16"/>
                <w:color w:val="auto"/>
              </w:rPr>
              <w:t>(265,158)</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(229,804)</w:t>
            </w: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-13.3%</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(6,080,289)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7"/>
              </w:rPr>
              <w:t>(1,558,951)</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r>
      <w:tr>
        <w:trPr>
          <w:trHeight w:val="196"/>
        </w:trPr>
        <w:tc>
          <w:tcPr>
            <w:tcW w:w="230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52,529</w:t>
            </w:r>
          </w:p>
        </w:tc>
        <w:tc>
          <w:tcPr>
            <w:tcW w:w="100" w:type="dxa"/>
            <w:vAlign w:val="bottom"/>
          </w:tcPr>
          <w:p>
            <w:pPr>
              <w:spacing w:after="0"/>
              <w:rPr>
                <w:sz w:val="17"/>
                <w:szCs w:val="17"/>
                <w:color w:val="auto"/>
              </w:rPr>
            </w:pPr>
          </w:p>
        </w:tc>
        <w:tc>
          <w:tcPr>
            <w:tcW w:w="880" w:type="dxa"/>
            <w:vAlign w:val="bottom"/>
            <w:gridSpan w:val="4"/>
          </w:tcPr>
          <w:p>
            <w:pPr>
              <w:jc w:val="right"/>
              <w:ind w:right="98"/>
              <w:spacing w:after="0"/>
              <w:rPr>
                <w:sz w:val="20"/>
                <w:szCs w:val="20"/>
                <w:color w:val="auto"/>
              </w:rPr>
            </w:pPr>
            <w:r>
              <w:rPr>
                <w:rFonts w:ascii="Arial" w:cs="Arial" w:eastAsia="Arial" w:hAnsi="Arial"/>
                <w:sz w:val="16"/>
                <w:szCs w:val="16"/>
                <w:color w:val="auto"/>
              </w:rPr>
              <w:t>100,744</w:t>
            </w: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103,022</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2.3%</w:t>
            </w: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96.1%</w:t>
            </w:r>
          </w:p>
        </w:tc>
        <w:tc>
          <w:tcPr>
            <w:tcW w:w="140" w:type="dxa"/>
            <w:vAlign w:val="bottom"/>
          </w:tcPr>
          <w:p>
            <w:pPr>
              <w:spacing w:after="0"/>
              <w:rPr>
                <w:sz w:val="17"/>
                <w:szCs w:val="17"/>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159,781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346,728</w:t>
            </w:r>
          </w:p>
        </w:tc>
        <w:tc>
          <w:tcPr>
            <w:tcW w:w="1040" w:type="dxa"/>
            <w:vAlign w:val="bottom"/>
            <w:gridSpan w:val="4"/>
          </w:tcPr>
          <w:p>
            <w:pPr>
              <w:jc w:val="right"/>
              <w:ind w:right="20"/>
              <w:spacing w:after="0"/>
              <w:rPr>
                <w:sz w:val="20"/>
                <w:szCs w:val="20"/>
                <w:color w:val="auto"/>
              </w:rPr>
            </w:pPr>
            <w:r>
              <w:rPr>
                <w:rFonts w:ascii="Arial" w:cs="Arial" w:eastAsia="Arial" w:hAnsi="Arial"/>
                <w:sz w:val="16"/>
                <w:szCs w:val="16"/>
                <w:color w:val="auto"/>
              </w:rPr>
              <w:t>117.0%</w:t>
            </w:r>
          </w:p>
        </w:tc>
      </w:tr>
      <w:tr>
        <w:trPr>
          <w:trHeight w:val="180"/>
        </w:trPr>
        <w:tc>
          <w:tcPr>
            <w:tcW w:w="3320" w:type="dxa"/>
            <w:vAlign w:val="bottom"/>
            <w:gridSpan w:val="5"/>
            <w:shd w:val="clear" w:color="auto" w:fill="CCEEFF"/>
          </w:tcPr>
          <w:p>
            <w:pPr>
              <w:spacing w:after="0" w:line="180" w:lineRule="exact"/>
              <w:rPr>
                <w:sz w:val="20"/>
                <w:szCs w:val="20"/>
                <w:color w:val="auto"/>
              </w:rPr>
            </w:pPr>
            <w:r>
              <w:rPr>
                <w:rFonts w:ascii="Arial" w:cs="Arial" w:eastAsia="Arial" w:hAnsi="Arial"/>
                <w:sz w:val="16"/>
                <w:szCs w:val="16"/>
                <w:b w:val="1"/>
                <w:bCs w:val="1"/>
                <w:color w:val="auto"/>
                <w:w w:val="98"/>
              </w:rPr>
              <w:t>Provision for credit losses on loan portfolio,</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3"/>
        </w:trPr>
        <w:tc>
          <w:tcPr>
            <w:tcW w:w="2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of recoveries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0"/>
              </w:rPr>
              <w:t>(732,665)</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(164,414)</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(126,782)</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-22.9%</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(5,920,508)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7"/>
              </w:rPr>
              <w:t>(1,212,223)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-79.5%</w:t>
            </w:r>
          </w:p>
        </w:tc>
      </w:tr>
      <w:tr>
        <w:trPr>
          <w:trHeight w:val="612"/>
        </w:trPr>
        <w:tc>
          <w:tcPr>
            <w:tcW w:w="2300" w:type="dxa"/>
            <w:vAlign w:val="bottom"/>
          </w:tcPr>
          <w:p>
            <w:pPr>
              <w:spacing w:after="0"/>
              <w:rPr>
                <w:sz w:val="20"/>
                <w:szCs w:val="20"/>
                <w:color w:val="auto"/>
              </w:rPr>
            </w:pPr>
            <w:r>
              <w:rPr>
                <w:rFonts w:ascii="Arial" w:cs="Arial" w:eastAsia="Arial" w:hAnsi="Arial"/>
                <w:sz w:val="16"/>
                <w:szCs w:val="16"/>
                <w:b w:val="1"/>
                <w:bCs w:val="1"/>
                <w:color w:val="auto"/>
              </w:rPr>
              <w:t>Cost of risk and Provisions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160"/>
              <w:spacing w:after="0"/>
              <w:rPr>
                <w:sz w:val="20"/>
                <w:szCs w:val="20"/>
                <w:color w:val="auto"/>
              </w:rPr>
            </w:pPr>
            <w:r>
              <w:rPr>
                <w:rFonts w:ascii="Arial" w:cs="Arial" w:eastAsia="Arial" w:hAnsi="Arial"/>
                <w:sz w:val="16"/>
                <w:szCs w:val="16"/>
                <w:b w:val="1"/>
                <w:bCs w:val="1"/>
                <w:color w:val="auto"/>
                <w:w w:val="96"/>
              </w:rPr>
              <w:t>Quarter</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9"/>
          </w:tcPr>
          <w:p>
            <w:pPr>
              <w:jc w:val="right"/>
              <w:ind w:right="102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5"/>
          </w:tcPr>
          <w:p>
            <w:pPr>
              <w:ind w:left="720"/>
              <w:spacing w:after="0"/>
              <w:rPr>
                <w:sz w:val="20"/>
                <w:szCs w:val="20"/>
                <w:color w:val="auto"/>
              </w:rPr>
            </w:pPr>
            <w:r>
              <w:rPr>
                <w:rFonts w:ascii="Arial" w:cs="Arial" w:eastAsia="Arial" w:hAnsi="Arial"/>
                <w:sz w:val="16"/>
                <w:szCs w:val="16"/>
                <w:b w:val="1"/>
                <w:bCs w:val="1"/>
                <w:color w:val="auto"/>
              </w:rPr>
              <w:t>Year</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 change</w:t>
            </w:r>
          </w:p>
        </w:tc>
      </w:tr>
      <w:tr>
        <w:trPr>
          <w:trHeight w:val="202"/>
        </w:trPr>
        <w:tc>
          <w:tcPr>
            <w:tcW w:w="2300" w:type="dxa"/>
            <w:vAlign w:val="bottom"/>
          </w:tcPr>
          <w:p>
            <w:pPr>
              <w:spacing w:after="0"/>
              <w:rPr>
                <w:sz w:val="17"/>
                <w:szCs w:val="17"/>
                <w:color w:val="auto"/>
              </w:rPr>
            </w:pPr>
          </w:p>
        </w:tc>
        <w:tc>
          <w:tcPr>
            <w:tcW w:w="88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4Q20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3Q21</w:t>
            </w:r>
          </w:p>
        </w:tc>
        <w:tc>
          <w:tcPr>
            <w:tcW w:w="1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4Q21</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spacing w:after="0"/>
              <w:rPr>
                <w:sz w:val="17"/>
                <w:szCs w:val="17"/>
                <w:color w:val="auto"/>
              </w:rPr>
            </w:pPr>
          </w:p>
        </w:tc>
        <w:tc>
          <w:tcPr>
            <w:tcW w:w="680" w:type="dxa"/>
            <w:vAlign w:val="bottom"/>
            <w:tcBorders>
              <w:top w:val="single" w:sz="8" w:color="auto"/>
              <w:bottom w:val="single" w:sz="8" w:color="auto"/>
            </w:tcBorders>
            <w:gridSpan w:val="2"/>
          </w:tcPr>
          <w:p>
            <w:pPr>
              <w:jc w:val="center"/>
              <w:ind w:right="38"/>
              <w:spacing w:after="0"/>
              <w:rPr>
                <w:sz w:val="20"/>
                <w:szCs w:val="20"/>
                <w:color w:val="auto"/>
              </w:rPr>
            </w:pPr>
            <w:r>
              <w:rPr>
                <w:rFonts w:ascii="Arial" w:cs="Arial" w:eastAsia="Arial" w:hAnsi="Arial"/>
                <w:sz w:val="16"/>
                <w:szCs w:val="16"/>
                <w:b w:val="1"/>
                <w:bCs w:val="1"/>
                <w:color w:val="auto"/>
                <w:w w:val="92"/>
              </w:rPr>
              <w:t>QoQ</w:t>
            </w:r>
          </w:p>
        </w:tc>
        <w:tc>
          <w:tcPr>
            <w:tcW w:w="22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96"/>
              </w:rPr>
              <w:t>YoY</w:t>
            </w:r>
          </w:p>
        </w:tc>
        <w:tc>
          <w:tcPr>
            <w:tcW w:w="22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center"/>
              <w:ind w:left="38"/>
              <w:spacing w:after="0"/>
              <w:rPr>
                <w:sz w:val="20"/>
                <w:szCs w:val="20"/>
                <w:color w:val="auto"/>
              </w:rPr>
            </w:pPr>
            <w:r>
              <w:rPr>
                <w:rFonts w:ascii="Arial" w:cs="Arial" w:eastAsia="Arial" w:hAnsi="Arial"/>
                <w:sz w:val="16"/>
                <w:szCs w:val="16"/>
                <w:b w:val="1"/>
                <w:bCs w:val="1"/>
                <w:color w:val="auto"/>
                <w:w w:val="92"/>
              </w:rPr>
              <w:t>2021 / 2020</w:t>
            </w:r>
          </w:p>
        </w:tc>
        <w:tc>
          <w:tcPr>
            <w:tcW w:w="100" w:type="dxa"/>
            <w:vAlign w:val="bottom"/>
          </w:tcPr>
          <w:p>
            <w:pPr>
              <w:spacing w:after="0"/>
              <w:rPr>
                <w:sz w:val="17"/>
                <w:szCs w:val="17"/>
                <w:color w:val="auto"/>
              </w:rPr>
            </w:pPr>
          </w:p>
        </w:tc>
      </w:tr>
      <w:tr>
        <w:trPr>
          <w:trHeight w:val="189"/>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Cost of risk (1)</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6"/>
                <w:szCs w:val="16"/>
                <w:color w:val="auto"/>
              </w:rPr>
            </w:pPr>
          </w:p>
        </w:tc>
        <w:tc>
          <w:tcPr>
            <w:tcW w:w="11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color w:val="auto"/>
              </w:rPr>
              <w:t>0.45%</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right="38"/>
              <w:spacing w:after="0"/>
              <w:rPr>
                <w:sz w:val="20"/>
                <w:szCs w:val="20"/>
                <w:color w:val="auto"/>
              </w:rPr>
            </w:pPr>
            <w:r>
              <w:rPr>
                <w:rFonts w:ascii="Arial" w:cs="Arial" w:eastAsia="Arial" w:hAnsi="Arial"/>
                <w:sz w:val="16"/>
                <w:szCs w:val="16"/>
                <w:color w:val="auto"/>
                <w:w w:val="89"/>
              </w:rPr>
              <w:t>-11 bps</w:t>
            </w:r>
          </w:p>
        </w:tc>
        <w:tc>
          <w:tcPr>
            <w:tcW w:w="22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-179 bps</w:t>
            </w:r>
          </w:p>
        </w:tc>
        <w:tc>
          <w:tcPr>
            <w:tcW w:w="22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4.30%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0.82%</w:t>
            </w:r>
          </w:p>
        </w:tc>
        <w:tc>
          <w:tcPr>
            <w:tcW w:w="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center"/>
              <w:ind w:left="38"/>
              <w:spacing w:after="0"/>
              <w:rPr>
                <w:sz w:val="20"/>
                <w:szCs w:val="20"/>
                <w:color w:val="auto"/>
              </w:rPr>
            </w:pPr>
            <w:r>
              <w:rPr>
                <w:rFonts w:ascii="Arial" w:cs="Arial" w:eastAsia="Arial" w:hAnsi="Arial"/>
                <w:sz w:val="16"/>
                <w:szCs w:val="16"/>
                <w:color w:val="auto"/>
                <w:w w:val="93"/>
              </w:rPr>
              <w:t>-348 bps</w:t>
            </w:r>
          </w:p>
        </w:tc>
        <w:tc>
          <w:tcPr>
            <w:tcW w:w="100" w:type="dxa"/>
            <w:vAlign w:val="bottom"/>
            <w:shd w:val="clear" w:color="auto" w:fill="CCEEFF"/>
          </w:tcPr>
          <w:p>
            <w:pPr>
              <w:spacing w:after="0"/>
              <w:rPr>
                <w:sz w:val="16"/>
                <w:szCs w:val="16"/>
                <w:color w:val="auto"/>
              </w:rPr>
            </w:pPr>
          </w:p>
        </w:tc>
      </w:tr>
      <w:tr>
        <w:trPr>
          <w:trHeight w:val="208"/>
        </w:trPr>
        <w:tc>
          <w:tcPr>
            <w:tcW w:w="2300" w:type="dxa"/>
            <w:vAlign w:val="bottom"/>
          </w:tcPr>
          <w:p>
            <w:pPr>
              <w:spacing w:after="0"/>
              <w:rPr>
                <w:sz w:val="20"/>
                <w:szCs w:val="20"/>
                <w:color w:val="auto"/>
              </w:rPr>
            </w:pPr>
            <w:r>
              <w:rPr>
                <w:rFonts w:ascii="Arial" w:cs="Arial" w:eastAsia="Arial" w:hAnsi="Arial"/>
                <w:sz w:val="16"/>
                <w:szCs w:val="16"/>
                <w:color w:val="auto"/>
              </w:rPr>
              <w:t>Structural Cost of risk (2)</w:t>
            </w:r>
          </w:p>
        </w:tc>
        <w:tc>
          <w:tcPr>
            <w:tcW w:w="1020" w:type="dxa"/>
            <w:vAlign w:val="bottom"/>
            <w:gridSpan w:val="4"/>
          </w:tcPr>
          <w:p>
            <w:pPr>
              <w:jc w:val="right"/>
              <w:spacing w:after="0"/>
              <w:rPr>
                <w:sz w:val="20"/>
                <w:szCs w:val="20"/>
                <w:color w:val="auto"/>
              </w:rPr>
            </w:pPr>
            <w:r>
              <w:rPr>
                <w:rFonts w:ascii="Arial" w:cs="Arial" w:eastAsia="Arial" w:hAnsi="Arial"/>
                <w:sz w:val="16"/>
                <w:szCs w:val="16"/>
                <w:color w:val="auto"/>
              </w:rPr>
              <w:t>2.64%</w:t>
            </w:r>
          </w:p>
        </w:tc>
        <w:tc>
          <w:tcPr>
            <w:tcW w:w="1260" w:type="dxa"/>
            <w:vAlign w:val="bottom"/>
            <w:gridSpan w:val="6"/>
          </w:tcPr>
          <w:p>
            <w:pPr>
              <w:jc w:val="right"/>
              <w:ind w:right="38"/>
              <w:spacing w:after="0"/>
              <w:rPr>
                <w:sz w:val="20"/>
                <w:szCs w:val="20"/>
                <w:color w:val="auto"/>
              </w:rPr>
            </w:pPr>
            <w:r>
              <w:rPr>
                <w:rFonts w:ascii="Arial" w:cs="Arial" w:eastAsia="Arial" w:hAnsi="Arial"/>
                <w:sz w:val="16"/>
                <w:szCs w:val="16"/>
                <w:color w:val="auto"/>
              </w:rPr>
              <w:t>0.54%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5"/>
          </w:tcPr>
          <w:p>
            <w:pPr>
              <w:jc w:val="center"/>
              <w:ind w:right="500"/>
              <w:spacing w:after="0"/>
              <w:rPr>
                <w:sz w:val="20"/>
                <w:szCs w:val="20"/>
                <w:color w:val="auto"/>
              </w:rPr>
            </w:pPr>
            <w:r>
              <w:rPr>
                <w:rFonts w:ascii="Arial" w:cs="Arial" w:eastAsia="Arial" w:hAnsi="Arial"/>
                <w:sz w:val="16"/>
                <w:szCs w:val="16"/>
                <w:color w:val="auto"/>
                <w:w w:val="89"/>
              </w:rPr>
              <w:t>-32 bps</w:t>
            </w:r>
          </w:p>
        </w:tc>
        <w:tc>
          <w:tcPr>
            <w:tcW w:w="1080" w:type="dxa"/>
            <w:vAlign w:val="bottom"/>
            <w:gridSpan w:val="5"/>
          </w:tcPr>
          <w:p>
            <w:pPr>
              <w:jc w:val="center"/>
              <w:ind w:right="400"/>
              <w:spacing w:after="0"/>
              <w:rPr>
                <w:sz w:val="20"/>
                <w:szCs w:val="20"/>
                <w:color w:val="auto"/>
              </w:rPr>
            </w:pPr>
            <w:r>
              <w:rPr>
                <w:rFonts w:ascii="Arial" w:cs="Arial" w:eastAsia="Arial" w:hAnsi="Arial"/>
                <w:sz w:val="16"/>
                <w:szCs w:val="16"/>
                <w:color w:val="auto"/>
                <w:w w:val="89"/>
              </w:rPr>
              <w:t>-242 bps</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5.12%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0.89%</w:t>
            </w:r>
          </w:p>
        </w:tc>
        <w:tc>
          <w:tcPr>
            <w:tcW w:w="4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6"/>
                <w:szCs w:val="16"/>
                <w:color w:val="auto"/>
                <w:w w:val="93"/>
              </w:rPr>
              <w:t>-423 bps</w:t>
            </w:r>
          </w:p>
        </w:tc>
      </w:tr>
    </w:tbl>
    <w:p>
      <w:pPr>
        <w:spacing w:after="0" w:line="190" w:lineRule="exact"/>
        <w:rPr>
          <w:sz w:val="20"/>
          <w:szCs w:val="20"/>
          <w:color w:val="auto"/>
        </w:rPr>
      </w:pPr>
    </w:p>
    <w:p>
      <w:pPr>
        <w:ind w:left="282" w:hanging="282"/>
        <w:spacing w:after="0"/>
        <w:tabs>
          <w:tab w:leader="none" w:pos="282"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Annualized Provision for credit losses on loan portfolio, net of recoveries / Total loans.</w:t>
      </w:r>
    </w:p>
    <w:p>
      <w:pPr>
        <w:spacing w:after="0" w:line="6" w:lineRule="exact"/>
        <w:rPr>
          <w:rFonts w:ascii="Arial" w:cs="Arial" w:eastAsia="Arial" w:hAnsi="Arial"/>
          <w:sz w:val="20"/>
          <w:szCs w:val="20"/>
          <w:color w:val="auto"/>
        </w:rPr>
      </w:pPr>
    </w:p>
    <w:p>
      <w:pPr>
        <w:ind w:left="2" w:hanging="2"/>
        <w:spacing w:after="0" w:line="236" w:lineRule="auto"/>
        <w:tabs>
          <w:tab w:leader="none" w:pos="29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Structural Cost of risk excludes the provisions for credit losses on loan portfolio, net of recoveries and total loans from the Reactiva Peru and FAE Government Programs</w:t>
      </w:r>
    </w:p>
    <w:p>
      <w:pPr>
        <w:spacing w:after="0" w:line="188" w:lineRule="exact"/>
        <w:rPr>
          <w:sz w:val="20"/>
          <w:szCs w:val="20"/>
          <w:color w:val="auto"/>
        </w:rPr>
      </w:pPr>
    </w:p>
    <w:p>
      <w:pPr>
        <w:ind w:left="2"/>
        <w:spacing w:after="0" w:line="256" w:lineRule="auto"/>
        <w:rPr>
          <w:sz w:val="20"/>
          <w:szCs w:val="20"/>
          <w:color w:val="auto"/>
        </w:rPr>
      </w:pPr>
      <w:r>
        <w:rPr>
          <w:rFonts w:ascii="Arial" w:cs="Arial" w:eastAsia="Arial" w:hAnsi="Arial"/>
          <w:sz w:val="20"/>
          <w:szCs w:val="20"/>
          <w:color w:val="auto"/>
        </w:rPr>
        <w:t xml:space="preserve">Provisions contracted -22.9% QoQ, which reflected the same trend seen in recent quarters. In this context, the </w:t>
      </w:r>
      <w:r>
        <w:rPr>
          <w:rFonts w:ascii="Arial" w:cs="Arial" w:eastAsia="Arial" w:hAnsi="Arial"/>
          <w:sz w:val="20"/>
          <w:szCs w:val="20"/>
          <w:b w:val="1"/>
          <w:bCs w:val="1"/>
          <w:color w:val="auto"/>
        </w:rPr>
        <w:t>cost of risk</w:t>
      </w:r>
      <w:r>
        <w:rPr>
          <w:rFonts w:ascii="Arial" w:cs="Arial" w:eastAsia="Arial" w:hAnsi="Arial"/>
          <w:sz w:val="20"/>
          <w:szCs w:val="20"/>
          <w:color w:val="auto"/>
        </w:rPr>
        <w:t xml:space="preserve"> fell -11 bps and hit record lows. This was primarily driven by:</w:t>
      </w:r>
    </w:p>
    <w:p>
      <w:pPr>
        <w:spacing w:after="0" w:line="185" w:lineRule="exact"/>
        <w:rPr>
          <w:sz w:val="20"/>
          <w:szCs w:val="20"/>
          <w:color w:val="auto"/>
        </w:rPr>
      </w:pPr>
    </w:p>
    <w:p>
      <w:pPr>
        <w:ind w:left="302" w:hanging="302"/>
        <w:spacing w:after="0" w:line="287" w:lineRule="auto"/>
        <w:tabs>
          <w:tab w:leader="none" w:pos="3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SMEs: mainly driven by SME-Pyme, which was attributable to a reduction in the PD (Probability of Default) and LGD (Loss Given Default) risk levels due to adjustments to score models and lower delinquency respectively.</w:t>
      </w:r>
    </w:p>
    <w:p>
      <w:pPr>
        <w:spacing w:after="0" w:line="173" w:lineRule="exact"/>
        <w:rPr>
          <w:rFonts w:ascii="Arial" w:cs="Arial" w:eastAsia="Arial" w:hAnsi="Arial"/>
          <w:sz w:val="16"/>
          <w:szCs w:val="16"/>
          <w:color w:val="auto"/>
        </w:rPr>
      </w:pPr>
    </w:p>
    <w:p>
      <w:pPr>
        <w:jc w:val="both"/>
        <w:ind w:left="302" w:hanging="302"/>
        <w:spacing w:after="0" w:line="271" w:lineRule="auto"/>
        <w:tabs>
          <w:tab w:leader="none" w:pos="3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Mibanco: due to methodological adjustments to the PD (Probability of Default) Bottom-Up models; to a decrease in risk levels, which was attributable to an improvement in originations; and to collection processes. The aforementioned was partially attenuated by an uptick in the number of loans that progressed from Stage 1 to Stage 2.</w:t>
      </w:r>
    </w:p>
    <w:p>
      <w:pPr>
        <w:spacing w:after="0" w:line="186" w:lineRule="exact"/>
        <w:rPr>
          <w:rFonts w:ascii="Arial" w:cs="Arial" w:eastAsia="Arial" w:hAnsi="Arial"/>
          <w:sz w:val="16"/>
          <w:szCs w:val="16"/>
          <w:color w:val="auto"/>
        </w:rPr>
      </w:pPr>
    </w:p>
    <w:p>
      <w:pPr>
        <w:ind w:left="302" w:hanging="302"/>
        <w:spacing w:after="0"/>
        <w:tabs>
          <w:tab w:leader="none" w:pos="3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BCP Bolivia: due to a reduction in calculation of the PD model, which drove recovery of written-off loans.</w:t>
      </w:r>
    </w:p>
    <w:p>
      <w:pPr>
        <w:spacing w:after="0" w:line="227" w:lineRule="exact"/>
        <w:rPr>
          <w:sz w:val="20"/>
          <w:szCs w:val="20"/>
          <w:color w:val="auto"/>
        </w:rPr>
      </w:pPr>
    </w:p>
    <w:p>
      <w:pPr>
        <w:jc w:val="both"/>
        <w:ind w:left="302"/>
        <w:spacing w:after="0"/>
        <w:rPr>
          <w:sz w:val="20"/>
          <w:szCs w:val="20"/>
          <w:color w:val="auto"/>
        </w:rPr>
      </w:pPr>
      <w:r>
        <w:rPr>
          <w:rFonts w:ascii="Arial" w:cs="Arial" w:eastAsia="Arial" w:hAnsi="Arial"/>
          <w:sz w:val="20"/>
          <w:szCs w:val="20"/>
          <w:color w:val="auto"/>
        </w:rPr>
        <w:t>The aforementioned was partially attenuated by growth in expenses in Wholesale Banking and Individuals Banking at BCP Stand-alone due to an uptick in advancements between Stages and after forecasts for economic activity in 2022 were revised downward. This was offset by a decrease in the PD levels of SME-Pyme.</w:t>
      </w:r>
    </w:p>
    <w:p>
      <w:pPr>
        <w:spacing w:after="0" w:line="188" w:lineRule="exact"/>
        <w:rPr>
          <w:sz w:val="20"/>
          <w:szCs w:val="20"/>
          <w:color w:val="auto"/>
        </w:rPr>
      </w:pPr>
    </w:p>
    <w:p>
      <w:pPr>
        <w:ind w:left="2"/>
        <w:spacing w:after="0" w:line="256" w:lineRule="auto"/>
        <w:rPr>
          <w:sz w:val="20"/>
          <w:szCs w:val="20"/>
          <w:color w:val="auto"/>
        </w:rPr>
      </w:pPr>
      <w:r>
        <w:rPr>
          <w:rFonts w:ascii="Arial" w:cs="Arial" w:eastAsia="Arial" w:hAnsi="Arial"/>
          <w:sz w:val="20"/>
          <w:szCs w:val="20"/>
          <w:color w:val="auto"/>
        </w:rPr>
        <w:t xml:space="preserve">If we exclude the GP effects, the </w:t>
      </w:r>
      <w:r>
        <w:rPr>
          <w:rFonts w:ascii="Arial" w:cs="Arial" w:eastAsia="Arial" w:hAnsi="Arial"/>
          <w:sz w:val="20"/>
          <w:szCs w:val="20"/>
          <w:b w:val="1"/>
          <w:bCs w:val="1"/>
          <w:color w:val="auto"/>
        </w:rPr>
        <w:t>structural cost of risk</w:t>
      </w:r>
      <w:r>
        <w:rPr>
          <w:rFonts w:ascii="Arial" w:cs="Arial" w:eastAsia="Arial" w:hAnsi="Arial"/>
          <w:sz w:val="20"/>
          <w:szCs w:val="20"/>
          <w:color w:val="auto"/>
        </w:rPr>
        <w:t xml:space="preserve"> is 0.22% (-12 bps vs the total ratio) due to the fact that the largest volume of provisions in BCP Stand-alone was associated with the GP portfolio.</w:t>
      </w:r>
    </w:p>
    <w:p>
      <w:pPr>
        <w:spacing w:after="0" w:line="172" w:lineRule="exact"/>
        <w:rPr>
          <w:sz w:val="20"/>
          <w:szCs w:val="20"/>
          <w:color w:val="auto"/>
        </w:rPr>
      </w:pPr>
    </w:p>
    <w:p>
      <w:pPr>
        <w:ind w:left="1262"/>
        <w:spacing w:after="0"/>
        <w:tabs>
          <w:tab w:leader="none" w:pos="7121" w:val="left"/>
        </w:tabs>
        <w:rPr>
          <w:sz w:val="20"/>
          <w:szCs w:val="20"/>
          <w:color w:val="auto"/>
        </w:rPr>
      </w:pPr>
      <w:r>
        <w:rPr>
          <w:rFonts w:ascii="Arial" w:cs="Arial" w:eastAsia="Arial" w:hAnsi="Arial"/>
          <w:sz w:val="20"/>
          <w:szCs w:val="20"/>
          <w:b w:val="1"/>
          <w:bCs w:val="1"/>
          <w:color w:val="auto"/>
        </w:rPr>
        <w:t>QoQ Evolution of the Cost of Risk</w:t>
      </w:r>
      <w:r>
        <w:rPr>
          <w:sz w:val="20"/>
          <w:szCs w:val="20"/>
          <w:color w:val="auto"/>
        </w:rPr>
        <w:tab/>
      </w:r>
      <w:r>
        <w:rPr>
          <w:rFonts w:ascii="Arial" w:cs="Arial" w:eastAsia="Arial" w:hAnsi="Arial"/>
          <w:sz w:val="17"/>
          <w:szCs w:val="17"/>
          <w:b w:val="1"/>
          <w:bCs w:val="1"/>
          <w:color w:val="auto"/>
        </w:rPr>
        <w:t>YoY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388735" cy="1246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735" cy="1246505"/>
                    </a:xfrm>
                    <a:prstGeom prst="rect">
                      <a:avLst/>
                    </a:prstGeom>
                    <a:noFill/>
                  </pic:spPr>
                </pic:pic>
              </a:graphicData>
            </a:graphic>
          </wp:anchor>
        </w:drawing>
      </w:r>
    </w:p>
    <w:p>
      <w:pPr>
        <w:sectPr>
          <w:pgSz w:w="11900" w:h="16838" w:orient="portrait"/>
          <w:cols w:equalWidth="0" w:num="1">
            <w:col w:w="11242"/>
          </w:cols>
          <w:pgMar w:left="318" w:top="765" w:right="339" w:bottom="4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 w:right="229" w:hanging="2"/>
        <w:spacing w:after="0" w:line="250" w:lineRule="auto"/>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Others include BCP Bolivia, Mibanco Colombia, ASB and eliminations.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 w:right="480" w:firstLine="9"/>
        <w:spacing w:after="0" w:line="250" w:lineRule="auto"/>
        <w:tabs>
          <w:tab w:leader="none" w:pos="269" w:val="left"/>
        </w:tabs>
        <w:numPr>
          <w:ilvl w:val="0"/>
          <w:numId w:val="33"/>
        </w:numPr>
        <w:rPr>
          <w:rFonts w:ascii="Arial" w:cs="Arial" w:eastAsia="Arial" w:hAnsi="Arial"/>
          <w:sz w:val="20"/>
          <w:szCs w:val="20"/>
          <w:color w:val="auto"/>
        </w:rPr>
      </w:pPr>
      <w:r>
        <w:rPr>
          <w:rFonts w:ascii="Arial" w:cs="Arial" w:eastAsia="Arial" w:hAnsi="Arial"/>
          <w:sz w:val="20"/>
          <w:szCs w:val="20"/>
          <w:color w:val="auto"/>
        </w:rPr>
        <w:t>Others include BCP Bolivia, Mibanco Colombia, ASB and eliminations.</w:t>
      </w:r>
    </w:p>
    <w:p>
      <w:pPr>
        <w:spacing w:after="0" w:line="200" w:lineRule="exact"/>
        <w:rPr>
          <w:sz w:val="20"/>
          <w:szCs w:val="20"/>
          <w:color w:val="auto"/>
        </w:rPr>
      </w:pPr>
    </w:p>
    <w:p>
      <w:pPr>
        <w:sectPr>
          <w:pgSz w:w="11900" w:h="16838" w:orient="portrait"/>
          <w:cols w:equalWidth="0" w:num="2">
            <w:col w:w="5131" w:space="720"/>
            <w:col w:w="5391"/>
          </w:cols>
          <w:pgMar w:left="318" w:top="765" w:right="339" w:bottom="464" w:gutter="0" w:footer="0" w:header="0"/>
          <w:type w:val="continuous"/>
        </w:sectPr>
      </w:pPr>
    </w:p>
    <w:p>
      <w:pPr>
        <w:spacing w:after="0" w:line="180"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 xml:space="preserve">In the YoY analysis, provisions fell -70.7%; this was primarily driven by an upward revision in macroeconomic projections and by an uptick in positive payment behavior. Improvements in this regard were seen across the banking subsidiaries and were reflected in the -179 decrease in </w:t>
      </w:r>
      <w:r>
        <w:rPr>
          <w:rFonts w:ascii="Arial" w:cs="Arial" w:eastAsia="Arial" w:hAnsi="Arial"/>
          <w:sz w:val="20"/>
          <w:szCs w:val="20"/>
          <w:b w:val="1"/>
          <w:bCs w:val="1"/>
          <w:color w:val="auto"/>
        </w:rPr>
        <w:t>the cost of risk</w:t>
      </w:r>
      <w:r>
        <w:rPr>
          <w:rFonts w:ascii="Arial" w:cs="Arial" w:eastAsia="Arial" w:hAnsi="Arial"/>
          <w:sz w:val="20"/>
          <w:szCs w:val="20"/>
          <w:color w:val="auto"/>
        </w:rPr>
        <w:t>. This drop was mainly driven by:</w:t>
      </w:r>
    </w:p>
    <w:p>
      <w:pPr>
        <w:spacing w:after="0" w:line="200" w:lineRule="exact"/>
        <w:rPr>
          <w:sz w:val="20"/>
          <w:szCs w:val="20"/>
          <w:color w:val="auto"/>
        </w:rPr>
      </w:pPr>
    </w:p>
    <w:p>
      <w:pPr>
        <w:ind w:left="302" w:hanging="302"/>
        <w:spacing w:after="0" w:line="287" w:lineRule="auto"/>
        <w:tabs>
          <w:tab w:leader="none" w:pos="3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Individuals: which was fueled primarily by a drop in expenses in Consumer Banking after clients’ income levels improved (spurring a consequent decrease in debt with the financial system) and secondarily, by lower expenses in SME-Pyme Banking, which reflected adjustments to PD and LGD models.</w:t>
      </w:r>
    </w:p>
    <w:p>
      <w:pPr>
        <w:spacing w:after="0" w:line="173"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Mibanco: which registered a significant uptick in the recovery of written-off loans; a decrease in progression to Stage 3; and improvements in client payment behavior. The aforementioned was offset by growth in provisions after adjustments were made to write-off policies.</w:t>
      </w:r>
    </w:p>
    <w:p>
      <w:pPr>
        <w:sectPr>
          <w:pgSz w:w="11900" w:h="16838" w:orient="portrait"/>
          <w:cols w:equalWidth="0" w:num="1">
            <w:col w:w="11242"/>
          </w:cols>
          <w:pgMar w:left="318" w:top="765" w:right="339" w:bottom="464"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10342"/>
        <w:spacing w:after="0"/>
        <w:rPr>
          <w:sz w:val="20"/>
          <w:szCs w:val="20"/>
          <w:color w:val="auto"/>
        </w:rPr>
      </w:pPr>
      <w:r>
        <w:rPr>
          <w:rFonts w:ascii="Arial" w:cs="Arial" w:eastAsia="Arial" w:hAnsi="Arial"/>
          <w:sz w:val="10"/>
          <w:szCs w:val="10"/>
          <w:color w:val="auto"/>
        </w:rPr>
        <w:t>27</w:t>
      </w:r>
    </w:p>
    <w:p>
      <w:pPr>
        <w:sectPr>
          <w:pgSz w:w="11900" w:h="16838" w:orient="portrait"/>
          <w:cols w:equalWidth="0" w:num="1">
            <w:col w:w="11242"/>
          </w:cols>
          <w:pgMar w:left="318" w:top="765" w:right="339" w:bottom="464" w:gutter="0" w:footer="0" w:header="0"/>
          <w:type w:val="continuous"/>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735330</wp:posOffset>
            </wp:positionV>
            <wp:extent cx="714502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page">
              <wp:posOffset>6965315</wp:posOffset>
            </wp:positionH>
            <wp:positionV relativeFrom="page">
              <wp:posOffset>88900</wp:posOffset>
            </wp:positionV>
            <wp:extent cx="381635" cy="584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302" w:hanging="302"/>
        <w:spacing w:after="0" w:line="287" w:lineRule="auto"/>
        <w:tabs>
          <w:tab w:leader="none" w:pos="302"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SMEs: in line with what was mentioned in the TaT analysis. This was partially mitigated by the increase in SME-Business due to the update in the loss ratios of clients in the Structural and GP portfolios.</w:t>
      </w:r>
    </w:p>
    <w:p>
      <w:pPr>
        <w:spacing w:after="0" w:line="167" w:lineRule="exact"/>
        <w:rPr>
          <w:sz w:val="20"/>
          <w:szCs w:val="20"/>
          <w:color w:val="auto"/>
        </w:rPr>
      </w:pPr>
    </w:p>
    <w:p>
      <w:pPr>
        <w:ind w:left="302"/>
        <w:spacing w:after="0" w:line="336" w:lineRule="auto"/>
        <w:rPr>
          <w:sz w:val="20"/>
          <w:szCs w:val="20"/>
          <w:color w:val="auto"/>
        </w:rPr>
      </w:pPr>
      <w:r>
        <w:rPr>
          <w:rFonts w:ascii="Arial" w:cs="Arial" w:eastAsia="Arial" w:hAnsi="Arial"/>
          <w:sz w:val="17"/>
          <w:szCs w:val="17"/>
          <w:color w:val="auto"/>
        </w:rPr>
        <w:t>The aforementioned was mitigated by the potential for new entries to NPL portfolio; an update in provisioning requirement for non-performing clients in Wholesale Banking; and an increase in provisions to cover the uptick of +7.2% in structural disbursements YoY.</w:t>
      </w:r>
    </w:p>
    <w:p>
      <w:pPr>
        <w:spacing w:after="0" w:line="109"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If we exclude GP provisions and loans from the calculation base, the </w:t>
      </w:r>
      <w:r>
        <w:rPr>
          <w:rFonts w:ascii="Arial" w:cs="Arial" w:eastAsia="Arial" w:hAnsi="Arial"/>
          <w:sz w:val="20"/>
          <w:szCs w:val="20"/>
          <w:b w:val="1"/>
          <w:bCs w:val="1"/>
          <w:color w:val="auto"/>
        </w:rPr>
        <w:t>structural cost of risk</w:t>
      </w:r>
      <w:r>
        <w:rPr>
          <w:rFonts w:ascii="Arial" w:cs="Arial" w:eastAsia="Arial" w:hAnsi="Arial"/>
          <w:sz w:val="20"/>
          <w:szCs w:val="20"/>
          <w:color w:val="auto"/>
        </w:rPr>
        <w:t xml:space="preserve"> reduced -242 bps YoY.</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Full Year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150495</wp:posOffset>
            </wp:positionV>
            <wp:extent cx="2929890" cy="15195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29890" cy="151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(1) Others include BCP Bolivia, Mibanco Colombia, ASB and eliminations.</w:t>
      </w:r>
    </w:p>
    <w:p>
      <w:pPr>
        <w:spacing w:after="0" w:line="212"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 xml:space="preserve">In the full year analysis, provisions fell -79.5%. This evolution was due to the fact that significant numbers of forward-looking provisions were set aside in 2020 in a context of greater uncertainty than that seen in 2021. The contractions in provisions registered by each subsidiary are in line with the factors explained in the YoY analysis. In this scenario, the </w:t>
      </w:r>
      <w:r>
        <w:rPr>
          <w:rFonts w:ascii="Arial" w:cs="Arial" w:eastAsia="Arial" w:hAnsi="Arial"/>
          <w:sz w:val="20"/>
          <w:szCs w:val="20"/>
          <w:b w:val="1"/>
          <w:bCs w:val="1"/>
          <w:color w:val="auto"/>
        </w:rPr>
        <w:t>cost of risk</w:t>
      </w:r>
      <w:r>
        <w:rPr>
          <w:rFonts w:ascii="Arial" w:cs="Arial" w:eastAsia="Arial" w:hAnsi="Arial"/>
          <w:sz w:val="20"/>
          <w:szCs w:val="20"/>
          <w:color w:val="auto"/>
        </w:rPr>
        <w:t xml:space="preserve"> fell to 0.82% at the end of December, which represented a contraction of -348 bps. If we exclude GP provisions and loans from the calculation base, the </w:t>
      </w:r>
      <w:r>
        <w:rPr>
          <w:rFonts w:ascii="Arial" w:cs="Arial" w:eastAsia="Arial" w:hAnsi="Arial"/>
          <w:sz w:val="20"/>
          <w:szCs w:val="20"/>
          <w:b w:val="1"/>
          <w:bCs w:val="1"/>
          <w:color w:val="auto"/>
        </w:rPr>
        <w:t>structural cost of risk</w:t>
      </w:r>
      <w:r>
        <w:rPr>
          <w:rFonts w:ascii="Arial" w:cs="Arial" w:eastAsia="Arial" w:hAnsi="Arial"/>
          <w:sz w:val="20"/>
          <w:szCs w:val="20"/>
          <w:color w:val="auto"/>
        </w:rPr>
        <w:t xml:space="preserve"> situates at 0.89% (-423 bps vs 2020).</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4.2. Delinquency</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17"/>
          <w:szCs w:val="17"/>
          <w:color w:val="auto"/>
        </w:rPr>
        <w:t>When examining portfolio delinquency, it is important to differentiate the evolution of the structural portfolio from that of the portfolio for</w:t>
      </w:r>
    </w:p>
    <w:p>
      <w:pPr>
        <w:spacing w:after="0" w:line="41" w:lineRule="exact"/>
        <w:rPr>
          <w:sz w:val="20"/>
          <w:szCs w:val="20"/>
          <w:color w:val="auto"/>
        </w:rPr>
      </w:pPr>
    </w:p>
    <w:p>
      <w:pPr>
        <w:ind w:left="2"/>
        <w:spacing w:after="0"/>
        <w:rPr>
          <w:sz w:val="20"/>
          <w:szCs w:val="20"/>
          <w:color w:val="auto"/>
        </w:rPr>
      </w:pPr>
      <w:r>
        <w:rPr>
          <w:rFonts w:ascii="Arial" w:cs="Arial" w:eastAsia="Arial" w:hAnsi="Arial"/>
          <w:sz w:val="20"/>
          <w:szCs w:val="20"/>
          <w:color w:val="auto"/>
        </w:rPr>
        <w:t>Government Programs Loans (GP):</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Structural Portfolio:</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Structural Portfolio quality and Delinquency ratios (1)</w:t>
            </w: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As of</w:t>
            </w:r>
          </w:p>
        </w:tc>
        <w:tc>
          <w:tcPr>
            <w:tcW w:w="10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w w:val="99"/>
              </w:rPr>
              <w:t>% change</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Dec 20</w:t>
            </w:r>
          </w:p>
        </w:tc>
        <w:tc>
          <w:tcPr>
            <w:tcW w:w="280" w:type="dxa"/>
            <w:vAlign w:val="bottom"/>
          </w:tcPr>
          <w:p>
            <w:pPr>
              <w:spacing w:after="0"/>
              <w:rPr>
                <w:sz w:val="16"/>
                <w:szCs w:val="16"/>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Sep 21</w:t>
            </w:r>
          </w:p>
        </w:tc>
        <w:tc>
          <w:tcPr>
            <w:tcW w:w="280" w:type="dxa"/>
            <w:vAlign w:val="bottom"/>
          </w:tcPr>
          <w:p>
            <w:pPr>
              <w:spacing w:after="0"/>
              <w:rPr>
                <w:sz w:val="16"/>
                <w:szCs w:val="16"/>
                <w:color w:val="auto"/>
              </w:rPr>
            </w:pP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Dec 21</w:t>
            </w:r>
          </w:p>
        </w:tc>
        <w:tc>
          <w:tcPr>
            <w:tcW w:w="400" w:type="dxa"/>
            <w:vAlign w:val="bottom"/>
          </w:tcPr>
          <w:p>
            <w:pPr>
              <w:spacing w:after="0"/>
              <w:rPr>
                <w:sz w:val="16"/>
                <w:szCs w:val="16"/>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QoQ</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Structural Total loans (Quarter-end balance)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113,017,894</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125,528,623</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128,927,787</w:t>
            </w:r>
          </w:p>
        </w:tc>
        <w:tc>
          <w:tcPr>
            <w:tcW w:w="4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r>
      <w:tr>
        <w:trPr>
          <w:trHeight w:val="196"/>
        </w:trPr>
        <w:tc>
          <w:tcPr>
            <w:tcW w:w="4580" w:type="dxa"/>
            <w:vAlign w:val="bottom"/>
            <w:gridSpan w:val="2"/>
          </w:tcPr>
          <w:p>
            <w:pPr>
              <w:spacing w:after="0"/>
              <w:rPr>
                <w:sz w:val="20"/>
                <w:szCs w:val="20"/>
                <w:color w:val="auto"/>
              </w:rPr>
            </w:pPr>
            <w:r>
              <w:rPr>
                <w:rFonts w:ascii="Arial" w:cs="Arial" w:eastAsia="Arial" w:hAnsi="Arial"/>
                <w:sz w:val="16"/>
                <w:szCs w:val="16"/>
                <w:color w:val="auto"/>
              </w:rPr>
              <w:t>Structural Allowance for loan losses</w:t>
            </w:r>
          </w:p>
        </w:tc>
        <w:tc>
          <w:tcPr>
            <w:tcW w:w="1060" w:type="dxa"/>
            <w:vAlign w:val="bottom"/>
          </w:tcPr>
          <w:p>
            <w:pPr>
              <w:jc w:val="right"/>
              <w:spacing w:after="0"/>
              <w:rPr>
                <w:sz w:val="20"/>
                <w:szCs w:val="20"/>
                <w:color w:val="auto"/>
              </w:rPr>
            </w:pPr>
            <w:r>
              <w:rPr>
                <w:rFonts w:ascii="Arial" w:cs="Arial" w:eastAsia="Arial" w:hAnsi="Arial"/>
                <w:sz w:val="16"/>
                <w:szCs w:val="16"/>
                <w:color w:val="auto"/>
              </w:rPr>
              <w:t>9,763,229</w:t>
            </w:r>
          </w:p>
        </w:tc>
        <w:tc>
          <w:tcPr>
            <w:tcW w:w="2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8,934,930</w:t>
            </w:r>
          </w:p>
        </w:tc>
        <w:tc>
          <w:tcPr>
            <w:tcW w:w="1480" w:type="dxa"/>
            <w:vAlign w:val="bottom"/>
            <w:gridSpan w:val="2"/>
          </w:tcPr>
          <w:p>
            <w:pPr>
              <w:jc w:val="right"/>
              <w:ind w:right="400"/>
              <w:spacing w:after="0"/>
              <w:rPr>
                <w:sz w:val="20"/>
                <w:szCs w:val="20"/>
                <w:color w:val="auto"/>
              </w:rPr>
            </w:pPr>
            <w:r>
              <w:rPr>
                <w:rFonts w:ascii="Arial" w:cs="Arial" w:eastAsia="Arial" w:hAnsi="Arial"/>
                <w:sz w:val="16"/>
                <w:szCs w:val="16"/>
                <w:color w:val="auto"/>
              </w:rPr>
              <w:t>8,280,467</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-15.2%</w:t>
            </w:r>
          </w:p>
        </w:tc>
      </w:tr>
      <w:tr>
        <w:trPr>
          <w:trHeight w:val="196"/>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Structural Write-offs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509,001</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670,273</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683,181</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r>
      <w:tr>
        <w:trPr>
          <w:trHeight w:val="196"/>
        </w:trPr>
        <w:tc>
          <w:tcPr>
            <w:tcW w:w="4580" w:type="dxa"/>
            <w:vAlign w:val="bottom"/>
            <w:gridSpan w:val="2"/>
          </w:tcPr>
          <w:p>
            <w:pPr>
              <w:spacing w:after="0"/>
              <w:rPr>
                <w:sz w:val="20"/>
                <w:szCs w:val="20"/>
                <w:color w:val="auto"/>
              </w:rPr>
            </w:pPr>
            <w:r>
              <w:rPr>
                <w:rFonts w:ascii="Arial" w:cs="Arial" w:eastAsia="Arial" w:hAnsi="Arial"/>
                <w:sz w:val="16"/>
                <w:szCs w:val="16"/>
                <w:color w:val="auto"/>
              </w:rPr>
              <w:t>Structural IOLs</w:t>
            </w:r>
          </w:p>
        </w:tc>
        <w:tc>
          <w:tcPr>
            <w:tcW w:w="1060" w:type="dxa"/>
            <w:vAlign w:val="bottom"/>
          </w:tcPr>
          <w:p>
            <w:pPr>
              <w:jc w:val="right"/>
              <w:spacing w:after="0"/>
              <w:rPr>
                <w:sz w:val="20"/>
                <w:szCs w:val="20"/>
                <w:color w:val="auto"/>
              </w:rPr>
            </w:pPr>
            <w:r>
              <w:rPr>
                <w:rFonts w:ascii="Arial" w:cs="Arial" w:eastAsia="Arial" w:hAnsi="Arial"/>
                <w:sz w:val="16"/>
                <w:szCs w:val="16"/>
                <w:color w:val="auto"/>
              </w:rPr>
              <w:t>4,675,731</w:t>
            </w:r>
          </w:p>
        </w:tc>
        <w:tc>
          <w:tcPr>
            <w:tcW w:w="2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4,776,182</w:t>
            </w:r>
          </w:p>
        </w:tc>
        <w:tc>
          <w:tcPr>
            <w:tcW w:w="1480" w:type="dxa"/>
            <w:vAlign w:val="bottom"/>
            <w:gridSpan w:val="2"/>
          </w:tcPr>
          <w:p>
            <w:pPr>
              <w:jc w:val="right"/>
              <w:ind w:right="400"/>
              <w:spacing w:after="0"/>
              <w:rPr>
                <w:sz w:val="20"/>
                <w:szCs w:val="20"/>
                <w:color w:val="auto"/>
              </w:rPr>
            </w:pPr>
            <w:r>
              <w:rPr>
                <w:rFonts w:ascii="Arial" w:cs="Arial" w:eastAsia="Arial" w:hAnsi="Arial"/>
                <w:sz w:val="16"/>
                <w:szCs w:val="16"/>
                <w:color w:val="auto"/>
              </w:rPr>
              <w:t>4,475,373</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196"/>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Structural Refinanced loans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1,664,626</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1,798,965</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1,799,541</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r>
      <w:tr>
        <w:trPr>
          <w:trHeight w:val="196"/>
        </w:trPr>
        <w:tc>
          <w:tcPr>
            <w:tcW w:w="4580" w:type="dxa"/>
            <w:vAlign w:val="bottom"/>
            <w:gridSpan w:val="2"/>
          </w:tcPr>
          <w:p>
            <w:pPr>
              <w:spacing w:after="0"/>
              <w:rPr>
                <w:sz w:val="20"/>
                <w:szCs w:val="20"/>
                <w:color w:val="auto"/>
              </w:rPr>
            </w:pPr>
            <w:r>
              <w:rPr>
                <w:rFonts w:ascii="Arial" w:cs="Arial" w:eastAsia="Arial" w:hAnsi="Arial"/>
                <w:sz w:val="16"/>
                <w:szCs w:val="16"/>
                <w:color w:val="auto"/>
              </w:rPr>
              <w:t>Structural NPLs</w:t>
            </w:r>
          </w:p>
        </w:tc>
        <w:tc>
          <w:tcPr>
            <w:tcW w:w="1060" w:type="dxa"/>
            <w:vAlign w:val="bottom"/>
          </w:tcPr>
          <w:p>
            <w:pPr>
              <w:jc w:val="right"/>
              <w:spacing w:after="0"/>
              <w:rPr>
                <w:sz w:val="20"/>
                <w:szCs w:val="20"/>
                <w:color w:val="auto"/>
              </w:rPr>
            </w:pPr>
            <w:r>
              <w:rPr>
                <w:rFonts w:ascii="Arial" w:cs="Arial" w:eastAsia="Arial" w:hAnsi="Arial"/>
                <w:sz w:val="16"/>
                <w:szCs w:val="16"/>
                <w:color w:val="auto"/>
              </w:rPr>
              <w:t>6,340,357</w:t>
            </w:r>
          </w:p>
        </w:tc>
        <w:tc>
          <w:tcPr>
            <w:tcW w:w="2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6,575,146</w:t>
            </w:r>
          </w:p>
        </w:tc>
        <w:tc>
          <w:tcPr>
            <w:tcW w:w="1480" w:type="dxa"/>
            <w:vAlign w:val="bottom"/>
            <w:gridSpan w:val="2"/>
          </w:tcPr>
          <w:p>
            <w:pPr>
              <w:jc w:val="right"/>
              <w:ind w:right="400"/>
              <w:spacing w:after="0"/>
              <w:rPr>
                <w:sz w:val="20"/>
                <w:szCs w:val="20"/>
                <w:color w:val="auto"/>
              </w:rPr>
            </w:pPr>
            <w:r>
              <w:rPr>
                <w:rFonts w:ascii="Arial" w:cs="Arial" w:eastAsia="Arial" w:hAnsi="Arial"/>
                <w:sz w:val="16"/>
                <w:szCs w:val="16"/>
                <w:color w:val="auto"/>
              </w:rPr>
              <w:t>6,274,914</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196"/>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Structural IOL ratio</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4.14%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3.80%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3.47%</w:t>
            </w: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-33 bps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 bps</w:t>
            </w:r>
          </w:p>
        </w:tc>
      </w:tr>
      <w:tr>
        <w:trPr>
          <w:trHeight w:val="196"/>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Structural NPL ratio</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5.61%</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5.24%</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4.87%</w:t>
            </w:r>
          </w:p>
        </w:tc>
        <w:tc>
          <w:tcPr>
            <w:tcW w:w="1580" w:type="dxa"/>
            <w:vAlign w:val="bottom"/>
            <w:gridSpan w:val="3"/>
          </w:tcPr>
          <w:p>
            <w:pPr>
              <w:jc w:val="right"/>
              <w:ind w:right="620"/>
              <w:spacing w:after="0"/>
              <w:rPr>
                <w:sz w:val="20"/>
                <w:szCs w:val="20"/>
                <w:color w:val="auto"/>
              </w:rPr>
            </w:pPr>
            <w:r>
              <w:rPr>
                <w:rFonts w:ascii="Arial" w:cs="Arial" w:eastAsia="Arial" w:hAnsi="Arial"/>
                <w:sz w:val="16"/>
                <w:szCs w:val="16"/>
                <w:color w:val="auto"/>
              </w:rPr>
              <w:t>-37 bps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-74 bps</w:t>
            </w:r>
          </w:p>
        </w:tc>
      </w:tr>
      <w:tr>
        <w:trPr>
          <w:trHeight w:val="196"/>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4"/>
              </w:rPr>
              <w:t>Structural Allowance for loan losses over Structural Total loans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6.4%</w:t>
            </w: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-70 bps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 bps</w:t>
            </w:r>
          </w:p>
        </w:tc>
      </w:tr>
      <w:tr>
        <w:trPr>
          <w:trHeight w:val="208"/>
        </w:trPr>
        <w:tc>
          <w:tcPr>
            <w:tcW w:w="4580" w:type="dxa"/>
            <w:vAlign w:val="bottom"/>
            <w:gridSpan w:val="2"/>
          </w:tcPr>
          <w:p>
            <w:pPr>
              <w:spacing w:after="0"/>
              <w:rPr>
                <w:sz w:val="20"/>
                <w:szCs w:val="20"/>
                <w:color w:val="auto"/>
              </w:rPr>
            </w:pPr>
            <w:r>
              <w:rPr>
                <w:rFonts w:ascii="Arial" w:cs="Arial" w:eastAsia="Arial" w:hAnsi="Arial"/>
                <w:sz w:val="16"/>
                <w:szCs w:val="16"/>
                <w:color w:val="auto"/>
              </w:rPr>
              <w:t>Structural Coverage ratio of NPLs</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154.0%</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135.9%</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132.0%</w:t>
            </w:r>
          </w:p>
        </w:tc>
        <w:tc>
          <w:tcPr>
            <w:tcW w:w="1580" w:type="dxa"/>
            <w:vAlign w:val="bottom"/>
            <w:gridSpan w:val="3"/>
          </w:tcPr>
          <w:p>
            <w:pPr>
              <w:jc w:val="right"/>
              <w:ind w:right="620"/>
              <w:spacing w:after="0"/>
              <w:rPr>
                <w:sz w:val="20"/>
                <w:szCs w:val="20"/>
                <w:color w:val="auto"/>
              </w:rPr>
            </w:pPr>
            <w:r>
              <w:rPr>
                <w:rFonts w:ascii="Arial" w:cs="Arial" w:eastAsia="Arial" w:hAnsi="Arial"/>
                <w:sz w:val="16"/>
                <w:szCs w:val="16"/>
                <w:color w:val="auto"/>
              </w:rPr>
              <w:t>-393 bps</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-2203 bps</w:t>
            </w:r>
          </w:p>
        </w:tc>
      </w:tr>
    </w:tbl>
    <w:p>
      <w:pPr>
        <w:spacing w:after="0" w:line="190" w:lineRule="exact"/>
        <w:rPr>
          <w:sz w:val="20"/>
          <w:szCs w:val="20"/>
          <w:color w:val="auto"/>
        </w:rPr>
      </w:pPr>
    </w:p>
    <w:p>
      <w:pPr>
        <w:ind w:left="582" w:right="5480" w:hanging="582"/>
        <w:spacing w:after="0" w:line="462" w:lineRule="auto"/>
        <w:tabs>
          <w:tab w:leader="none" w:pos="271"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Structural Portfolio excludes Government Programs (GP) effects. In the QoQ analysis we find:</w:t>
      </w:r>
    </w:p>
    <w:p>
      <w:pPr>
        <w:ind w:left="882" w:hanging="293"/>
        <w:spacing w:after="0" w:line="292" w:lineRule="auto"/>
        <w:tabs>
          <w:tab w:leader="none" w:pos="882"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IOL portfolio</w:t>
      </w:r>
      <w:r>
        <w:rPr>
          <w:rFonts w:ascii="Arial" w:cs="Arial" w:eastAsia="Arial" w:hAnsi="Arial"/>
          <w:sz w:val="16"/>
          <w:szCs w:val="16"/>
          <w:color w:val="auto"/>
        </w:rPr>
        <w:t>: a drop of -6.3% in IOL loans, which was primarily attributable to a contraction in overdue loans at Mibanco, in a context marked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in payment behavior and a decrease in loans under legal collection.</w:t>
      </w:r>
    </w:p>
    <w:p>
      <w:pPr>
        <w:spacing w:after="0" w:line="165" w:lineRule="exact"/>
        <w:rPr>
          <w:rFonts w:ascii="Arial" w:cs="Arial" w:eastAsia="Arial" w:hAnsi="Arial"/>
          <w:sz w:val="16"/>
          <w:szCs w:val="16"/>
          <w:color w:val="auto"/>
        </w:rPr>
      </w:pPr>
    </w:p>
    <w:p>
      <w:pPr>
        <w:ind w:left="882" w:hanging="293"/>
        <w:spacing w:after="0"/>
        <w:tabs>
          <w:tab w:leader="none" w:pos="882" w:val="left"/>
        </w:tabs>
        <w:numPr>
          <w:ilvl w:val="1"/>
          <w:numId w:val="36"/>
        </w:numPr>
        <w:rPr>
          <w:rFonts w:ascii="Arial" w:cs="Arial" w:eastAsia="Arial" w:hAnsi="Arial"/>
          <w:sz w:val="15"/>
          <w:szCs w:val="15"/>
          <w:color w:val="auto"/>
        </w:rPr>
      </w:pPr>
      <w:r>
        <w:rPr>
          <w:rFonts w:ascii="Arial" w:cs="Arial" w:eastAsia="Arial" w:hAnsi="Arial"/>
          <w:sz w:val="15"/>
          <w:szCs w:val="15"/>
          <w:b w:val="1"/>
          <w:bCs w:val="1"/>
          <w:color w:val="auto"/>
        </w:rPr>
        <w:t>Refinanced Portfolio</w:t>
      </w:r>
      <w:r>
        <w:rPr>
          <w:rFonts w:ascii="Arial" w:cs="Arial" w:eastAsia="Arial" w:hAnsi="Arial"/>
          <w:sz w:val="15"/>
          <w:szCs w:val="15"/>
          <w:color w:val="auto"/>
        </w:rPr>
        <w:t>: remained stable as an increase in Mibanco was offset by a decrease in refinanced loans at BCP Stand-alone and BCP Bolivia.</w:t>
      </w:r>
    </w:p>
    <w:p>
      <w:pPr>
        <w:spacing w:after="0" w:line="244" w:lineRule="exact"/>
        <w:rPr>
          <w:rFonts w:ascii="Arial" w:cs="Arial" w:eastAsia="Arial" w:hAnsi="Arial"/>
          <w:sz w:val="15"/>
          <w:szCs w:val="15"/>
          <w:color w:val="auto"/>
        </w:rPr>
      </w:pPr>
    </w:p>
    <w:p>
      <w:pPr>
        <w:ind w:left="882" w:hanging="293"/>
        <w:spacing w:after="0" w:line="292" w:lineRule="auto"/>
        <w:tabs>
          <w:tab w:leader="none" w:pos="882"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Write-offs</w:t>
      </w:r>
      <w:r>
        <w:rPr>
          <w:rFonts w:ascii="Arial" w:cs="Arial" w:eastAsia="Arial" w:hAnsi="Arial"/>
          <w:sz w:val="16"/>
          <w:szCs w:val="16"/>
          <w:color w:val="auto"/>
        </w:rPr>
        <w:t>: the increase of +1.9% is due to Mibanco, whose charge-off levels reached all-time highs. This was partially attenuated by the decrease in write-offs at BCP Individual, which returned to pre-pandemic levels.</w:t>
      </w:r>
    </w:p>
    <w:p>
      <w:pPr>
        <w:spacing w:after="0" w:line="399"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77" w:right="339" w:bottom="1440" w:gutter="0" w:footer="0" w:header="0"/>
        </w:sectPr>
      </w:pPr>
    </w:p>
    <w:bookmarkStart w:id="33" w:name="page34"/>
    <w:bookmarkEnd w:id="33"/>
    <w:p>
      <w:pPr>
        <w:ind w:left="882" w:hanging="293"/>
        <w:spacing w:after="0"/>
        <w:tabs>
          <w:tab w:leader="none" w:pos="882"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NPL Ratio</w:t>
      </w:r>
      <w:r>
        <w:rPr>
          <w:rFonts w:ascii="Arial" w:cs="Arial" w:eastAsia="Arial" w:hAnsi="Arial"/>
          <w:sz w:val="16"/>
          <w:szCs w:val="16"/>
          <w:color w:val="auto"/>
        </w:rPr>
        <w:t>: the ratio fell -37 bps, primarily driven by a drop in IOL loans at Mibanco and by an increase in total loans at BCP Stand-alone.</w:t>
      </w:r>
    </w:p>
    <w:p>
      <w:pPr>
        <w:spacing w:after="0" w:line="233" w:lineRule="exact"/>
        <w:rPr>
          <w:rFonts w:ascii="Arial" w:cs="Arial" w:eastAsia="Arial" w:hAnsi="Arial"/>
          <w:sz w:val="16"/>
          <w:szCs w:val="16"/>
          <w:color w:val="auto"/>
        </w:rPr>
      </w:pPr>
    </w:p>
    <w:p>
      <w:pPr>
        <w:ind w:left="882" w:hanging="293"/>
        <w:spacing w:after="0" w:line="292" w:lineRule="auto"/>
        <w:tabs>
          <w:tab w:leader="none" w:pos="882"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Coverage for the NPL portfolio</w:t>
      </w:r>
      <w:r>
        <w:rPr>
          <w:rFonts w:ascii="Arial" w:cs="Arial" w:eastAsia="Arial" w:hAnsi="Arial"/>
          <w:sz w:val="16"/>
          <w:szCs w:val="16"/>
          <w:color w:val="auto"/>
        </w:rPr>
        <w:t>: the ratio fell -393 bps; this is reflected by a drop in allowances for loan losses, which outpaced the decrease registered in</w:t>
      </w:r>
      <w:r>
        <w:rPr>
          <w:rFonts w:ascii="Arial" w:cs="Arial" w:eastAsia="Arial" w:hAnsi="Arial"/>
          <w:sz w:val="16"/>
          <w:szCs w:val="16"/>
          <w:b w:val="1"/>
          <w:bCs w:val="1"/>
          <w:color w:val="auto"/>
        </w:rPr>
        <w:t xml:space="preserve"> </w:t>
      </w:r>
      <w:r>
        <w:rPr>
          <w:rFonts w:ascii="Arial" w:cs="Arial" w:eastAsia="Arial" w:hAnsi="Arial"/>
          <w:sz w:val="16"/>
          <w:szCs w:val="16"/>
          <w:color w:val="auto"/>
        </w:rPr>
        <w:t>IOL loans.</w:t>
      </w:r>
    </w:p>
    <w:p>
      <w:pPr>
        <w:spacing w:after="0" w:line="163" w:lineRule="exact"/>
        <w:rPr>
          <w:sz w:val="20"/>
          <w:szCs w:val="20"/>
          <w:color w:val="auto"/>
        </w:rPr>
      </w:pPr>
    </w:p>
    <w:p>
      <w:pPr>
        <w:ind w:left="582"/>
        <w:spacing w:after="0"/>
        <w:rPr>
          <w:sz w:val="20"/>
          <w:szCs w:val="20"/>
          <w:color w:val="auto"/>
        </w:rPr>
      </w:pPr>
      <w:r>
        <w:rPr>
          <w:rFonts w:ascii="Arial" w:cs="Arial" w:eastAsia="Arial" w:hAnsi="Arial"/>
          <w:sz w:val="20"/>
          <w:szCs w:val="20"/>
          <w:color w:val="auto"/>
        </w:rPr>
        <w:t>In the YoY analysis:</w:t>
      </w:r>
    </w:p>
    <w:p>
      <w:pPr>
        <w:spacing w:after="0" w:line="214" w:lineRule="exact"/>
        <w:rPr>
          <w:sz w:val="20"/>
          <w:szCs w:val="20"/>
          <w:color w:val="auto"/>
        </w:rPr>
      </w:pPr>
    </w:p>
    <w:p>
      <w:pPr>
        <w:ind w:left="882" w:hanging="293"/>
        <w:spacing w:after="0" w:line="292" w:lineRule="auto"/>
        <w:tabs>
          <w:tab w:leader="none" w:pos="882"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IOL portfolio</w:t>
      </w:r>
      <w:r>
        <w:rPr>
          <w:rFonts w:ascii="Arial" w:cs="Arial" w:eastAsia="Arial" w:hAnsi="Arial"/>
          <w:sz w:val="16"/>
          <w:szCs w:val="16"/>
          <w:color w:val="auto"/>
        </w:rPr>
        <w:t>: the reduction of -4.3% is mainly attributable to Individuals and Mibanco, which registered an improvement in payment behavior. The</w:t>
      </w:r>
      <w:r>
        <w:rPr>
          <w:rFonts w:ascii="Arial" w:cs="Arial" w:eastAsia="Arial" w:hAnsi="Arial"/>
          <w:sz w:val="16"/>
          <w:szCs w:val="16"/>
          <w:b w:val="1"/>
          <w:bCs w:val="1"/>
          <w:color w:val="auto"/>
        </w:rPr>
        <w:t xml:space="preserve"> </w:t>
      </w:r>
      <w:r>
        <w:rPr>
          <w:rFonts w:ascii="Arial" w:cs="Arial" w:eastAsia="Arial" w:hAnsi="Arial"/>
          <w:sz w:val="16"/>
          <w:szCs w:val="16"/>
          <w:color w:val="auto"/>
        </w:rPr>
        <w:t>aforementioned was partially offset by an increase in IOLs in the SMEs segment after grace periods expired and more clients entered default.</w:t>
      </w:r>
    </w:p>
    <w:p>
      <w:pPr>
        <w:spacing w:after="0" w:line="165" w:lineRule="exact"/>
        <w:rPr>
          <w:rFonts w:ascii="Arial" w:cs="Arial" w:eastAsia="Arial" w:hAnsi="Arial"/>
          <w:sz w:val="16"/>
          <w:szCs w:val="16"/>
          <w:color w:val="auto"/>
        </w:rPr>
      </w:pPr>
    </w:p>
    <w:p>
      <w:pPr>
        <w:ind w:left="882" w:hanging="293"/>
        <w:spacing w:after="0"/>
        <w:tabs>
          <w:tab w:leader="none" w:pos="882"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Refinanced portfolio</w:t>
      </w:r>
      <w:r>
        <w:rPr>
          <w:rFonts w:ascii="Arial" w:cs="Arial" w:eastAsia="Arial" w:hAnsi="Arial"/>
          <w:sz w:val="15"/>
          <w:szCs w:val="15"/>
          <w:color w:val="auto"/>
        </w:rPr>
        <w:t>: the increase of +8.1% was generated by an uptick in loan reprogramming for clients at BCP Stand-alone due to the pandemic.</w:t>
      </w:r>
    </w:p>
    <w:p>
      <w:pPr>
        <w:spacing w:after="0" w:line="244" w:lineRule="exact"/>
        <w:rPr>
          <w:rFonts w:ascii="Arial" w:cs="Arial" w:eastAsia="Arial" w:hAnsi="Arial"/>
          <w:sz w:val="15"/>
          <w:szCs w:val="15"/>
          <w:color w:val="auto"/>
        </w:rPr>
      </w:pPr>
    </w:p>
    <w:p>
      <w:pPr>
        <w:ind w:left="882" w:hanging="293"/>
        <w:spacing w:after="0"/>
        <w:tabs>
          <w:tab w:leader="none" w:pos="882"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Write-offs</w:t>
      </w:r>
      <w:r>
        <w:rPr>
          <w:rFonts w:ascii="Arial" w:cs="Arial" w:eastAsia="Arial" w:hAnsi="Arial"/>
          <w:sz w:val="16"/>
          <w:szCs w:val="16"/>
          <w:color w:val="auto"/>
        </w:rPr>
        <w:t>: the combined banking subsidiaries reported +34.2% growth in write offs, which was led by Mibanco.</w:t>
      </w:r>
    </w:p>
    <w:p>
      <w:pPr>
        <w:spacing w:after="0" w:line="233" w:lineRule="exact"/>
        <w:rPr>
          <w:rFonts w:ascii="Arial" w:cs="Arial" w:eastAsia="Arial" w:hAnsi="Arial"/>
          <w:sz w:val="16"/>
          <w:szCs w:val="16"/>
          <w:color w:val="auto"/>
        </w:rPr>
      </w:pPr>
    </w:p>
    <w:p>
      <w:pPr>
        <w:ind w:left="882" w:hanging="293"/>
        <w:spacing w:after="0"/>
        <w:tabs>
          <w:tab w:leader="none" w:pos="882"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NPL Ratio</w:t>
      </w:r>
      <w:r>
        <w:rPr>
          <w:rFonts w:ascii="Arial" w:cs="Arial" w:eastAsia="Arial" w:hAnsi="Arial"/>
          <w:sz w:val="16"/>
          <w:szCs w:val="16"/>
          <w:color w:val="auto"/>
        </w:rPr>
        <w:t>: the drop of -74 bps was due to an increase in total loans (+14.1%) and to a decrease in the NPL volume (-1.0%).</w:t>
      </w:r>
    </w:p>
    <w:p>
      <w:pPr>
        <w:spacing w:after="0" w:line="233" w:lineRule="exact"/>
        <w:rPr>
          <w:rFonts w:ascii="Arial" w:cs="Arial" w:eastAsia="Arial" w:hAnsi="Arial"/>
          <w:sz w:val="16"/>
          <w:szCs w:val="16"/>
          <w:color w:val="auto"/>
        </w:rPr>
      </w:pPr>
    </w:p>
    <w:p>
      <w:pPr>
        <w:ind w:left="882" w:hanging="293"/>
        <w:spacing w:after="0" w:line="292" w:lineRule="auto"/>
        <w:tabs>
          <w:tab w:leader="none" w:pos="882"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Coverage for the NPL Portfolio</w:t>
      </w:r>
      <w:r>
        <w:rPr>
          <w:rFonts w:ascii="Arial" w:cs="Arial" w:eastAsia="Arial" w:hAnsi="Arial"/>
          <w:sz w:val="16"/>
          <w:szCs w:val="16"/>
          <w:color w:val="auto"/>
        </w:rPr>
        <w:t>: the contraction was primarily attributable to growth in the NPL portfolio and, to a lesser extent, to a drop in the allowance</w:t>
      </w:r>
      <w:r>
        <w:rPr>
          <w:rFonts w:ascii="Arial" w:cs="Arial" w:eastAsia="Arial" w:hAnsi="Arial"/>
          <w:sz w:val="16"/>
          <w:szCs w:val="16"/>
          <w:b w:val="1"/>
          <w:bCs w:val="1"/>
          <w:color w:val="auto"/>
        </w:rPr>
        <w:t xml:space="preserve"> </w:t>
      </w:r>
      <w:r>
        <w:rPr>
          <w:rFonts w:ascii="Arial" w:cs="Arial" w:eastAsia="Arial" w:hAnsi="Arial"/>
          <w:sz w:val="16"/>
          <w:szCs w:val="16"/>
          <w:color w:val="auto"/>
        </w:rPr>
        <w:t>for loan losses.</w:t>
      </w:r>
    </w:p>
    <w:p>
      <w:pPr>
        <w:spacing w:after="0" w:line="165" w:lineRule="exact"/>
        <w:rPr>
          <w:rFonts w:ascii="Arial" w:cs="Arial" w:eastAsia="Arial" w:hAnsi="Arial"/>
          <w:sz w:val="16"/>
          <w:szCs w:val="16"/>
          <w:color w:val="auto"/>
        </w:rPr>
      </w:pPr>
    </w:p>
    <w:p>
      <w:pPr>
        <w:ind w:left="582" w:hanging="287"/>
        <w:spacing w:after="0"/>
        <w:tabs>
          <w:tab w:leader="none" w:pos="582"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GP Portfolio:</w:t>
      </w:r>
    </w:p>
    <w:p>
      <w:pPr>
        <w:spacing w:after="0" w:line="233"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GP Portfolio quality and Delinquency ratios (1)</w:t>
            </w: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 change</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Pr>
          <w:p>
            <w:pPr>
              <w:spacing w:after="0"/>
              <w:rPr>
                <w:sz w:val="16"/>
                <w:szCs w:val="16"/>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Dec 20</w:t>
            </w:r>
          </w:p>
        </w:tc>
        <w:tc>
          <w:tcPr>
            <w:tcW w:w="300" w:type="dxa"/>
            <w:vAlign w:val="bottom"/>
          </w:tcPr>
          <w:p>
            <w:pPr>
              <w:spacing w:after="0"/>
              <w:rPr>
                <w:sz w:val="16"/>
                <w:szCs w:val="16"/>
                <w:color w:val="auto"/>
              </w:rPr>
            </w:pPr>
          </w:p>
        </w:tc>
        <w:tc>
          <w:tcPr>
            <w:tcW w:w="11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Sep 21</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Dec 21</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QoQ</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r>
      <w:tr>
        <w:trPr>
          <w:trHeight w:val="189"/>
        </w:trPr>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GP Total loans (Quarter-end balance)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w w:val="87"/>
              </w:rPr>
              <w:t>24,641,991</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21,022,603</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18,669,625</w:t>
            </w:r>
          </w:p>
        </w:tc>
        <w:tc>
          <w:tcPr>
            <w:tcW w:w="2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-11.2%</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-24.2%</w:t>
            </w:r>
          </w:p>
        </w:tc>
      </w:tr>
      <w:tr>
        <w:trPr>
          <w:trHeight w:val="196"/>
        </w:trPr>
        <w:tc>
          <w:tcPr>
            <w:tcW w:w="4480" w:type="dxa"/>
            <w:vAlign w:val="bottom"/>
            <w:gridSpan w:val="2"/>
          </w:tcPr>
          <w:p>
            <w:pPr>
              <w:spacing w:after="0"/>
              <w:rPr>
                <w:sz w:val="20"/>
                <w:szCs w:val="20"/>
                <w:color w:val="auto"/>
              </w:rPr>
            </w:pPr>
            <w:r>
              <w:rPr>
                <w:rFonts w:ascii="Arial" w:cs="Arial" w:eastAsia="Arial" w:hAnsi="Arial"/>
                <w:sz w:val="16"/>
                <w:szCs w:val="16"/>
                <w:color w:val="auto"/>
              </w:rPr>
              <w:t>GP Allowance for loan losses</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135,531</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142,519</w:t>
            </w:r>
          </w:p>
        </w:tc>
        <w:tc>
          <w:tcPr>
            <w:tcW w:w="1100" w:type="dxa"/>
            <w:vAlign w:val="bottom"/>
          </w:tcPr>
          <w:p>
            <w:pPr>
              <w:jc w:val="right"/>
              <w:spacing w:after="0"/>
              <w:rPr>
                <w:sz w:val="20"/>
                <w:szCs w:val="20"/>
                <w:color w:val="auto"/>
              </w:rPr>
            </w:pPr>
            <w:r>
              <w:rPr>
                <w:rFonts w:ascii="Arial" w:cs="Arial" w:eastAsia="Arial" w:hAnsi="Arial"/>
                <w:sz w:val="16"/>
                <w:szCs w:val="16"/>
                <w:color w:val="auto"/>
              </w:rPr>
              <w:t>196,841</w:t>
            </w:r>
          </w:p>
        </w:tc>
        <w:tc>
          <w:tcPr>
            <w:tcW w:w="2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38.1%</w:t>
            </w:r>
          </w:p>
        </w:tc>
        <w:tc>
          <w:tcPr>
            <w:tcW w:w="3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45.2%</w:t>
            </w:r>
          </w:p>
        </w:tc>
      </w:tr>
      <w:tr>
        <w:trPr>
          <w:trHeight w:val="196"/>
        </w:trPr>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GP IOLs</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697,503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1,075,885</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54.2 %</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196"/>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GP IOL ratio</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5.76%</w:t>
            </w:r>
          </w:p>
        </w:tc>
        <w:tc>
          <w:tcPr>
            <w:tcW w:w="1700" w:type="dxa"/>
            <w:vAlign w:val="bottom"/>
            <w:gridSpan w:val="3"/>
          </w:tcPr>
          <w:p>
            <w:pPr>
              <w:jc w:val="right"/>
              <w:ind w:right="600"/>
              <w:spacing w:after="0"/>
              <w:rPr>
                <w:sz w:val="20"/>
                <w:szCs w:val="20"/>
                <w:color w:val="auto"/>
              </w:rPr>
            </w:pPr>
            <w:r>
              <w:rPr>
                <w:rFonts w:ascii="Arial" w:cs="Arial" w:eastAsia="Arial" w:hAnsi="Arial"/>
                <w:sz w:val="16"/>
                <w:szCs w:val="16"/>
                <w:color w:val="auto"/>
              </w:rPr>
              <w:t>244 bps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r>
        <w:trPr>
          <w:trHeight w:val="196"/>
        </w:trPr>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GP Allowance for loan losses over GP Total loans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w:t>
            </w: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37 bps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 bps</w:t>
            </w:r>
          </w:p>
        </w:tc>
      </w:tr>
      <w:tr>
        <w:trPr>
          <w:trHeight w:val="208"/>
        </w:trPr>
        <w:tc>
          <w:tcPr>
            <w:tcW w:w="4480" w:type="dxa"/>
            <w:vAlign w:val="bottom"/>
            <w:gridSpan w:val="2"/>
          </w:tcPr>
          <w:p>
            <w:pPr>
              <w:spacing w:after="0"/>
              <w:rPr>
                <w:sz w:val="20"/>
                <w:szCs w:val="20"/>
                <w:color w:val="auto"/>
              </w:rPr>
            </w:pPr>
            <w:r>
              <w:rPr>
                <w:rFonts w:ascii="Arial" w:cs="Arial" w:eastAsia="Arial" w:hAnsi="Arial"/>
                <w:sz w:val="16"/>
                <w:szCs w:val="16"/>
                <w:color w:val="auto"/>
              </w:rPr>
              <w:t>GP Coverage ratio of IOLs</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20.4%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18.3%</w:t>
            </w:r>
          </w:p>
        </w:tc>
        <w:tc>
          <w:tcPr>
            <w:tcW w:w="1700" w:type="dxa"/>
            <w:vAlign w:val="bottom"/>
            <w:gridSpan w:val="3"/>
          </w:tcPr>
          <w:p>
            <w:pPr>
              <w:jc w:val="right"/>
              <w:ind w:right="600"/>
              <w:spacing w:after="0"/>
              <w:rPr>
                <w:sz w:val="20"/>
                <w:szCs w:val="20"/>
                <w:color w:val="auto"/>
              </w:rPr>
            </w:pPr>
            <w:r>
              <w:rPr>
                <w:rFonts w:ascii="Arial" w:cs="Arial" w:eastAsia="Arial" w:hAnsi="Arial"/>
                <w:sz w:val="16"/>
                <w:szCs w:val="16"/>
                <w:color w:val="auto"/>
              </w:rPr>
              <w:t>-213 bps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bl>
    <w:p>
      <w:pPr>
        <w:spacing w:after="0" w:line="190" w:lineRule="exact"/>
        <w:rPr>
          <w:sz w:val="20"/>
          <w:szCs w:val="20"/>
          <w:color w:val="auto"/>
        </w:rPr>
      </w:pPr>
    </w:p>
    <w:p>
      <w:pPr>
        <w:ind w:left="582" w:right="6200" w:hanging="582"/>
        <w:spacing w:after="0" w:line="462" w:lineRule="auto"/>
        <w:tabs>
          <w:tab w:leader="none" w:pos="271" w:val="left"/>
        </w:tabs>
        <w:numPr>
          <w:ilvl w:val="0"/>
          <w:numId w:val="39"/>
        </w:numPr>
        <w:rPr>
          <w:rFonts w:ascii="Arial" w:cs="Arial" w:eastAsia="Arial" w:hAnsi="Arial"/>
          <w:sz w:val="20"/>
          <w:szCs w:val="20"/>
          <w:color w:val="auto"/>
        </w:rPr>
      </w:pPr>
      <w:r>
        <w:rPr>
          <w:rFonts w:ascii="Arial" w:cs="Arial" w:eastAsia="Arial" w:hAnsi="Arial"/>
          <w:sz w:val="20"/>
          <w:szCs w:val="20"/>
          <w:color w:val="auto"/>
        </w:rPr>
        <w:t>Government Programs (GP) include Reactiva Peru and FAE. In the QoQ analysis:</w:t>
      </w:r>
    </w:p>
    <w:p>
      <w:pPr>
        <w:ind w:left="882" w:hanging="293"/>
        <w:spacing w:after="0" w:line="292" w:lineRule="auto"/>
        <w:tabs>
          <w:tab w:leader="none" w:pos="882"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IOL portfolio</w:t>
      </w:r>
      <w:r>
        <w:rPr>
          <w:rFonts w:ascii="Arial" w:cs="Arial" w:eastAsia="Arial" w:hAnsi="Arial"/>
          <w:sz w:val="16"/>
          <w:szCs w:val="16"/>
          <w:color w:val="auto"/>
        </w:rPr>
        <w:t>: growth was driven by SME-Pyme at BCP Stand-alone and at Mibanco, which was attenuated by decreases in Wholesale Banking at BCP</w:t>
      </w:r>
      <w:r>
        <w:rPr>
          <w:rFonts w:ascii="Arial" w:cs="Arial" w:eastAsia="Arial" w:hAnsi="Arial"/>
          <w:sz w:val="16"/>
          <w:szCs w:val="16"/>
          <w:b w:val="1"/>
          <w:bCs w:val="1"/>
          <w:color w:val="auto"/>
        </w:rPr>
        <w:t xml:space="preserve"> </w:t>
      </w:r>
      <w:r>
        <w:rPr>
          <w:rFonts w:ascii="Arial" w:cs="Arial" w:eastAsia="Arial" w:hAnsi="Arial"/>
          <w:sz w:val="16"/>
          <w:szCs w:val="16"/>
          <w:color w:val="auto"/>
        </w:rPr>
        <w:t>Stand-alone.</w:t>
      </w:r>
    </w:p>
    <w:p>
      <w:pPr>
        <w:spacing w:after="0" w:line="165" w:lineRule="exact"/>
        <w:rPr>
          <w:rFonts w:ascii="Arial" w:cs="Arial" w:eastAsia="Arial" w:hAnsi="Arial"/>
          <w:sz w:val="16"/>
          <w:szCs w:val="16"/>
          <w:color w:val="auto"/>
        </w:rPr>
      </w:pPr>
    </w:p>
    <w:p>
      <w:pPr>
        <w:ind w:left="882" w:hanging="293"/>
        <w:spacing w:after="0"/>
        <w:tabs>
          <w:tab w:leader="none" w:pos="882"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IOL Ratio: </w:t>
      </w:r>
      <w:r>
        <w:rPr>
          <w:rFonts w:ascii="Arial" w:cs="Arial" w:eastAsia="Arial" w:hAnsi="Arial"/>
          <w:sz w:val="16"/>
          <w:szCs w:val="16"/>
          <w:color w:val="auto"/>
        </w:rPr>
        <w:t>the increase was attributable to an uptick in IOL loans and to a reduction in total loans.</w:t>
      </w:r>
    </w:p>
    <w:p>
      <w:pPr>
        <w:spacing w:after="0" w:line="233" w:lineRule="exact"/>
        <w:rPr>
          <w:rFonts w:ascii="Arial" w:cs="Arial" w:eastAsia="Arial" w:hAnsi="Arial"/>
          <w:sz w:val="16"/>
          <w:szCs w:val="16"/>
          <w:color w:val="auto"/>
        </w:rPr>
      </w:pPr>
    </w:p>
    <w:p>
      <w:pPr>
        <w:ind w:left="882" w:hanging="293"/>
        <w:spacing w:after="0"/>
        <w:tabs>
          <w:tab w:leader="none" w:pos="882"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Coverage for the IOL Ratio</w:t>
      </w:r>
      <w:r>
        <w:rPr>
          <w:rFonts w:ascii="Arial" w:cs="Arial" w:eastAsia="Arial" w:hAnsi="Arial"/>
          <w:sz w:val="16"/>
          <w:szCs w:val="16"/>
          <w:color w:val="auto"/>
        </w:rPr>
        <w:t>: the reduction was due primarily to growth in IOL loans.</w:t>
      </w:r>
    </w:p>
    <w:p>
      <w:pPr>
        <w:spacing w:after="0" w:line="231"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consolidated figures for Credicorp’s Total Portfolio, which reflect the evolutions of the Structural Portfolio and GP portfolio discussed above, were as follows:</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73" w:right="339" w:bottom="1440" w:gutter="0" w:footer="0" w:header="0"/>
        </w:sectPr>
      </w:pPr>
    </w:p>
    <w:bookmarkStart w:id="34" w:name="page35"/>
    <w:bookmarkEnd w:id="34"/>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Total Portfolio:</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Portfolio quality and Delinquency ratios</w:t>
            </w: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 change</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Dec 20</w:t>
            </w:r>
          </w:p>
        </w:tc>
        <w:tc>
          <w:tcPr>
            <w:tcW w:w="280" w:type="dxa"/>
            <w:vAlign w:val="bottom"/>
          </w:tcPr>
          <w:p>
            <w:pPr>
              <w:spacing w:after="0"/>
              <w:rPr>
                <w:sz w:val="16"/>
                <w:szCs w:val="16"/>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Sep 21</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Dec 21</w:t>
            </w:r>
          </w:p>
        </w:tc>
        <w:tc>
          <w:tcPr>
            <w:tcW w:w="300" w:type="dxa"/>
            <w:vAlign w:val="bottom"/>
          </w:tcPr>
          <w:p>
            <w:pPr>
              <w:spacing w:after="0"/>
              <w:rPr>
                <w:sz w:val="16"/>
                <w:szCs w:val="16"/>
                <w:color w:val="auto"/>
              </w:rPr>
            </w:pP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QoQ</w:t>
            </w:r>
          </w:p>
        </w:tc>
        <w:tc>
          <w:tcPr>
            <w:tcW w:w="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r>
      <w:tr>
        <w:trPr>
          <w:trHeight w:val="189"/>
        </w:trPr>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loans (Quarter-end balance)</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137,659,885</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146,551,226</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147,597,412</w:t>
            </w: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0.7%</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Allowance for loan losses</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9,898,760</w:t>
            </w:r>
          </w:p>
        </w:tc>
        <w:tc>
          <w:tcPr>
            <w:tcW w:w="1100" w:type="dxa"/>
            <w:vAlign w:val="bottom"/>
          </w:tcPr>
          <w:p>
            <w:pPr>
              <w:jc w:val="right"/>
              <w:spacing w:after="0"/>
              <w:rPr>
                <w:sz w:val="20"/>
                <w:szCs w:val="20"/>
                <w:color w:val="auto"/>
              </w:rPr>
            </w:pPr>
            <w:r>
              <w:rPr>
                <w:rFonts w:ascii="Arial" w:cs="Arial" w:eastAsia="Arial" w:hAnsi="Arial"/>
                <w:sz w:val="16"/>
                <w:szCs w:val="16"/>
                <w:color w:val="auto"/>
              </w:rPr>
              <w:t>9,077,449</w:t>
            </w:r>
          </w:p>
        </w:tc>
        <w:tc>
          <w:tcPr>
            <w:tcW w:w="28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8,477,308</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-14.4%</w:t>
            </w: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Write-offs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509,001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670,273</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683,181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Internal overdue loans (IOLs) (1)</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4,675,731</w:t>
            </w:r>
          </w:p>
        </w:tc>
        <w:tc>
          <w:tcPr>
            <w:tcW w:w="1100" w:type="dxa"/>
            <w:vAlign w:val="bottom"/>
          </w:tcPr>
          <w:p>
            <w:pPr>
              <w:jc w:val="right"/>
              <w:spacing w:after="0"/>
              <w:rPr>
                <w:sz w:val="20"/>
                <w:szCs w:val="20"/>
                <w:color w:val="auto"/>
              </w:rPr>
            </w:pPr>
            <w:r>
              <w:rPr>
                <w:rFonts w:ascii="Arial" w:cs="Arial" w:eastAsia="Arial" w:hAnsi="Arial"/>
                <w:sz w:val="16"/>
                <w:szCs w:val="16"/>
                <w:color w:val="auto"/>
              </w:rPr>
              <w:t>5,473,685</w:t>
            </w:r>
          </w:p>
        </w:tc>
        <w:tc>
          <w:tcPr>
            <w:tcW w:w="28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5,551,258</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18.7%</w:t>
            </w: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Internal overdue loans over 90-days (1)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3,709,865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4,051,717</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4,203,671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Refinanced loans</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1,664,626</w:t>
            </w:r>
          </w:p>
        </w:tc>
        <w:tc>
          <w:tcPr>
            <w:tcW w:w="1100" w:type="dxa"/>
            <w:vAlign w:val="bottom"/>
          </w:tcPr>
          <w:p>
            <w:pPr>
              <w:jc w:val="right"/>
              <w:spacing w:after="0"/>
              <w:rPr>
                <w:sz w:val="20"/>
                <w:szCs w:val="20"/>
                <w:color w:val="auto"/>
              </w:rPr>
            </w:pPr>
            <w:r>
              <w:rPr>
                <w:rFonts w:ascii="Arial" w:cs="Arial" w:eastAsia="Arial" w:hAnsi="Arial"/>
                <w:sz w:val="16"/>
                <w:szCs w:val="16"/>
                <w:color w:val="auto"/>
              </w:rPr>
              <w:t>1,798,965</w:t>
            </w:r>
          </w:p>
        </w:tc>
        <w:tc>
          <w:tcPr>
            <w:tcW w:w="28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1,799,541</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0.0%</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Non-performing loans (NPLs) (2)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6,340,357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7,272,650</w:t>
            </w:r>
          </w:p>
        </w:tc>
        <w:tc>
          <w:tcPr>
            <w:tcW w:w="2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7,350,799</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IOL ratio</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3.40%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3.73%</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3.76%</w:t>
            </w:r>
          </w:p>
        </w:tc>
        <w:tc>
          <w:tcPr>
            <w:tcW w:w="1700" w:type="dxa"/>
            <w:vAlign w:val="bottom"/>
            <w:gridSpan w:val="3"/>
          </w:tcPr>
          <w:p>
            <w:pPr>
              <w:jc w:val="right"/>
              <w:ind w:right="620"/>
              <w:spacing w:after="0"/>
              <w:rPr>
                <w:sz w:val="20"/>
                <w:szCs w:val="20"/>
                <w:color w:val="auto"/>
              </w:rPr>
            </w:pPr>
            <w:r>
              <w:rPr>
                <w:rFonts w:ascii="Arial" w:cs="Arial" w:eastAsia="Arial" w:hAnsi="Arial"/>
                <w:sz w:val="16"/>
                <w:szCs w:val="16"/>
                <w:color w:val="auto"/>
              </w:rPr>
              <w:t>3 bps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36 bps</w:t>
            </w: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IOL over 90-days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2.85%</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9 bps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 bps</w:t>
            </w: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NPL ratio</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4.61%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4.96%</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4.98%</w:t>
            </w:r>
          </w:p>
        </w:tc>
        <w:tc>
          <w:tcPr>
            <w:tcW w:w="1700" w:type="dxa"/>
            <w:vAlign w:val="bottom"/>
            <w:gridSpan w:val="3"/>
          </w:tcPr>
          <w:p>
            <w:pPr>
              <w:jc w:val="right"/>
              <w:ind w:right="620"/>
              <w:spacing w:after="0"/>
              <w:rPr>
                <w:sz w:val="20"/>
                <w:szCs w:val="20"/>
                <w:color w:val="auto"/>
              </w:rPr>
            </w:pPr>
            <w:r>
              <w:rPr>
                <w:rFonts w:ascii="Arial" w:cs="Arial" w:eastAsia="Arial" w:hAnsi="Arial"/>
                <w:sz w:val="16"/>
                <w:szCs w:val="16"/>
                <w:color w:val="auto"/>
              </w:rPr>
              <w:t>2 bps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37 bps</w:t>
            </w: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Allowance for loan losses over Total loans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-45 bps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 bps</w:t>
            </w: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Coverage ratio of IOLs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211.7%</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165.8%</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152.7%</w:t>
            </w:r>
          </w:p>
        </w:tc>
        <w:tc>
          <w:tcPr>
            <w:tcW w:w="1700" w:type="dxa"/>
            <w:vAlign w:val="bottom"/>
            <w:gridSpan w:val="3"/>
          </w:tcPr>
          <w:p>
            <w:pPr>
              <w:jc w:val="right"/>
              <w:ind w:right="620"/>
              <w:spacing w:after="0"/>
              <w:rPr>
                <w:sz w:val="20"/>
                <w:szCs w:val="20"/>
                <w:color w:val="auto"/>
              </w:rPr>
            </w:pPr>
            <w:r>
              <w:rPr>
                <w:rFonts w:ascii="Arial" w:cs="Arial" w:eastAsia="Arial" w:hAnsi="Arial"/>
                <w:sz w:val="16"/>
                <w:szCs w:val="16"/>
                <w:color w:val="auto"/>
              </w:rPr>
              <w:t>-1313 bps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-5900 bps</w:t>
            </w: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Coverage ratio of IOL 90-days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266.8%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201.7%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-2238 bps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-6516 bps</w:t>
            </w:r>
          </w:p>
        </w:tc>
      </w:tr>
      <w:tr>
        <w:trPr>
          <w:trHeight w:val="208"/>
        </w:trPr>
        <w:tc>
          <w:tcPr>
            <w:tcW w:w="4460" w:type="dxa"/>
            <w:vAlign w:val="bottom"/>
            <w:gridSpan w:val="2"/>
          </w:tcPr>
          <w:p>
            <w:pPr>
              <w:spacing w:after="0"/>
              <w:rPr>
                <w:sz w:val="20"/>
                <w:szCs w:val="20"/>
                <w:color w:val="auto"/>
              </w:rPr>
            </w:pPr>
            <w:r>
              <w:rPr>
                <w:rFonts w:ascii="Arial" w:cs="Arial" w:eastAsia="Arial" w:hAnsi="Arial"/>
                <w:sz w:val="16"/>
                <w:szCs w:val="16"/>
                <w:color w:val="auto"/>
              </w:rPr>
              <w:t>Coverage ratio of NPLs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156.1%</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124.8%</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115.3%</w:t>
            </w:r>
          </w:p>
        </w:tc>
        <w:tc>
          <w:tcPr>
            <w:tcW w:w="1700" w:type="dxa"/>
            <w:vAlign w:val="bottom"/>
            <w:gridSpan w:val="3"/>
          </w:tcPr>
          <w:p>
            <w:pPr>
              <w:jc w:val="right"/>
              <w:ind w:right="620"/>
              <w:spacing w:after="0"/>
              <w:rPr>
                <w:sz w:val="20"/>
                <w:szCs w:val="20"/>
                <w:color w:val="auto"/>
              </w:rPr>
            </w:pPr>
            <w:r>
              <w:rPr>
                <w:rFonts w:ascii="Arial" w:cs="Arial" w:eastAsia="Arial" w:hAnsi="Arial"/>
                <w:sz w:val="16"/>
                <w:szCs w:val="16"/>
                <w:color w:val="auto"/>
              </w:rPr>
              <w:t>-950 bps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-4080 bps</w:t>
            </w:r>
          </w:p>
        </w:tc>
      </w:tr>
    </w:tbl>
    <w:p>
      <w:pPr>
        <w:spacing w:after="0" w:line="190" w:lineRule="exact"/>
        <w:rPr>
          <w:sz w:val="20"/>
          <w:szCs w:val="20"/>
          <w:color w:val="auto"/>
        </w:rPr>
      </w:pPr>
    </w:p>
    <w:p>
      <w:pPr>
        <w:ind w:left="282" w:hanging="282"/>
        <w:spacing w:after="0"/>
        <w:tabs>
          <w:tab w:leader="none" w:pos="282"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Includes overdue loans and loans under legal collection (Quarter-end balances).</w:t>
      </w:r>
    </w:p>
    <w:p>
      <w:pPr>
        <w:spacing w:after="0" w:line="6" w:lineRule="exact"/>
        <w:rPr>
          <w:rFonts w:ascii="Arial" w:cs="Arial" w:eastAsia="Arial" w:hAnsi="Arial"/>
          <w:sz w:val="20"/>
          <w:szCs w:val="20"/>
          <w:color w:val="auto"/>
        </w:rPr>
      </w:pPr>
    </w:p>
    <w:p>
      <w:pPr>
        <w:ind w:left="282" w:hanging="282"/>
        <w:spacing w:after="0"/>
        <w:tabs>
          <w:tab w:leader="none" w:pos="282"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Non-performing loans include internal overdue loans and refinanced loans (Quarter-end balances).</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The Evolution of Portfolio Quality Ratios and Delinquency</w:t>
      </w:r>
    </w:p>
    <w:p>
      <w:pPr>
        <w:spacing w:after="0" w:line="218" w:lineRule="exact"/>
        <w:rPr>
          <w:sz w:val="20"/>
          <w:szCs w:val="20"/>
          <w:color w:val="auto"/>
        </w:rPr>
      </w:pPr>
    </w:p>
    <w:p>
      <w:pPr>
        <w:jc w:val="both"/>
        <w:ind w:left="5842"/>
        <w:spacing w:after="0" w:line="247" w:lineRule="auto"/>
        <w:rPr>
          <w:sz w:val="20"/>
          <w:szCs w:val="20"/>
          <w:color w:val="auto"/>
        </w:rPr>
      </w:pPr>
      <w:r>
        <w:rPr>
          <w:rFonts w:ascii="Arial" w:cs="Arial" w:eastAsia="Arial" w:hAnsi="Arial"/>
          <w:sz w:val="19"/>
          <w:szCs w:val="19"/>
          <w:i w:val="1"/>
          <w:iCs w:val="1"/>
          <w:color w:val="auto"/>
        </w:rPr>
        <w:t>When analyzing the evolution of delinquency indicators, it is necessary to note that: (i) traditional delinquency indicators (IOL and NPL ratios) continue to be distorted by the presence of loans that have collateral (commercial and residential properties). This means that a significant portion of loans that are more than 150 days overdue cannot be written off, despite being fully provisioned, given that the judicial process to liquidate the collateral can take up to five years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-1129665</wp:posOffset>
            </wp:positionV>
            <wp:extent cx="3646170" cy="18776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4617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2" w:right="5840" w:hanging="2"/>
        <w:spacing w:after="0" w:line="259" w:lineRule="auto"/>
        <w:tabs>
          <w:tab w:leader="none" w:pos="315"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Structural Cost of risk excludes the provisions for credit losses on loan portfolio, net of recoveries and total loans from the Reactiva Peru and FAE Government Programs.</w:t>
      </w:r>
    </w:p>
    <w:p>
      <w:pPr>
        <w:spacing w:after="0" w:line="152"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In the context described above, Credicorp’s NPL ratio increased +2 bps QoQ. This result was mainly driven by NPL loans from the GP portfolio. It is important to note that structural NPL ratios were lower than total ratios.</w:t>
      </w:r>
    </w:p>
    <w:p>
      <w:pPr>
        <w:spacing w:after="0" w:line="183"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In the YoY analysis, the ratio increased +37 bps. Growth was spurred by grace period expirations in the GP Portfolio, which were subsequently reflected in the increases seen in IOL and refinanced loans. In this scenario, the ratio situated at 4.98%.</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4.2.1 Delinquency by segment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NPL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1487170</wp:posOffset>
            </wp:positionH>
            <wp:positionV relativeFrom="paragraph">
              <wp:posOffset>150495</wp:posOffset>
            </wp:positionV>
            <wp:extent cx="4168775" cy="26333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68775" cy="263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It is important to look at the following in the analysis of the NPL ratio by segment:</w:t>
      </w:r>
    </w:p>
    <w:p>
      <w:pPr>
        <w:spacing w:after="0" w:line="214" w:lineRule="exact"/>
        <w:rPr>
          <w:sz w:val="20"/>
          <w:szCs w:val="20"/>
          <w:color w:val="auto"/>
        </w:rPr>
      </w:pPr>
    </w:p>
    <w:p>
      <w:pPr>
        <w:ind w:left="580" w:hanging="287"/>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Structural Portfolio</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In the QoQ analysis:</w:t>
      </w:r>
    </w:p>
    <w:p>
      <w:pPr>
        <w:spacing w:after="0" w:line="214" w:lineRule="exact"/>
        <w:rPr>
          <w:sz w:val="20"/>
          <w:szCs w:val="20"/>
          <w:color w:val="auto"/>
        </w:rPr>
      </w:pPr>
    </w:p>
    <w:p>
      <w:pPr>
        <w:ind w:left="880" w:hanging="293"/>
        <w:spacing w:after="0" w:line="266"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Wholesale: </w:t>
      </w:r>
      <w:r>
        <w:rPr>
          <w:rFonts w:ascii="Arial" w:cs="Arial" w:eastAsia="Arial" w:hAnsi="Arial"/>
          <w:sz w:val="16"/>
          <w:szCs w:val="16"/>
          <w:color w:val="auto"/>
        </w:rPr>
        <w:t>the ratio fell -5 bps in a context of loan growth, as indicated in section 1.2.1. Loan evolution by business segment, and due to a drop in IOL and</w:t>
      </w:r>
      <w:r>
        <w:rPr>
          <w:rFonts w:ascii="Arial" w:cs="Arial" w:eastAsia="Arial" w:hAnsi="Arial"/>
          <w:sz w:val="16"/>
          <w:szCs w:val="16"/>
          <w:b w:val="1"/>
          <w:bCs w:val="1"/>
          <w:color w:val="auto"/>
        </w:rPr>
        <w:t xml:space="preserve"> </w:t>
      </w:r>
      <w:r>
        <w:rPr>
          <w:rFonts w:ascii="Arial" w:cs="Arial" w:eastAsia="Arial" w:hAnsi="Arial"/>
          <w:sz w:val="16"/>
          <w:szCs w:val="16"/>
          <w:color w:val="auto"/>
        </w:rPr>
        <w:t>refinanced loans, which was associated with a small number of clients in Corporate Banking.</w:t>
      </w:r>
    </w:p>
    <w:p>
      <w:pPr>
        <w:ind w:left="880" w:hanging="293"/>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SME: </w:t>
      </w:r>
      <w:r>
        <w:rPr>
          <w:rFonts w:ascii="Arial" w:cs="Arial" w:eastAsia="Arial" w:hAnsi="Arial"/>
          <w:sz w:val="16"/>
          <w:szCs w:val="16"/>
          <w:color w:val="auto"/>
        </w:rPr>
        <w:t>the NPL ratio fell -28 bps given that the increase in loans (+6.5%) outpaced growth in NPL portfolio (+4.4%).</w:t>
      </w:r>
    </w:p>
    <w:p>
      <w:pPr>
        <w:spacing w:after="0" w:line="12" w:lineRule="exact"/>
        <w:rPr>
          <w:rFonts w:ascii="Arial" w:cs="Arial" w:eastAsia="Arial" w:hAnsi="Arial"/>
          <w:sz w:val="16"/>
          <w:szCs w:val="16"/>
          <w:color w:val="auto"/>
        </w:rPr>
      </w:pPr>
    </w:p>
    <w:p>
      <w:pPr>
        <w:ind w:left="880" w:hanging="293"/>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Personal</w:t>
      </w:r>
      <w:r>
        <w:rPr>
          <w:rFonts w:ascii="Arial" w:cs="Arial" w:eastAsia="Arial" w:hAnsi="Arial"/>
          <w:sz w:val="16"/>
          <w:szCs w:val="16"/>
          <w:color w:val="auto"/>
        </w:rPr>
        <w:t>: the drop of -25 bps was attributable to an increase in individuals’ liquidity after bonuses were paid in the month of December.</w:t>
      </w:r>
    </w:p>
    <w:p>
      <w:pPr>
        <w:spacing w:after="0" w:line="12" w:lineRule="exact"/>
        <w:rPr>
          <w:rFonts w:ascii="Arial" w:cs="Arial" w:eastAsia="Arial" w:hAnsi="Arial"/>
          <w:sz w:val="16"/>
          <w:szCs w:val="16"/>
          <w:color w:val="auto"/>
        </w:rPr>
      </w:pPr>
    </w:p>
    <w:p>
      <w:pPr>
        <w:ind w:left="880" w:hanging="293"/>
        <w:spacing w:after="0" w:line="256"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the reduction of -288 bps was attributable to a drop in IOL and refinanced loans, which was attributable to proactive collections and an increase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write-offs. Improvement was also driven by loan growth.</w:t>
      </w:r>
    </w:p>
    <w:p>
      <w:pPr>
        <w:ind w:left="880" w:hanging="293"/>
        <w:spacing w:after="0" w:line="272"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BCP Bolivia</w:t>
      </w:r>
      <w:r>
        <w:rPr>
          <w:rFonts w:ascii="Arial" w:cs="Arial" w:eastAsia="Arial" w:hAnsi="Arial"/>
          <w:sz w:val="16"/>
          <w:szCs w:val="16"/>
          <w:color w:val="auto"/>
        </w:rPr>
        <w:t>: the - 7 bps decline was attributable to clients’ positive payment behavior. It is important to note that the effects of grace period expirations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evident in 2022.</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In the YoY analysis:</w:t>
      </w:r>
    </w:p>
    <w:p>
      <w:pPr>
        <w:spacing w:after="0" w:line="214" w:lineRule="exact"/>
        <w:rPr>
          <w:sz w:val="20"/>
          <w:szCs w:val="20"/>
          <w:color w:val="auto"/>
        </w:rPr>
      </w:pPr>
    </w:p>
    <w:p>
      <w:pPr>
        <w:ind w:left="880" w:hanging="293"/>
        <w:spacing w:after="0" w:line="283" w:lineRule="auto"/>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b w:val="1"/>
          <w:bCs w:val="1"/>
          <w:color w:val="auto"/>
        </w:rPr>
        <w:t xml:space="preserve">Wholesale: </w:t>
      </w:r>
      <w:r>
        <w:rPr>
          <w:rFonts w:ascii="Arial" w:cs="Arial" w:eastAsia="Arial" w:hAnsi="Arial"/>
          <w:sz w:val="15"/>
          <w:szCs w:val="15"/>
          <w:color w:val="auto"/>
        </w:rPr>
        <w:t>increased +2 bps due to growth in the volume of IOL loans, which was associated with the evolution of a client in the Leisure and Tourism</w:t>
      </w:r>
      <w:r>
        <w:rPr>
          <w:rFonts w:ascii="Arial" w:cs="Arial" w:eastAsia="Arial" w:hAnsi="Arial"/>
          <w:sz w:val="15"/>
          <w:szCs w:val="15"/>
          <w:b w:val="1"/>
          <w:bCs w:val="1"/>
          <w:color w:val="auto"/>
        </w:rPr>
        <w:t xml:space="preserve"> </w:t>
      </w:r>
      <w:r>
        <w:rPr>
          <w:rFonts w:ascii="Arial" w:cs="Arial" w:eastAsia="Arial" w:hAnsi="Arial"/>
          <w:sz w:val="15"/>
          <w:szCs w:val="15"/>
          <w:color w:val="auto"/>
        </w:rPr>
        <w:t>industry, whose services were negatively impacted by the pandemic. This was partially offset by the significant increase in loans (+22.6%).</w:t>
      </w:r>
    </w:p>
    <w:p>
      <w:pPr>
        <w:spacing w:after="0" w:line="1" w:lineRule="exact"/>
        <w:rPr>
          <w:rFonts w:ascii="Arial" w:cs="Arial" w:eastAsia="Arial" w:hAnsi="Arial"/>
          <w:sz w:val="15"/>
          <w:szCs w:val="15"/>
          <w:color w:val="auto"/>
        </w:rPr>
      </w:pPr>
    </w:p>
    <w:p>
      <w:pPr>
        <w:ind w:left="880" w:hanging="293"/>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b w:val="1"/>
          <w:bCs w:val="1"/>
          <w:color w:val="auto"/>
        </w:rPr>
        <w:t xml:space="preserve">SME: </w:t>
      </w:r>
      <w:r>
        <w:rPr>
          <w:rFonts w:ascii="Arial" w:cs="Arial" w:eastAsia="Arial" w:hAnsi="Arial"/>
          <w:sz w:val="15"/>
          <w:szCs w:val="15"/>
          <w:color w:val="auto"/>
        </w:rPr>
        <w:t>growth of +31 bps was due primarily to the deterioration of the SME-Pyme portfolio, which was impacted by an increase in the expirations volume.</w:t>
      </w:r>
    </w:p>
    <w:p>
      <w:pPr>
        <w:spacing w:after="0" w:line="23" w:lineRule="exact"/>
        <w:rPr>
          <w:rFonts w:ascii="Arial" w:cs="Arial" w:eastAsia="Arial" w:hAnsi="Arial"/>
          <w:sz w:val="15"/>
          <w:szCs w:val="15"/>
          <w:color w:val="auto"/>
        </w:rPr>
      </w:pPr>
    </w:p>
    <w:p>
      <w:pPr>
        <w:ind w:left="880" w:hanging="293"/>
        <w:spacing w:after="0" w:line="256"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Personal: </w:t>
      </w:r>
      <w:r>
        <w:rPr>
          <w:rFonts w:ascii="Arial" w:cs="Arial" w:eastAsia="Arial" w:hAnsi="Arial"/>
          <w:sz w:val="16"/>
          <w:szCs w:val="16"/>
          <w:color w:val="auto"/>
        </w:rPr>
        <w:t>a significant drop of -162 bps was registered due to improvements in payment behavior given that individuals were more liquid after AFP and CTS</w:t>
      </w:r>
      <w:r>
        <w:rPr>
          <w:rFonts w:ascii="Arial" w:cs="Arial" w:eastAsia="Arial" w:hAnsi="Arial"/>
          <w:sz w:val="16"/>
          <w:szCs w:val="16"/>
          <w:b w:val="1"/>
          <w:bCs w:val="1"/>
          <w:color w:val="auto"/>
        </w:rPr>
        <w:t xml:space="preserve"> </w:t>
      </w:r>
      <w:r>
        <w:rPr>
          <w:rFonts w:ascii="Arial" w:cs="Arial" w:eastAsia="Arial" w:hAnsi="Arial"/>
          <w:sz w:val="16"/>
          <w:szCs w:val="16"/>
          <w:color w:val="auto"/>
        </w:rPr>
        <w:t>funds were released.</w:t>
      </w:r>
    </w:p>
    <w:p>
      <w:pPr>
        <w:ind w:left="880" w:hanging="293"/>
        <w:spacing w:after="0"/>
        <w:tabs>
          <w:tab w:leader="none" w:pos="880" w:val="left"/>
        </w:tabs>
        <w:numPr>
          <w:ilvl w:val="0"/>
          <w:numId w:val="44"/>
        </w:numPr>
        <w:rPr>
          <w:rFonts w:ascii="Arial" w:cs="Arial" w:eastAsia="Arial" w:hAnsi="Arial"/>
          <w:sz w:val="15"/>
          <w:szCs w:val="15"/>
          <w:color w:val="auto"/>
        </w:rPr>
      </w:pPr>
      <w:r>
        <w:rPr>
          <w:rFonts w:ascii="Arial" w:cs="Arial" w:eastAsia="Arial" w:hAnsi="Arial"/>
          <w:sz w:val="15"/>
          <w:szCs w:val="15"/>
          <w:b w:val="1"/>
          <w:bCs w:val="1"/>
          <w:color w:val="auto"/>
        </w:rPr>
        <w:t>Mibanco</w:t>
      </w:r>
      <w:r>
        <w:rPr>
          <w:rFonts w:ascii="Arial" w:cs="Arial" w:eastAsia="Arial" w:hAnsi="Arial"/>
          <w:sz w:val="15"/>
          <w:szCs w:val="15"/>
          <w:color w:val="auto"/>
        </w:rPr>
        <w:t>: the contraction of -310 bps in the ratio was driven by positive payment behavior and by an increase in write-offs and loan disbursements.</w:t>
      </w:r>
    </w:p>
    <w:p>
      <w:pPr>
        <w:spacing w:after="0" w:line="23" w:lineRule="exact"/>
        <w:rPr>
          <w:rFonts w:ascii="Arial" w:cs="Arial" w:eastAsia="Arial" w:hAnsi="Arial"/>
          <w:sz w:val="15"/>
          <w:szCs w:val="15"/>
          <w:color w:val="auto"/>
        </w:rPr>
      </w:pPr>
    </w:p>
    <w:p>
      <w:pPr>
        <w:ind w:left="880" w:hanging="293"/>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BCP Bolivia</w:t>
      </w:r>
      <w:r>
        <w:rPr>
          <w:rFonts w:ascii="Arial" w:cs="Arial" w:eastAsia="Arial" w:hAnsi="Arial"/>
          <w:sz w:val="16"/>
          <w:szCs w:val="16"/>
          <w:color w:val="auto"/>
        </w:rPr>
        <w:t>: the -22-bps reduction followed the same trend as in the QoQ analysis and was complemented by loan growth and higher write-offs.</w:t>
      </w:r>
    </w:p>
    <w:p>
      <w:pPr>
        <w:spacing w:after="0" w:line="200" w:lineRule="exact"/>
        <w:rPr>
          <w:sz w:val="20"/>
          <w:szCs w:val="20"/>
          <w:color w:val="auto"/>
        </w:rPr>
      </w:pPr>
    </w:p>
    <w:p>
      <w:pPr>
        <w:spacing w:after="0" w:line="251"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ind w:left="582" w:hanging="287"/>
        <w:spacing w:after="0"/>
        <w:tabs>
          <w:tab w:leader="none" w:pos="582"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GP Portfolio:</w:t>
      </w:r>
    </w:p>
    <w:p>
      <w:pPr>
        <w:spacing w:after="0" w:line="231" w:lineRule="exact"/>
        <w:rPr>
          <w:sz w:val="20"/>
          <w:szCs w:val="20"/>
          <w:color w:val="auto"/>
        </w:rPr>
      </w:pPr>
    </w:p>
    <w:p>
      <w:pPr>
        <w:ind w:left="582"/>
        <w:spacing w:after="0"/>
        <w:rPr>
          <w:sz w:val="20"/>
          <w:szCs w:val="20"/>
          <w:color w:val="auto"/>
        </w:rPr>
      </w:pPr>
      <w:r>
        <w:rPr>
          <w:rFonts w:ascii="Arial" w:cs="Arial" w:eastAsia="Arial" w:hAnsi="Arial"/>
          <w:sz w:val="20"/>
          <w:szCs w:val="20"/>
          <w:color w:val="auto"/>
        </w:rPr>
        <w:t>In the QoQ analysis:</w:t>
      </w:r>
    </w:p>
    <w:p>
      <w:pPr>
        <w:spacing w:after="0" w:line="212" w:lineRule="exact"/>
        <w:rPr>
          <w:sz w:val="20"/>
          <w:szCs w:val="20"/>
          <w:color w:val="auto"/>
        </w:rPr>
      </w:pPr>
    </w:p>
    <w:p>
      <w:pPr>
        <w:jc w:val="both"/>
        <w:ind w:left="882"/>
        <w:spacing w:after="0"/>
        <w:rPr>
          <w:sz w:val="20"/>
          <w:szCs w:val="20"/>
          <w:color w:val="auto"/>
        </w:rPr>
      </w:pPr>
      <w:r>
        <w:rPr>
          <w:rFonts w:ascii="Arial" w:cs="Arial" w:eastAsia="Arial" w:hAnsi="Arial"/>
          <w:sz w:val="20"/>
          <w:szCs w:val="20"/>
          <w:color w:val="auto"/>
        </w:rPr>
        <w:t>In 4Q21, grace period expirations were subsequently reflected in portfolio deterioration, particularly in the SME segment at BCP Stand-alone. At the beginning of 2021, clients began to make advance payments; this reduced the loan volume and affected delinquency ratios via a denominator effect.</w:t>
      </w:r>
    </w:p>
    <w:p>
      <w:pPr>
        <w:spacing w:after="0" w:line="196" w:lineRule="exact"/>
        <w:rPr>
          <w:sz w:val="20"/>
          <w:szCs w:val="20"/>
          <w:color w:val="auto"/>
        </w:rPr>
      </w:pPr>
    </w:p>
    <w:p>
      <w:pPr>
        <w:ind w:left="582" w:hanging="287"/>
        <w:spacing w:after="0"/>
        <w:tabs>
          <w:tab w:leader="none" w:pos="58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Total Portfolio:</w:t>
      </w:r>
    </w:p>
    <w:p>
      <w:pPr>
        <w:spacing w:after="0" w:line="231" w:lineRule="exact"/>
        <w:rPr>
          <w:sz w:val="20"/>
          <w:szCs w:val="20"/>
          <w:color w:val="auto"/>
        </w:rPr>
      </w:pPr>
    </w:p>
    <w:p>
      <w:pPr>
        <w:jc w:val="both"/>
        <w:ind w:left="582"/>
        <w:spacing w:after="0" w:line="237" w:lineRule="auto"/>
        <w:rPr>
          <w:sz w:val="20"/>
          <w:szCs w:val="20"/>
          <w:color w:val="auto"/>
        </w:rPr>
      </w:pPr>
      <w:r>
        <w:rPr>
          <w:rFonts w:ascii="Arial" w:cs="Arial" w:eastAsia="Arial" w:hAnsi="Arial"/>
          <w:sz w:val="20"/>
          <w:szCs w:val="20"/>
          <w:color w:val="auto"/>
        </w:rPr>
        <w:t>In the QoQ and YoY analysis, ratios for total loans followed the same trends as those seen for the structural portfolio and were negatively impacted by the recent deterioration of the PG portfolio. It should be noted that overdue PG loans in late stages of delinquency are being recovered through state guarantees. For more information on honoring processes, see 4.3.2 Government Programs (PG).</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4.3 Reprogramming and Payment Management</w:t>
      </w:r>
      <w:r>
        <w:rPr>
          <w:rFonts w:ascii="Arial" w:cs="Arial" w:eastAsia="Arial" w:hAnsi="Arial"/>
          <w:sz w:val="32"/>
          <w:szCs w:val="32"/>
          <w:b w:val="1"/>
          <w:bCs w:val="1"/>
          <w:color w:val="auto"/>
          <w:vertAlign w:val="superscript"/>
        </w:rPr>
        <w:t>3</w:t>
      </w:r>
    </w:p>
    <w:p>
      <w:pPr>
        <w:spacing w:after="0" w:line="74"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4.3.1 Structural Portfolio</w:t>
      </w:r>
      <w:r>
        <w:rPr>
          <w:rFonts w:ascii="Arial" w:cs="Arial" w:eastAsia="Arial" w:hAnsi="Arial"/>
          <w:sz w:val="32"/>
          <w:szCs w:val="32"/>
          <w:b w:val="1"/>
          <w:bCs w:val="1"/>
          <w:color w:val="auto"/>
          <w:vertAlign w:val="superscript"/>
        </w:rPr>
        <w:t>4</w:t>
      </w:r>
    </w:p>
    <w:p>
      <w:pPr>
        <w:spacing w:after="0" w:line="83"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At the end of December, Credicorp’s structural portfolio registered growth of +2.7% QoQ and +14.1% YoY. For more information regarding this evolution, see section 1.2.1 Loan evolution by business segment. The reprogrammed structural portfolio continued to fall and represented 10% of total structural loans at quarter-end, which reflected a contraction of -330 bps QoQ and -680 bps YoY.</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Evolution of the payment ratio</w:t>
      </w:r>
      <w:r>
        <w:rPr>
          <w:rFonts w:ascii="Arial" w:cs="Arial" w:eastAsia="Arial" w:hAnsi="Arial"/>
          <w:sz w:val="32"/>
          <w:szCs w:val="32"/>
          <w:b w:val="1"/>
          <w:bCs w:val="1"/>
          <w:color w:val="auto"/>
          <w:vertAlign w:val="superscript"/>
        </w:rPr>
        <w:t>5</w:t>
      </w:r>
      <w:r>
        <w:rPr>
          <w:rFonts w:ascii="Arial" w:cs="Arial" w:eastAsia="Arial" w:hAnsi="Arial"/>
          <w:sz w:val="20"/>
          <w:szCs w:val="20"/>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65405</wp:posOffset>
            </wp:positionV>
            <wp:extent cx="3740150" cy="17373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40150" cy="173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2"/>
        <w:spacing w:after="0" w:line="237" w:lineRule="auto"/>
        <w:rPr>
          <w:sz w:val="20"/>
          <w:szCs w:val="20"/>
          <w:color w:val="auto"/>
        </w:rPr>
      </w:pPr>
      <w:r>
        <w:rPr>
          <w:rFonts w:ascii="Arial" w:cs="Arial" w:eastAsia="Arial" w:hAnsi="Arial"/>
          <w:sz w:val="20"/>
          <w:szCs w:val="20"/>
          <w:color w:val="auto"/>
        </w:rPr>
        <w:t>At the end of 2021, the payment ratio reported improvement both QoQ and YoY in all segments in a context in which the volume of installments due grew alongside an uptick in grace period expirations. The percentage of installments with maturities is 98% for Individuals, 82% for SME and 83% for Mibanco. Improvements in ratios were driven by an uptick in liquidity due to economic reactivation; the release of CTS and AFP funds; and bonus payments.</w:t>
      </w:r>
    </w:p>
    <w:p>
      <w:pPr>
        <w:spacing w:after="0" w:line="190" w:lineRule="exact"/>
        <w:rPr>
          <w:sz w:val="20"/>
          <w:szCs w:val="20"/>
          <w:color w:val="auto"/>
        </w:rPr>
      </w:pPr>
    </w:p>
    <w:p>
      <w:pPr>
        <w:jc w:val="both"/>
        <w:ind w:left="2"/>
        <w:spacing w:after="0" w:line="255" w:lineRule="auto"/>
        <w:rPr>
          <w:sz w:val="20"/>
          <w:szCs w:val="20"/>
          <w:color w:val="auto"/>
        </w:rPr>
      </w:pPr>
      <w:r>
        <w:rPr>
          <w:rFonts w:ascii="Arial" w:cs="Arial" w:eastAsia="Arial" w:hAnsi="Arial"/>
          <w:sz w:val="17"/>
          <w:szCs w:val="17"/>
          <w:color w:val="auto"/>
        </w:rPr>
        <w:t>With regard to delinquency</w:t>
      </w:r>
      <w:r>
        <w:rPr>
          <w:rFonts w:ascii="Arial" w:cs="Arial" w:eastAsia="Arial" w:hAnsi="Arial"/>
          <w:sz w:val="27"/>
          <w:szCs w:val="27"/>
          <w:color w:val="auto"/>
          <w:vertAlign w:val="superscript"/>
        </w:rPr>
        <w:t>6</w:t>
      </w:r>
      <w:r>
        <w:rPr>
          <w:rFonts w:ascii="Arial" w:cs="Arial" w:eastAsia="Arial" w:hAnsi="Arial"/>
          <w:sz w:val="17"/>
          <w:szCs w:val="17"/>
          <w:color w:val="auto"/>
        </w:rPr>
        <w:t>, the majority is concentrated in early stages with high recovery levels, which is not reflected in the loan book balance. In Retail Banking, delinquency stood at 4.3%, which represents a contraction of -90 bps QoQ. 69% of this delinquency is contained in the less than 30 days overdue stages. Late delinquency (31 to 120 days), which includes loans that are considered more difficult to recover, deteriorated slightly due to the SME segment; this was attributable to clients who also have GP loans and did not apply for reprogramming facilities. The presence of these loans led to deterioration in both the structural portfolio and the GP portfolio. At Mibanco, IOL ratio fell -100 bps QoQ and stood at 5.8% after an uptick in transactions and income levels led to a subsequent improvement in payment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78435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4350" cy="1587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 w:right="420" w:hanging="2"/>
        <w:spacing w:after="0" w:line="180" w:lineRule="auto"/>
        <w:tabs>
          <w:tab w:leader="none" w:pos="133" w:val="left"/>
        </w:tabs>
        <w:numPr>
          <w:ilvl w:val="0"/>
          <w:numId w:val="47"/>
        </w:numPr>
        <w:rPr>
          <w:rFonts w:ascii="Arial" w:cs="Arial" w:eastAsia="Arial" w:hAnsi="Arial"/>
          <w:sz w:val="33"/>
          <w:szCs w:val="33"/>
          <w:color w:val="auto"/>
          <w:vertAlign w:val="superscript"/>
        </w:rPr>
      </w:pPr>
      <w:r>
        <w:rPr>
          <w:rFonts w:ascii="Arial" w:cs="Arial" w:eastAsia="Arial" w:hAnsi="Arial"/>
          <w:sz w:val="20"/>
          <w:szCs w:val="20"/>
          <w:color w:val="auto"/>
        </w:rPr>
        <w:t>Portfolio Management figures, which focus on analyzing new delinquency. Figures do not include loans that are over 120 days overdue, special accounts and the under legal collections portfolio.</w:t>
      </w:r>
    </w:p>
    <w:p>
      <w:pPr>
        <w:ind w:left="2"/>
        <w:spacing w:after="0" w:line="184" w:lineRule="auto"/>
        <w:rPr>
          <w:rFonts w:ascii="Arial" w:cs="Arial" w:eastAsia="Arial" w:hAnsi="Arial"/>
          <w:sz w:val="33"/>
          <w:szCs w:val="33"/>
          <w:color w:val="auto"/>
          <w:vertAlign w:val="superscript"/>
        </w:rPr>
      </w:pPr>
      <w:r>
        <w:rPr>
          <w:rFonts w:ascii="Arial" w:cs="Arial" w:eastAsia="Arial" w:hAnsi="Arial"/>
          <w:sz w:val="25"/>
          <w:szCs w:val="25"/>
          <w:color w:val="auto"/>
          <w:vertAlign w:val="superscript"/>
        </w:rPr>
        <w:t>4</w:t>
      </w:r>
      <w:r>
        <w:rPr>
          <w:rFonts w:ascii="Arial" w:cs="Arial" w:eastAsia="Arial" w:hAnsi="Arial"/>
          <w:sz w:val="16"/>
          <w:szCs w:val="16"/>
          <w:color w:val="auto"/>
        </w:rPr>
        <w:t xml:space="preserve"> Figures do not include the government loan portfolios (GP).</w:t>
      </w:r>
    </w:p>
    <w:p>
      <w:pPr>
        <w:ind w:left="2"/>
        <w:spacing w:after="0" w:line="184" w:lineRule="auto"/>
        <w:rPr>
          <w:rFonts w:ascii="Arial" w:cs="Arial" w:eastAsia="Arial" w:hAnsi="Arial"/>
          <w:sz w:val="33"/>
          <w:szCs w:val="33"/>
          <w:color w:val="auto"/>
          <w:vertAlign w:val="superscript"/>
        </w:rPr>
      </w:pPr>
      <w:r>
        <w:rPr>
          <w:rFonts w:ascii="Arial" w:cs="Arial" w:eastAsia="Arial" w:hAnsi="Arial"/>
          <w:sz w:val="25"/>
          <w:szCs w:val="25"/>
          <w:color w:val="auto"/>
          <w:vertAlign w:val="superscript"/>
        </w:rPr>
        <w:t>5</w:t>
      </w:r>
      <w:r>
        <w:rPr>
          <w:rFonts w:ascii="Arial" w:cs="Arial" w:eastAsia="Arial" w:hAnsi="Arial"/>
          <w:sz w:val="16"/>
          <w:szCs w:val="16"/>
          <w:color w:val="auto"/>
        </w:rPr>
        <w:t xml:space="preserve"> Payment ratio: loan balances with up-to-date payments/balances of loans with due installments.</w:t>
      </w:r>
    </w:p>
    <w:p>
      <w:pPr>
        <w:ind w:left="2"/>
        <w:spacing w:after="0"/>
        <w:rPr>
          <w:rFonts w:ascii="Arial" w:cs="Arial" w:eastAsia="Arial" w:hAnsi="Arial"/>
          <w:sz w:val="33"/>
          <w:szCs w:val="33"/>
          <w:color w:val="auto"/>
          <w:vertAlign w:val="superscript"/>
        </w:rPr>
      </w:pPr>
      <w:r>
        <w:rPr>
          <w:rFonts w:ascii="Arial" w:cs="Arial" w:eastAsia="Arial" w:hAnsi="Arial"/>
          <w:sz w:val="32"/>
          <w:szCs w:val="32"/>
          <w:color w:val="auto"/>
          <w:vertAlign w:val="superscript"/>
        </w:rPr>
        <w:t>6</w:t>
      </w:r>
      <w:r>
        <w:rPr>
          <w:rFonts w:ascii="Arial" w:cs="Arial" w:eastAsia="Arial" w:hAnsi="Arial"/>
          <w:sz w:val="20"/>
          <w:szCs w:val="20"/>
          <w:color w:val="auto"/>
        </w:rPr>
        <w:t xml:space="preserve"> The overdue portfolio includes capital and interest on overdue loans beginning on day 1 and ending on day 120.</w:t>
      </w:r>
    </w:p>
    <w:p>
      <w:pPr>
        <w:spacing w:after="0" w:line="208"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73" w:right="339" w:bottom="1440" w:gutter="0" w:footer="0" w:header="0"/>
        </w:sectPr>
      </w:pPr>
    </w:p>
    <w:bookmarkStart w:id="37" w:name="page38"/>
    <w:bookmarkEnd w:id="37"/>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4.3.2 Government Programs (GP)</w:t>
      </w:r>
      <w:r>
        <w:rPr>
          <w:rFonts w:ascii="Arial" w:cs="Arial" w:eastAsia="Arial" w:hAnsi="Arial"/>
          <w:sz w:val="32"/>
          <w:szCs w:val="32"/>
          <w:b w:val="1"/>
          <w:bCs w:val="1"/>
          <w:color w:val="auto"/>
          <w:vertAlign w:val="superscript"/>
        </w:rPr>
        <w:t>7</w:t>
      </w:r>
    </w:p>
    <w:p>
      <w:pPr>
        <w:spacing w:after="0" w:line="7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Government Programs by Segment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150495</wp:posOffset>
            </wp:positionV>
            <wp:extent cx="3545205" cy="21272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45205" cy="212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In 4Q21, GP loans dropped -11.2%. This reduction was driven by anticipated amortizations, mainly in SME-Business and Middle Market segments. At the end of the quarter, GP loans represented 13% of Credicorp’s total portfolio (in comparison to 14% in Sep 21). The reprogrammed GP portfolio registered a slight contraction and represented 38% of total GP loans at quarter-end. It is important to note that requests for reprogramming were accepted until the end of 4Q21; as such, real deterioration will only become evident in coming quarters.</w:t>
      </w:r>
    </w:p>
    <w:p>
      <w:pPr>
        <w:spacing w:after="0" w:line="150"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In the YoY analysis, the GP portfolio fell -24.2%. The trend is similar to that seen QoQ (keep in mind that the peak of the GP portfolio was in 4Q20. This translated into a reduction of -5pp versus the results reported at the end of December 20.</w:t>
      </w:r>
    </w:p>
    <w:p>
      <w:pPr>
        <w:spacing w:after="0" w:line="17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Portfolio composition by Segment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290830</wp:posOffset>
            </wp:positionV>
            <wp:extent cx="3404870" cy="1371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0487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At the end of December, an uptick was registered in the reprogrammed portfolio in all segments. This situation was spurred by Peruvian government facilities, which allowed clients to reprogram loans if their sales volumes met certain requirements. IOL loans also reflected a higher level of deterioration due to an increase in grace period expirations. In Retail Banking, 45% of overdue loans are in an early stage of less than 31 days of delinquency. Total amortization in the Wholesale, Retail and Mibanco portfolios expires in 2.1 years, 2.3 years and 2.8 years respectively.</w:t>
      </w:r>
    </w:p>
    <w:p>
      <w:pPr>
        <w:spacing w:after="0" w:line="194"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Finally, it is important to note that the GP portfolios are backed by State guarantees. At the end of September, average guarantee levels were situated at 83%, 91% and 97% for Wholesale, Retail and Mibanco respectively. Loans that become more than 90 days past due are transferred to Special Accounts and Payment Solutions, which notify regulatory entities to execute collateral agreements. At the end of 4Q21, there 1,561 requests in the honoring process, and 1,466 requests have already been honored (payments received) from Reactiva Peru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8435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84350" cy="15875"/>
                    </a:xfrm>
                    <a:prstGeom prst="rect">
                      <a:avLst/>
                    </a:prstGeom>
                    <a:noFill/>
                  </pic:spPr>
                </pic:pic>
              </a:graphicData>
            </a:graphic>
          </wp:anchor>
        </w:drawing>
      </w:r>
    </w:p>
    <w:p>
      <w:pPr>
        <w:spacing w:after="0" w:line="256" w:lineRule="exact"/>
        <w:rPr>
          <w:sz w:val="20"/>
          <w:szCs w:val="20"/>
          <w:color w:val="auto"/>
        </w:rPr>
      </w:pPr>
    </w:p>
    <w:p>
      <w:pPr>
        <w:ind w:left="122" w:hanging="122"/>
        <w:spacing w:after="0"/>
        <w:tabs>
          <w:tab w:leader="none" w:pos="122" w:val="left"/>
        </w:tabs>
        <w:numPr>
          <w:ilvl w:val="0"/>
          <w:numId w:val="48"/>
        </w:numPr>
        <w:rPr>
          <w:rFonts w:ascii="Arial" w:cs="Arial" w:eastAsia="Arial" w:hAnsi="Arial"/>
          <w:sz w:val="32"/>
          <w:szCs w:val="32"/>
          <w:color w:val="auto"/>
          <w:vertAlign w:val="superscript"/>
        </w:rPr>
      </w:pPr>
      <w:r>
        <w:rPr>
          <w:rFonts w:ascii="Arial" w:cs="Arial" w:eastAsia="Arial" w:hAnsi="Arial"/>
          <w:sz w:val="19"/>
          <w:szCs w:val="19"/>
          <w:color w:val="auto"/>
        </w:rPr>
        <w:t>Government loans include current, overdue and reprogrammed loans through Reactiva Peru and FAE.</w:t>
      </w:r>
    </w:p>
    <w:p>
      <w:pPr>
        <w:spacing w:after="0" w:line="200" w:lineRule="exact"/>
        <w:rPr>
          <w:sz w:val="20"/>
          <w:szCs w:val="20"/>
          <w:color w:val="auto"/>
        </w:rPr>
      </w:pPr>
    </w:p>
    <w:p>
      <w:pPr>
        <w:spacing w:after="0" w:line="229"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1"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6568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8550" cy="656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39" w:name="page40"/>
    <w:bookmarkEnd w:id="39"/>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5. Other Income</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7"/>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Other Income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Quarter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ind w:left="580"/>
              <w:spacing w:after="0"/>
              <w:rPr>
                <w:sz w:val="20"/>
                <w:szCs w:val="20"/>
                <w:color w:val="auto"/>
              </w:rPr>
            </w:pPr>
            <w:r>
              <w:rPr>
                <w:rFonts w:ascii="Arial" w:cs="Arial" w:eastAsia="Arial" w:hAnsi="Arial"/>
                <w:sz w:val="16"/>
                <w:szCs w:val="16"/>
                <w:b w:val="1"/>
                <w:bCs w:val="1"/>
                <w:color w:val="auto"/>
                <w:w w:val="96"/>
              </w:rPr>
              <w:t>% change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ind w:left="780"/>
              <w:spacing w:after="0"/>
              <w:rPr>
                <w:sz w:val="20"/>
                <w:szCs w:val="20"/>
                <w:color w:val="auto"/>
              </w:rPr>
            </w:pPr>
            <w:r>
              <w:rPr>
                <w:rFonts w:ascii="Arial" w:cs="Arial" w:eastAsia="Arial" w:hAnsi="Arial"/>
                <w:sz w:val="16"/>
                <w:szCs w:val="16"/>
                <w:b w:val="1"/>
                <w:bCs w:val="1"/>
                <w:color w:val="auto"/>
              </w:rPr>
              <w:t>Year</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201"/>
        </w:trPr>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4Q20</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3Q21</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4Q21</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YoY</w:t>
            </w:r>
          </w:p>
        </w:tc>
        <w:tc>
          <w:tcPr>
            <w:tcW w:w="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7"/>
                <w:szCs w:val="17"/>
                <w:color w:val="auto"/>
              </w:rPr>
            </w:pPr>
          </w:p>
        </w:tc>
      </w:tr>
      <w:tr>
        <w:trPr>
          <w:trHeight w:val="19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Fee income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873,156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876,391</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924,161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2,912,778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3,493,734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r>
      <w:tr>
        <w:trPr>
          <w:trHeight w:val="196"/>
        </w:trPr>
        <w:tc>
          <w:tcPr>
            <w:tcW w:w="2840" w:type="dxa"/>
            <w:vAlign w:val="bottom"/>
            <w:gridSpan w:val="2"/>
          </w:tcPr>
          <w:p>
            <w:pPr>
              <w:spacing w:after="0"/>
              <w:rPr>
                <w:sz w:val="20"/>
                <w:szCs w:val="20"/>
                <w:color w:val="auto"/>
              </w:rPr>
            </w:pPr>
            <w:r>
              <w:rPr>
                <w:rFonts w:ascii="Arial" w:cs="Arial" w:eastAsia="Arial" w:hAnsi="Arial"/>
                <w:sz w:val="16"/>
                <w:szCs w:val="16"/>
                <w:color w:val="auto"/>
                <w:w w:val="94"/>
              </w:rPr>
              <w:t>Net gain on foreign exchange transactions</w:t>
            </w:r>
          </w:p>
        </w:tc>
        <w:tc>
          <w:tcPr>
            <w:tcW w:w="820" w:type="dxa"/>
            <w:vAlign w:val="bottom"/>
          </w:tcPr>
          <w:p>
            <w:pPr>
              <w:jc w:val="right"/>
              <w:spacing w:after="0"/>
              <w:rPr>
                <w:sz w:val="20"/>
                <w:szCs w:val="20"/>
                <w:color w:val="auto"/>
              </w:rPr>
            </w:pPr>
            <w:r>
              <w:rPr>
                <w:rFonts w:ascii="Arial" w:cs="Arial" w:eastAsia="Arial" w:hAnsi="Arial"/>
                <w:sz w:val="16"/>
                <w:szCs w:val="16"/>
                <w:color w:val="auto"/>
              </w:rPr>
              <w:t>151,464</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238,886</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269,354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77.8%</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622,783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920,797</w:t>
            </w:r>
          </w:p>
        </w:tc>
        <w:tc>
          <w:tcPr>
            <w:tcW w:w="2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47.9%</w:t>
            </w:r>
          </w:p>
        </w:tc>
      </w:tr>
      <w:tr>
        <w:trPr>
          <w:trHeight w:val="196"/>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on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162,523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2,550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-55.6%</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458,410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(45,371)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-109.9%</w:t>
            </w:r>
          </w:p>
        </w:tc>
      </w:tr>
      <w:tr>
        <w:trPr>
          <w:trHeight w:val="196"/>
        </w:trPr>
        <w:tc>
          <w:tcPr>
            <w:tcW w:w="284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Net gain from associates </w:t>
            </w:r>
            <w:r>
              <w:rPr>
                <w:rFonts w:ascii="Arial" w:cs="Arial" w:eastAsia="Arial" w:hAnsi="Arial"/>
                <w:sz w:val="22"/>
                <w:szCs w:val="22"/>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19,296</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19,090</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13,224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-30.7%</w:t>
            </w:r>
          </w:p>
        </w:tc>
        <w:tc>
          <w:tcPr>
            <w:tcW w:w="2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-31.5%</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64,672</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74,021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14.5%</w:t>
            </w:r>
          </w:p>
        </w:tc>
      </w:tr>
      <w:tr>
        <w:trPr>
          <w:trHeight w:val="196"/>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on derivatives held for trading</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43,086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27,049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-37.2%</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40,789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185,271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354.2%</w:t>
            </w:r>
          </w:p>
        </w:tc>
      </w:tr>
      <w:tr>
        <w:trPr>
          <w:trHeight w:val="196"/>
        </w:trPr>
        <w:tc>
          <w:tcPr>
            <w:tcW w:w="2840" w:type="dxa"/>
            <w:vAlign w:val="bottom"/>
            <w:gridSpan w:val="2"/>
          </w:tcPr>
          <w:p>
            <w:pPr>
              <w:spacing w:after="0"/>
              <w:rPr>
                <w:sz w:val="20"/>
                <w:szCs w:val="20"/>
                <w:color w:val="auto"/>
              </w:rPr>
            </w:pPr>
            <w:r>
              <w:rPr>
                <w:rFonts w:ascii="Arial" w:cs="Arial" w:eastAsia="Arial" w:hAnsi="Arial"/>
                <w:sz w:val="16"/>
                <w:szCs w:val="16"/>
                <w:color w:val="auto"/>
              </w:rPr>
              <w:t>Net gain from exchange differences</w:t>
            </w:r>
          </w:p>
        </w:tc>
        <w:tc>
          <w:tcPr>
            <w:tcW w:w="820" w:type="dxa"/>
            <w:vAlign w:val="bottom"/>
          </w:tcPr>
          <w:p>
            <w:pPr>
              <w:jc w:val="right"/>
              <w:spacing w:after="0"/>
              <w:rPr>
                <w:sz w:val="20"/>
                <w:szCs w:val="20"/>
                <w:color w:val="auto"/>
              </w:rPr>
            </w:pPr>
            <w:r>
              <w:rPr>
                <w:rFonts w:ascii="Arial" w:cs="Arial" w:eastAsia="Arial" w:hAnsi="Arial"/>
                <w:sz w:val="16"/>
                <w:szCs w:val="16"/>
                <w:color w:val="auto"/>
              </w:rPr>
              <w:t>10,278</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3,233</w:t>
            </w: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(8,923)</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-376.0%</w:t>
            </w:r>
          </w:p>
        </w:tc>
        <w:tc>
          <w:tcPr>
            <w:tcW w:w="2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-186.8%</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19,804</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34,698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75.2%</w:t>
            </w:r>
          </w:p>
        </w:tc>
      </w:tr>
      <w:tr>
        <w:trPr>
          <w:trHeight w:val="196"/>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non-financial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94,518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52,258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74,544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286,981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263,716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r>
      <w:tr>
        <w:trPr>
          <w:trHeight w:val="20"/>
        </w:trPr>
        <w:tc>
          <w:tcPr>
            <w:tcW w:w="2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Total other income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1,329,533</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1,238,683</w:t>
            </w:r>
          </w:p>
        </w:tc>
        <w:tc>
          <w:tcPr>
            <w:tcW w:w="20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1,301,959</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w:t>
            </w:r>
          </w:p>
        </w:tc>
        <w:tc>
          <w:tcPr>
            <w:tcW w:w="2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4,406,217</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8"/>
              </w:rPr>
              <w:t>4,926,866</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w:t>
            </w:r>
          </w:p>
        </w:tc>
      </w:tr>
      <w:tr>
        <w:trPr>
          <w:trHeight w:val="25"/>
        </w:trPr>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8" w:lineRule="exact"/>
        <w:rPr>
          <w:sz w:val="20"/>
          <w:szCs w:val="20"/>
          <w:color w:val="auto"/>
        </w:rPr>
      </w:pPr>
    </w:p>
    <w:p>
      <w:pPr>
        <w:ind w:left="462" w:hanging="462"/>
        <w:spacing w:after="0"/>
        <w:tabs>
          <w:tab w:leader="none" w:pos="4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gains on other investments, mainly made up of the profit of Banmedica.</w:t>
      </w:r>
    </w:p>
    <w:p>
      <w:pPr>
        <w:spacing w:after="0" w:line="23" w:lineRule="exact"/>
        <w:rPr>
          <w:rFonts w:ascii="Arial" w:cs="Arial" w:eastAsia="Arial" w:hAnsi="Arial"/>
          <w:sz w:val="16"/>
          <w:szCs w:val="16"/>
          <w:color w:val="auto"/>
        </w:rPr>
      </w:pPr>
    </w:p>
    <w:p>
      <w:pPr>
        <w:ind w:left="462" w:hanging="462"/>
        <w:spacing w:after="0"/>
        <w:tabs>
          <w:tab w:leader="none" w:pos="4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Differs from what was previously reported due to reclassification of IFRS16.</w:t>
      </w:r>
    </w:p>
    <w:p>
      <w:pPr>
        <w:spacing w:after="0" w:line="209" w:lineRule="exact"/>
        <w:rPr>
          <w:sz w:val="20"/>
          <w:szCs w:val="20"/>
          <w:color w:val="auto"/>
        </w:rPr>
      </w:pPr>
    </w:p>
    <w:p>
      <w:pPr>
        <w:ind w:left="1282"/>
        <w:spacing w:after="0"/>
        <w:tabs>
          <w:tab w:leader="none" w:pos="6901" w:val="left"/>
        </w:tabs>
        <w:rPr>
          <w:sz w:val="20"/>
          <w:szCs w:val="20"/>
          <w:color w:val="auto"/>
        </w:rPr>
      </w:pPr>
      <w:r>
        <w:rPr>
          <w:rFonts w:ascii="Arial" w:cs="Arial" w:eastAsia="Arial" w:hAnsi="Arial"/>
          <w:sz w:val="20"/>
          <w:szCs w:val="20"/>
          <w:b w:val="1"/>
          <w:bCs w:val="1"/>
          <w:color w:val="auto"/>
        </w:rPr>
        <w:t>Evolution of non-financial income</w:t>
      </w:r>
      <w:r>
        <w:rPr>
          <w:sz w:val="20"/>
          <w:szCs w:val="20"/>
          <w:color w:val="auto"/>
        </w:rPr>
        <w:tab/>
      </w:r>
      <w:r>
        <w:rPr>
          <w:rFonts w:ascii="Arial" w:cs="Arial" w:eastAsia="Arial" w:hAnsi="Arial"/>
          <w:sz w:val="17"/>
          <w:szCs w:val="17"/>
          <w:b w:val="1"/>
          <w:bCs w:val="1"/>
          <w:color w:val="auto"/>
        </w:rPr>
        <w:t>QoQ evolution of non-financial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150495</wp:posOffset>
            </wp:positionV>
            <wp:extent cx="6202045" cy="21189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02045" cy="211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5260" w:type="dxa"/>
            <w:vAlign w:val="bottom"/>
            <w:vMerge w:val="restart"/>
          </w:tcPr>
          <w:p>
            <w:pPr>
              <w:spacing w:after="0"/>
              <w:rPr>
                <w:sz w:val="20"/>
                <w:szCs w:val="20"/>
                <w:color w:val="auto"/>
              </w:rPr>
            </w:pPr>
            <w:r>
              <w:rPr>
                <w:rFonts w:ascii="Arial" w:cs="Arial" w:eastAsia="Arial" w:hAnsi="Arial"/>
                <w:sz w:val="20"/>
                <w:szCs w:val="20"/>
                <w:color w:val="auto"/>
                <w:w w:val="99"/>
              </w:rPr>
              <w:t>(1) Others includes Net gain from associates, Net gain from</w:t>
            </w:r>
          </w:p>
        </w:tc>
        <w:tc>
          <w:tcPr>
            <w:tcW w:w="5980" w:type="dxa"/>
            <w:vAlign w:val="bottom"/>
          </w:tcPr>
          <w:p>
            <w:pPr>
              <w:ind w:left="580"/>
              <w:spacing w:after="0"/>
              <w:rPr>
                <w:sz w:val="20"/>
                <w:szCs w:val="20"/>
                <w:color w:val="auto"/>
              </w:rPr>
            </w:pPr>
            <w:r>
              <w:rPr>
                <w:rFonts w:ascii="Arial" w:cs="Arial" w:eastAsia="Arial" w:hAnsi="Arial"/>
                <w:sz w:val="20"/>
                <w:szCs w:val="20"/>
                <w:color w:val="auto"/>
                <w:w w:val="97"/>
              </w:rPr>
              <w:t>(1)  Others  includes  Grupo  Credito,  Credicorp  Stand-alone,</w:t>
            </w:r>
          </w:p>
        </w:tc>
        <w:tc>
          <w:tcPr>
            <w:tcW w:w="0" w:type="dxa"/>
            <w:vAlign w:val="bottom"/>
          </w:tcPr>
          <w:p>
            <w:pPr>
              <w:spacing w:after="0"/>
              <w:rPr>
                <w:sz w:val="1"/>
                <w:szCs w:val="1"/>
                <w:color w:val="auto"/>
              </w:rPr>
            </w:pPr>
          </w:p>
        </w:tc>
      </w:tr>
      <w:tr>
        <w:trPr>
          <w:trHeight w:val="123"/>
        </w:trPr>
        <w:tc>
          <w:tcPr>
            <w:tcW w:w="5260" w:type="dxa"/>
            <w:vAlign w:val="bottom"/>
            <w:vMerge w:val="continue"/>
          </w:tcPr>
          <w:p>
            <w:pPr>
              <w:spacing w:after="0"/>
              <w:rPr>
                <w:sz w:val="10"/>
                <w:szCs w:val="10"/>
                <w:color w:val="auto"/>
              </w:rPr>
            </w:pPr>
          </w:p>
        </w:tc>
        <w:tc>
          <w:tcPr>
            <w:tcW w:w="5980" w:type="dxa"/>
            <w:vAlign w:val="bottom"/>
            <w:vMerge w:val="restart"/>
          </w:tcPr>
          <w:p>
            <w:pPr>
              <w:ind w:left="580"/>
              <w:spacing w:after="0"/>
              <w:rPr>
                <w:sz w:val="20"/>
                <w:szCs w:val="20"/>
                <w:color w:val="auto"/>
              </w:rPr>
            </w:pPr>
            <w:r>
              <w:rPr>
                <w:rFonts w:ascii="Arial" w:cs="Arial" w:eastAsia="Arial" w:hAnsi="Arial"/>
                <w:sz w:val="20"/>
                <w:szCs w:val="20"/>
                <w:color w:val="auto"/>
              </w:rPr>
              <w:t>eliminations y others.</w:t>
            </w:r>
          </w:p>
        </w:tc>
        <w:tc>
          <w:tcPr>
            <w:tcW w:w="0" w:type="dxa"/>
            <w:vAlign w:val="bottom"/>
          </w:tcPr>
          <w:p>
            <w:pPr>
              <w:spacing w:after="0"/>
              <w:rPr>
                <w:sz w:val="1"/>
                <w:szCs w:val="1"/>
                <w:color w:val="auto"/>
              </w:rPr>
            </w:pPr>
          </w:p>
        </w:tc>
      </w:tr>
      <w:tr>
        <w:trPr>
          <w:trHeight w:val="126"/>
        </w:trPr>
        <w:tc>
          <w:tcPr>
            <w:tcW w:w="5260" w:type="dxa"/>
            <w:vAlign w:val="bottom"/>
            <w:vMerge w:val="restart"/>
          </w:tcPr>
          <w:p>
            <w:pPr>
              <w:spacing w:after="0"/>
              <w:rPr>
                <w:sz w:val="20"/>
                <w:szCs w:val="20"/>
                <w:color w:val="auto"/>
              </w:rPr>
            </w:pPr>
            <w:r>
              <w:rPr>
                <w:rFonts w:ascii="Arial" w:cs="Arial" w:eastAsia="Arial" w:hAnsi="Arial"/>
                <w:sz w:val="20"/>
                <w:szCs w:val="20"/>
                <w:color w:val="auto"/>
              </w:rPr>
              <w:t>exchange difference and other non-financial income.</w:t>
            </w:r>
          </w:p>
        </w:tc>
        <w:tc>
          <w:tcPr>
            <w:tcW w:w="5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260" w:type="dxa"/>
            <w:vAlign w:val="bottom"/>
            <w:vMerge w:val="continue"/>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2"/>
        <w:spacing w:after="0" w:line="239" w:lineRule="auto"/>
        <w:rPr>
          <w:sz w:val="20"/>
          <w:szCs w:val="20"/>
          <w:color w:val="auto"/>
        </w:rPr>
      </w:pPr>
      <w:r>
        <w:rPr>
          <w:rFonts w:ascii="Arial" w:cs="Arial" w:eastAsia="Arial" w:hAnsi="Arial"/>
          <w:sz w:val="20"/>
          <w:szCs w:val="20"/>
          <w:color w:val="auto"/>
        </w:rPr>
        <w:t xml:space="preserve">In the </w:t>
      </w:r>
      <w:r>
        <w:rPr>
          <w:rFonts w:ascii="Arial" w:cs="Arial" w:eastAsia="Arial" w:hAnsi="Arial"/>
          <w:sz w:val="20"/>
          <w:szCs w:val="20"/>
          <w:b w:val="1"/>
          <w:bCs w:val="1"/>
          <w:color w:val="auto"/>
        </w:rPr>
        <w:t>QoQ</w:t>
      </w:r>
      <w:r>
        <w:rPr>
          <w:rFonts w:ascii="Arial" w:cs="Arial" w:eastAsia="Arial" w:hAnsi="Arial"/>
          <w:sz w:val="20"/>
          <w:szCs w:val="20"/>
          <w:color w:val="auto"/>
        </w:rPr>
        <w:t xml:space="preserve"> and </w:t>
      </w:r>
      <w:r>
        <w:rPr>
          <w:rFonts w:ascii="Arial" w:cs="Arial" w:eastAsia="Arial" w:hAnsi="Arial"/>
          <w:sz w:val="20"/>
          <w:szCs w:val="20"/>
          <w:b w:val="1"/>
          <w:bCs w:val="1"/>
          <w:color w:val="auto"/>
        </w:rPr>
        <w:t>YoY</w:t>
      </w:r>
      <w:r>
        <w:rPr>
          <w:rFonts w:ascii="Arial" w:cs="Arial" w:eastAsia="Arial" w:hAnsi="Arial"/>
          <w:sz w:val="20"/>
          <w:szCs w:val="20"/>
          <w:color w:val="auto"/>
        </w:rPr>
        <w:t xml:space="preserve"> analysis, </w:t>
      </w:r>
      <w:r>
        <w:rPr>
          <w:rFonts w:ascii="Arial" w:cs="Arial" w:eastAsia="Arial" w:hAnsi="Arial"/>
          <w:sz w:val="20"/>
          <w:szCs w:val="20"/>
          <w:b w:val="1"/>
          <w:bCs w:val="1"/>
          <w:color w:val="auto"/>
        </w:rPr>
        <w:t>core other income</w:t>
      </w:r>
      <w:r>
        <w:rPr>
          <w:rFonts w:ascii="Arial" w:cs="Arial" w:eastAsia="Arial" w:hAnsi="Arial"/>
          <w:sz w:val="20"/>
          <w:szCs w:val="20"/>
          <w:color w:val="auto"/>
        </w:rPr>
        <w:t xml:space="preserve"> rose 7.0% and 16.5% respectively. This evolution was driven by growth </w:t>
      </w:r>
      <w:r>
        <w:rPr>
          <w:rFonts w:ascii="Arial" w:cs="Arial" w:eastAsia="Arial" w:hAnsi="Arial"/>
          <w:sz w:val="20"/>
          <w:szCs w:val="20"/>
          <w:b w:val="1"/>
          <w:bCs w:val="1"/>
          <w:color w:val="auto"/>
        </w:rPr>
        <w:t>Net fee income</w:t>
      </w:r>
      <w:r>
        <w:rPr>
          <w:rFonts w:ascii="Arial" w:cs="Arial" w:eastAsia="Arial" w:hAnsi="Arial"/>
          <w:sz w:val="20"/>
          <w:szCs w:val="20"/>
          <w:color w:val="auto"/>
        </w:rPr>
        <w:t xml:space="preserve"> in </w:t>
      </w:r>
      <w:r>
        <w:rPr>
          <w:rFonts w:ascii="Arial" w:cs="Arial" w:eastAsia="Arial" w:hAnsi="Arial"/>
          <w:sz w:val="20"/>
          <w:szCs w:val="20"/>
          <w:b w:val="1"/>
          <w:bCs w:val="1"/>
          <w:color w:val="auto"/>
        </w:rPr>
        <w:t xml:space="preserve">Universal Banking </w:t>
      </w:r>
      <w:r>
        <w:rPr>
          <w:rFonts w:ascii="Arial" w:cs="Arial" w:eastAsia="Arial" w:hAnsi="Arial"/>
          <w:sz w:val="20"/>
          <w:szCs w:val="20"/>
          <w:color w:val="auto"/>
        </w:rPr>
        <w:t>(+6.6%) and</w:t>
      </w:r>
      <w:r>
        <w:rPr>
          <w:rFonts w:ascii="Arial" w:cs="Arial" w:eastAsia="Arial" w:hAnsi="Arial"/>
          <w:sz w:val="20"/>
          <w:szCs w:val="20"/>
          <w:b w:val="1"/>
          <w:bCs w:val="1"/>
          <w:color w:val="auto"/>
        </w:rPr>
        <w:t xml:space="preserve"> Microfinance </w:t>
      </w:r>
      <w:r>
        <w:rPr>
          <w:rFonts w:ascii="Arial" w:cs="Arial" w:eastAsia="Arial" w:hAnsi="Arial"/>
          <w:sz w:val="20"/>
          <w:szCs w:val="20"/>
          <w:color w:val="auto"/>
        </w:rPr>
        <w:t>(+14.3%), which is described in detail in the following section, and by an increase in the</w:t>
      </w:r>
      <w:r>
        <w:rPr>
          <w:rFonts w:ascii="Arial" w:cs="Arial" w:eastAsia="Arial" w:hAnsi="Arial"/>
          <w:sz w:val="20"/>
          <w:szCs w:val="20"/>
          <w:b w:val="1"/>
          <w:bCs w:val="1"/>
          <w:color w:val="auto"/>
        </w:rPr>
        <w:t xml:space="preserve"> Net gain on foreign exchange transactions </w:t>
      </w:r>
      <w:r>
        <w:rPr>
          <w:rFonts w:ascii="Arial" w:cs="Arial" w:eastAsia="Arial" w:hAnsi="Arial"/>
          <w:sz w:val="20"/>
          <w:szCs w:val="20"/>
          <w:color w:val="auto"/>
        </w:rPr>
        <w:t>in</w:t>
      </w:r>
      <w:r>
        <w:rPr>
          <w:rFonts w:ascii="Arial" w:cs="Arial" w:eastAsia="Arial" w:hAnsi="Arial"/>
          <w:sz w:val="20"/>
          <w:szCs w:val="20"/>
          <w:b w:val="1"/>
          <w:bCs w:val="1"/>
          <w:color w:val="auto"/>
        </w:rPr>
        <w:t xml:space="preserve"> Universal Banking</w:t>
      </w:r>
      <w:r>
        <w:rPr>
          <w:rFonts w:ascii="Arial" w:cs="Arial" w:eastAsia="Arial" w:hAnsi="Arial"/>
          <w:sz w:val="20"/>
          <w:szCs w:val="20"/>
          <w:color w:val="auto"/>
        </w:rPr>
        <w:t>, which registered unusually high levels of growth during both periods due to</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rate volatility.</w:t>
      </w:r>
    </w:p>
    <w:p>
      <w:pPr>
        <w:spacing w:after="0" w:line="188" w:lineRule="exact"/>
        <w:rPr>
          <w:sz w:val="20"/>
          <w:szCs w:val="20"/>
          <w:color w:val="auto"/>
        </w:rPr>
      </w:pPr>
    </w:p>
    <w:p>
      <w:pPr>
        <w:jc w:val="both"/>
        <w:ind w:left="2"/>
        <w:spacing w:after="0" w:line="239" w:lineRule="auto"/>
        <w:rPr>
          <w:sz w:val="20"/>
          <w:szCs w:val="20"/>
          <w:color w:val="auto"/>
        </w:rPr>
      </w:pPr>
      <w:r>
        <w:rPr>
          <w:rFonts w:ascii="Arial" w:cs="Arial" w:eastAsia="Arial" w:hAnsi="Arial"/>
          <w:sz w:val="20"/>
          <w:szCs w:val="20"/>
          <w:b w:val="1"/>
          <w:bCs w:val="1"/>
          <w:color w:val="auto"/>
        </w:rPr>
        <w:t xml:space="preserve">Non-core other income </w:t>
      </w:r>
      <w:r>
        <w:rPr>
          <w:rFonts w:ascii="Arial" w:cs="Arial" w:eastAsia="Arial" w:hAnsi="Arial"/>
          <w:sz w:val="20"/>
          <w:szCs w:val="20"/>
          <w:color w:val="auto"/>
        </w:rPr>
        <w:t>fell -12.1% due to the negative results registered in</w:t>
      </w:r>
      <w:r>
        <w:rPr>
          <w:rFonts w:ascii="Arial" w:cs="Arial" w:eastAsia="Arial" w:hAnsi="Arial"/>
          <w:sz w:val="20"/>
          <w:szCs w:val="20"/>
          <w:b w:val="1"/>
          <w:bCs w:val="1"/>
          <w:color w:val="auto"/>
        </w:rPr>
        <w:t xml:space="preserve"> Investment Banking and Wealth Management </w:t>
      </w:r>
      <w:r>
        <w:rPr>
          <w:rFonts w:ascii="Arial" w:cs="Arial" w:eastAsia="Arial" w:hAnsi="Arial"/>
          <w:sz w:val="20"/>
          <w:szCs w:val="20"/>
          <w:color w:val="auto"/>
        </w:rPr>
        <w:t>for the</w:t>
      </w:r>
      <w:r>
        <w:rPr>
          <w:rFonts w:ascii="Arial" w:cs="Arial" w:eastAsia="Arial" w:hAnsi="Arial"/>
          <w:sz w:val="20"/>
          <w:szCs w:val="20"/>
          <w:b w:val="1"/>
          <w:bCs w:val="1"/>
          <w:color w:val="auto"/>
        </w:rPr>
        <w:t xml:space="preserve"> Net gain on securities</w:t>
      </w:r>
      <w:r>
        <w:rPr>
          <w:rFonts w:ascii="Arial" w:cs="Arial" w:eastAsia="Arial" w:hAnsi="Arial"/>
          <w:sz w:val="20"/>
          <w:szCs w:val="20"/>
          <w:color w:val="auto"/>
        </w:rPr>
        <w:t>. This result was attributable to poor results in the local fixed income trading portfolio for Peru in a context of low market rates.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aforementioned was partially offset by an improvement in results for the </w:t>
      </w:r>
      <w:r>
        <w:rPr>
          <w:rFonts w:ascii="Arial" w:cs="Arial" w:eastAsia="Arial" w:hAnsi="Arial"/>
          <w:sz w:val="20"/>
          <w:szCs w:val="20"/>
          <w:b w:val="1"/>
          <w:bCs w:val="1"/>
          <w:color w:val="auto"/>
        </w:rPr>
        <w:t>Net gain on derivatives held for trading</w:t>
      </w:r>
      <w:r>
        <w:rPr>
          <w:rFonts w:ascii="Arial" w:cs="Arial" w:eastAsia="Arial" w:hAnsi="Arial"/>
          <w:sz w:val="20"/>
          <w:szCs w:val="20"/>
          <w:color w:val="auto"/>
        </w:rPr>
        <w:t xml:space="preserve">, which was driven by gains on FX swaps in </w:t>
      </w:r>
      <w:r>
        <w:rPr>
          <w:rFonts w:ascii="Arial" w:cs="Arial" w:eastAsia="Arial" w:hAnsi="Arial"/>
          <w:sz w:val="20"/>
          <w:szCs w:val="20"/>
          <w:b w:val="1"/>
          <w:bCs w:val="1"/>
          <w:color w:val="auto"/>
        </w:rPr>
        <w:t>Universal Banking</w:t>
      </w:r>
      <w:r>
        <w:rPr>
          <w:rFonts w:ascii="Arial" w:cs="Arial" w:eastAsia="Arial" w:hAnsi="Arial"/>
          <w:sz w:val="20"/>
          <w:szCs w:val="20"/>
          <w:color w:val="auto"/>
        </w:rPr>
        <w:t>.</w:t>
      </w:r>
    </w:p>
    <w:p>
      <w:pPr>
        <w:spacing w:after="0" w:line="188" w:lineRule="exact"/>
        <w:rPr>
          <w:sz w:val="20"/>
          <w:szCs w:val="20"/>
          <w:color w:val="auto"/>
        </w:rPr>
      </w:pPr>
    </w:p>
    <w:p>
      <w:pPr>
        <w:jc w:val="both"/>
        <w:ind w:left="2"/>
        <w:spacing w:after="0" w:line="256" w:lineRule="auto"/>
        <w:rPr>
          <w:sz w:val="20"/>
          <w:szCs w:val="20"/>
          <w:color w:val="auto"/>
        </w:rPr>
      </w:pPr>
      <w:r>
        <w:rPr>
          <w:rFonts w:ascii="Arial" w:cs="Arial" w:eastAsia="Arial" w:hAnsi="Arial"/>
          <w:sz w:val="20"/>
          <w:szCs w:val="20"/>
          <w:color w:val="auto"/>
        </w:rPr>
        <w:t xml:space="preserve">Additionally, </w:t>
      </w:r>
      <w:r>
        <w:rPr>
          <w:rFonts w:ascii="Arial" w:cs="Arial" w:eastAsia="Arial" w:hAnsi="Arial"/>
          <w:sz w:val="20"/>
          <w:szCs w:val="20"/>
          <w:b w:val="1"/>
          <w:bCs w:val="1"/>
          <w:color w:val="auto"/>
        </w:rPr>
        <w:t>YoY</w:t>
      </w:r>
      <w:r>
        <w:rPr>
          <w:rFonts w:ascii="Arial" w:cs="Arial" w:eastAsia="Arial" w:hAnsi="Arial"/>
          <w:sz w:val="20"/>
          <w:szCs w:val="20"/>
          <w:color w:val="auto"/>
        </w:rPr>
        <w:t xml:space="preserve">, </w:t>
      </w:r>
      <w:r>
        <w:rPr>
          <w:rFonts w:ascii="Arial" w:cs="Arial" w:eastAsia="Arial" w:hAnsi="Arial"/>
          <w:sz w:val="20"/>
          <w:szCs w:val="20"/>
          <w:b w:val="1"/>
          <w:bCs w:val="1"/>
          <w:color w:val="auto"/>
        </w:rPr>
        <w:t>Insurance and Pensions</w:t>
      </w:r>
      <w:r>
        <w:rPr>
          <w:rFonts w:ascii="Arial" w:cs="Arial" w:eastAsia="Arial" w:hAnsi="Arial"/>
          <w:sz w:val="20"/>
          <w:szCs w:val="20"/>
          <w:color w:val="auto"/>
        </w:rPr>
        <w:t xml:space="preserve"> registered a devaluation in its portfolio, which led to a subsequent drop in the Net gain on securities.</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Combined, these results led to a +5.1% QoQ increase and -2.1% YoY decrease in </w:t>
      </w:r>
      <w:r>
        <w:rPr>
          <w:rFonts w:ascii="Arial" w:cs="Arial" w:eastAsia="Arial" w:hAnsi="Arial"/>
          <w:sz w:val="20"/>
          <w:szCs w:val="20"/>
          <w:b w:val="1"/>
          <w:bCs w:val="1"/>
          <w:color w:val="auto"/>
        </w:rPr>
        <w:t>other income</w:t>
      </w:r>
      <w:r>
        <w:rPr>
          <w:rFonts w:ascii="Arial" w:cs="Arial" w:eastAsia="Arial" w:hAnsi="Arial"/>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40" w:name="page41"/>
    <w:bookmarkEnd w:id="40"/>
    <w:p>
      <w:pPr>
        <w:ind w:left="1102"/>
        <w:spacing w:after="0"/>
        <w:tabs>
          <w:tab w:leader="none" w:pos="6981"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YoY evolution of non-financial income</w:t>
      </w:r>
      <w:r>
        <w:rPr>
          <w:sz w:val="20"/>
          <w:szCs w:val="20"/>
          <w:color w:val="auto"/>
        </w:rPr>
        <w:tab/>
      </w:r>
      <w:r>
        <w:rPr>
          <w:rFonts w:ascii="Arial" w:cs="Arial" w:eastAsia="Arial" w:hAnsi="Arial"/>
          <w:sz w:val="17"/>
          <w:szCs w:val="17"/>
          <w:b w:val="1"/>
          <w:bCs w:val="1"/>
          <w:color w:val="auto"/>
        </w:rPr>
        <w:t>FY evolution of non-financial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150495</wp:posOffset>
            </wp:positionV>
            <wp:extent cx="6100445" cy="1939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00445" cy="1939925"/>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
        <w:spacing w:after="0"/>
        <w:tabs>
          <w:tab w:leader="none" w:pos="381" w:val="left"/>
          <w:tab w:leader="none" w:pos="1101" w:val="left"/>
        </w:tabs>
        <w:rPr>
          <w:sz w:val="20"/>
          <w:szCs w:val="20"/>
          <w:color w:val="auto"/>
        </w:rPr>
      </w:pPr>
      <w:r>
        <w:rPr>
          <w:rFonts w:ascii="Arial" w:cs="Arial" w:eastAsia="Arial" w:hAnsi="Arial"/>
          <w:sz w:val="20"/>
          <w:szCs w:val="20"/>
          <w:color w:val="auto"/>
        </w:rPr>
        <w:t>(1)</w:t>
        <w:tab/>
        <w:t>Others</w:t>
      </w:r>
      <w:r>
        <w:rPr>
          <w:sz w:val="20"/>
          <w:szCs w:val="20"/>
          <w:color w:val="auto"/>
        </w:rPr>
        <w:tab/>
      </w:r>
      <w:r>
        <w:rPr>
          <w:rFonts w:ascii="Arial" w:cs="Arial" w:eastAsia="Arial" w:hAnsi="Arial"/>
          <w:sz w:val="17"/>
          <w:szCs w:val="17"/>
          <w:color w:val="auto"/>
        </w:rPr>
        <w:t>includes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Grupo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Stand-alone,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00" w:val="left"/>
          <w:tab w:leader="none" w:pos="1100" w:val="left"/>
        </w:tabs>
        <w:rPr>
          <w:sz w:val="20"/>
          <w:szCs w:val="20"/>
          <w:color w:val="auto"/>
        </w:rPr>
      </w:pPr>
      <w:r>
        <w:rPr>
          <w:rFonts w:ascii="Arial" w:cs="Arial" w:eastAsia="Arial" w:hAnsi="Arial"/>
          <w:sz w:val="20"/>
          <w:szCs w:val="20"/>
          <w:color w:val="auto"/>
        </w:rPr>
        <w:t>(1)</w:t>
        <w:tab/>
        <w:t>Others</w:t>
      </w:r>
      <w:r>
        <w:rPr>
          <w:sz w:val="20"/>
          <w:szCs w:val="20"/>
          <w:color w:val="auto"/>
        </w:rPr>
        <w:tab/>
      </w:r>
      <w:r>
        <w:rPr>
          <w:rFonts w:ascii="Arial" w:cs="Arial" w:eastAsia="Arial" w:hAnsi="Arial"/>
          <w:sz w:val="17"/>
          <w:szCs w:val="17"/>
          <w:color w:val="auto"/>
        </w:rPr>
        <w:t>includes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Grupo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Stand-alone,</w:t>
      </w:r>
    </w:p>
    <w:p>
      <w:pPr>
        <w:spacing w:after="0" w:line="53" w:lineRule="exact"/>
        <w:rPr>
          <w:sz w:val="20"/>
          <w:szCs w:val="20"/>
          <w:color w:val="auto"/>
        </w:rPr>
      </w:pPr>
    </w:p>
    <w:p>
      <w:pPr>
        <w:sectPr>
          <w:pgSz w:w="11900" w:h="16838" w:orient="portrait"/>
          <w:cols w:equalWidth="0" w:num="10">
            <w:col w:w="1762" w:space="180"/>
            <w:col w:w="500" w:space="180"/>
            <w:col w:w="640" w:space="180"/>
            <w:col w:w="780" w:space="180"/>
            <w:col w:w="1000" w:space="440"/>
            <w:col w:w="1780" w:space="180"/>
            <w:col w:w="500" w:space="180"/>
            <w:col w:w="640" w:space="180"/>
            <w:col w:w="780" w:space="180"/>
            <w:col w:w="980"/>
          </w:cols>
          <w:pgMar w:left="318" w:top="765" w:right="339" w:bottom="1440" w:gutter="0" w:footer="0" w:header="0"/>
          <w:type w:val="continuous"/>
        </w:sectPr>
      </w:pPr>
    </w:p>
    <w:p>
      <w:pPr>
        <w:ind w:left="2"/>
        <w:spacing w:after="0"/>
        <w:rPr>
          <w:sz w:val="20"/>
          <w:szCs w:val="20"/>
          <w:color w:val="auto"/>
        </w:rPr>
      </w:pPr>
      <w:r>
        <w:rPr>
          <w:rFonts w:ascii="Arial" w:cs="Arial" w:eastAsia="Arial" w:hAnsi="Arial"/>
          <w:sz w:val="17"/>
          <w:szCs w:val="17"/>
          <w:color w:val="auto"/>
        </w:rPr>
        <w:t>eliminations y others.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eliminations y others.</w:t>
      </w:r>
    </w:p>
    <w:p>
      <w:pPr>
        <w:spacing w:after="0" w:line="188" w:lineRule="exact"/>
        <w:rPr>
          <w:sz w:val="20"/>
          <w:szCs w:val="20"/>
          <w:color w:val="auto"/>
        </w:rPr>
      </w:pPr>
    </w:p>
    <w:p>
      <w:pPr>
        <w:sectPr>
          <w:pgSz w:w="11900" w:h="16838" w:orient="portrait"/>
          <w:cols w:equalWidth="0" w:num="2">
            <w:col w:w="5122" w:space="720"/>
            <w:col w:w="5400"/>
          </w:cols>
          <w:pgMar w:left="318" w:top="765" w:right="339" w:bottom="1440" w:gutter="0" w:footer="0" w:header="0"/>
          <w:type w:val="continuous"/>
        </w:sectPr>
      </w:pPr>
    </w:p>
    <w:p>
      <w:pPr>
        <w:jc w:val="both"/>
        <w:ind w:left="2"/>
        <w:spacing w:after="0" w:line="237" w:lineRule="auto"/>
        <w:rPr>
          <w:sz w:val="20"/>
          <w:szCs w:val="20"/>
          <w:color w:val="auto"/>
        </w:rPr>
      </w:pPr>
      <w:r>
        <w:rPr>
          <w:rFonts w:ascii="Arial" w:cs="Arial" w:eastAsia="Arial" w:hAnsi="Arial"/>
          <w:sz w:val="20"/>
          <w:szCs w:val="20"/>
          <w:b w:val="1"/>
          <w:bCs w:val="1"/>
          <w:color w:val="auto"/>
        </w:rPr>
        <w:t>FY</w:t>
      </w:r>
      <w:r>
        <w:rPr>
          <w:rFonts w:ascii="Arial" w:cs="Arial" w:eastAsia="Arial" w:hAnsi="Arial"/>
          <w:sz w:val="20"/>
          <w:szCs w:val="20"/>
          <w:color w:val="auto"/>
        </w:rPr>
        <w:t>, the positive evolution (+24.9%) of</w:t>
      </w:r>
      <w:r>
        <w:rPr>
          <w:rFonts w:ascii="Arial" w:cs="Arial" w:eastAsia="Arial" w:hAnsi="Arial"/>
          <w:sz w:val="20"/>
          <w:szCs w:val="20"/>
          <w:b w:val="1"/>
          <w:bCs w:val="1"/>
          <w:color w:val="auto"/>
        </w:rPr>
        <w:t xml:space="preserve"> core other income </w:t>
      </w:r>
      <w:r>
        <w:rPr>
          <w:rFonts w:ascii="Arial" w:cs="Arial" w:eastAsia="Arial" w:hAnsi="Arial"/>
          <w:sz w:val="20"/>
          <w:szCs w:val="20"/>
          <w:color w:val="auto"/>
        </w:rPr>
        <w:t>was driven by growth in</w:t>
      </w:r>
      <w:r>
        <w:rPr>
          <w:rFonts w:ascii="Arial" w:cs="Arial" w:eastAsia="Arial" w:hAnsi="Arial"/>
          <w:sz w:val="20"/>
          <w:szCs w:val="20"/>
          <w:b w:val="1"/>
          <w:bCs w:val="1"/>
          <w:color w:val="auto"/>
        </w:rPr>
        <w:t xml:space="preserve"> Net fee income </w:t>
      </w:r>
      <w:r>
        <w:rPr>
          <w:rFonts w:ascii="Arial" w:cs="Arial" w:eastAsia="Arial" w:hAnsi="Arial"/>
          <w:sz w:val="20"/>
          <w:szCs w:val="20"/>
          <w:color w:val="auto"/>
        </w:rPr>
        <w:t>in</w:t>
      </w:r>
      <w:r>
        <w:rPr>
          <w:rFonts w:ascii="Arial" w:cs="Arial" w:eastAsia="Arial" w:hAnsi="Arial"/>
          <w:sz w:val="20"/>
          <w:szCs w:val="20"/>
          <w:b w:val="1"/>
          <w:bCs w:val="1"/>
          <w:color w:val="auto"/>
        </w:rPr>
        <w:t xml:space="preserve"> Universal Banking; </w:t>
      </w:r>
      <w:r>
        <w:rPr>
          <w:rFonts w:ascii="Arial" w:cs="Arial" w:eastAsia="Arial" w:hAnsi="Arial"/>
          <w:sz w:val="20"/>
          <w:szCs w:val="20"/>
          <w:color w:val="auto"/>
        </w:rPr>
        <w:t>and</w:t>
      </w:r>
      <w:r>
        <w:rPr>
          <w:rFonts w:ascii="Arial" w:cs="Arial" w:eastAsia="Arial" w:hAnsi="Arial"/>
          <w:sz w:val="20"/>
          <w:szCs w:val="20"/>
          <w:b w:val="1"/>
          <w:bCs w:val="1"/>
          <w:color w:val="auto"/>
        </w:rPr>
        <w:t xml:space="preserve"> Investment Banking and Wealth Management</w:t>
      </w:r>
      <w:r>
        <w:rPr>
          <w:rFonts w:ascii="Arial" w:cs="Arial" w:eastAsia="Arial" w:hAnsi="Arial"/>
          <w:sz w:val="20"/>
          <w:szCs w:val="20"/>
          <w:color w:val="auto"/>
        </w:rPr>
        <w:t>. In the first case, higher income was attributable to reactivation in 2021, which generated an uptick in</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transactionality that offset the effect created by the government’s decision to eliminate fees for certain concepts. In the case of Investment Banking and Wealth Management, the rise was due to an increase in fees, especially from investment products offered to Wealth Management clients on offshore platforms.</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20"/>
          <w:szCs w:val="20"/>
          <w:color w:val="auto"/>
        </w:rPr>
        <w:t>In contrast, other non-core income evolved negatively (-41.2%) due to:</w:t>
      </w:r>
    </w:p>
    <w:p>
      <w:pPr>
        <w:spacing w:after="0" w:line="214" w:lineRule="exact"/>
        <w:rPr>
          <w:sz w:val="20"/>
          <w:szCs w:val="20"/>
          <w:color w:val="auto"/>
        </w:rPr>
      </w:pPr>
    </w:p>
    <w:p>
      <w:pPr>
        <w:ind w:left="342" w:hanging="342"/>
        <w:spacing w:after="0" w:line="266" w:lineRule="auto"/>
        <w:tabs>
          <w:tab w:leader="none" w:pos="3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Losses registered in the </w:t>
      </w:r>
      <w:r>
        <w:rPr>
          <w:rFonts w:ascii="Arial" w:cs="Arial" w:eastAsia="Arial" w:hAnsi="Arial"/>
          <w:sz w:val="16"/>
          <w:szCs w:val="16"/>
          <w:b w:val="1"/>
          <w:bCs w:val="1"/>
          <w:color w:val="auto"/>
        </w:rPr>
        <w:t>Net gain on securities</w:t>
      </w:r>
      <w:r>
        <w:rPr>
          <w:rFonts w:ascii="Arial" w:cs="Arial" w:eastAsia="Arial" w:hAnsi="Arial"/>
          <w:sz w:val="16"/>
          <w:szCs w:val="16"/>
          <w:color w:val="auto"/>
        </w:rPr>
        <w:t xml:space="preserve"> in </w:t>
      </w:r>
      <w:r>
        <w:rPr>
          <w:rFonts w:ascii="Arial" w:cs="Arial" w:eastAsia="Arial" w:hAnsi="Arial"/>
          <w:sz w:val="16"/>
          <w:szCs w:val="16"/>
          <w:b w:val="1"/>
          <w:bCs w:val="1"/>
          <w:color w:val="auto"/>
        </w:rPr>
        <w:t>Universal Banking</w:t>
      </w:r>
      <w:r>
        <w:rPr>
          <w:rFonts w:ascii="Arial" w:cs="Arial" w:eastAsia="Arial" w:hAnsi="Arial"/>
          <w:sz w:val="16"/>
          <w:szCs w:val="16"/>
          <w:color w:val="auto"/>
        </w:rPr>
        <w:t xml:space="preserve"> after bonds from the fixed income portfolio at BCP Stand-alone were sold under a strategy to reduce the portfolio’s sensitivity.</w:t>
      </w:r>
    </w:p>
    <w:p>
      <w:pPr>
        <w:ind w:left="342" w:hanging="342"/>
        <w:spacing w:after="0" w:line="272" w:lineRule="auto"/>
        <w:tabs>
          <w:tab w:leader="none" w:pos="3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lower </w:t>
      </w:r>
      <w:r>
        <w:rPr>
          <w:rFonts w:ascii="Arial" w:cs="Arial" w:eastAsia="Arial" w:hAnsi="Arial"/>
          <w:sz w:val="16"/>
          <w:szCs w:val="16"/>
          <w:b w:val="1"/>
          <w:bCs w:val="1"/>
          <w:color w:val="auto"/>
        </w:rPr>
        <w:t>Net gain on securities</w:t>
      </w:r>
      <w:r>
        <w:rPr>
          <w:rFonts w:ascii="Arial" w:cs="Arial" w:eastAsia="Arial" w:hAnsi="Arial"/>
          <w:sz w:val="16"/>
          <w:szCs w:val="16"/>
          <w:color w:val="auto"/>
        </w:rPr>
        <w:t xml:space="preserve"> in </w:t>
      </w:r>
      <w:r>
        <w:rPr>
          <w:rFonts w:ascii="Arial" w:cs="Arial" w:eastAsia="Arial" w:hAnsi="Arial"/>
          <w:sz w:val="16"/>
          <w:szCs w:val="16"/>
          <w:b w:val="1"/>
          <w:bCs w:val="1"/>
          <w:color w:val="auto"/>
        </w:rPr>
        <w:t>Investment Banking and Wealth Management</w:t>
      </w:r>
      <w:r>
        <w:rPr>
          <w:rFonts w:ascii="Arial" w:cs="Arial" w:eastAsia="Arial" w:hAnsi="Arial"/>
          <w:sz w:val="16"/>
          <w:szCs w:val="16"/>
          <w:color w:val="auto"/>
        </w:rPr>
        <w:t xml:space="preserve"> due to the extraordinary gains during 2020 generated by an investment at fair value with changes in other comprehensive income in ASB.</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20"/>
          <w:szCs w:val="20"/>
          <w:color w:val="auto"/>
        </w:rPr>
        <w:t xml:space="preserve">In the aforementioned context, </w:t>
      </w:r>
      <w:r>
        <w:rPr>
          <w:rFonts w:ascii="Arial" w:cs="Arial" w:eastAsia="Arial" w:hAnsi="Arial"/>
          <w:sz w:val="20"/>
          <w:szCs w:val="20"/>
          <w:b w:val="1"/>
          <w:bCs w:val="1"/>
          <w:color w:val="auto"/>
        </w:rPr>
        <w:t>other income</w:t>
      </w:r>
      <w:r>
        <w:rPr>
          <w:rFonts w:ascii="Arial" w:cs="Arial" w:eastAsia="Arial" w:hAnsi="Arial"/>
          <w:sz w:val="20"/>
          <w:szCs w:val="20"/>
          <w:color w:val="auto"/>
        </w:rPr>
        <w:t xml:space="preserve"> rose +11.8%.</w:t>
      </w:r>
    </w:p>
    <w:p>
      <w:pPr>
        <w:spacing w:after="0" w:line="200" w:lineRule="exact"/>
        <w:rPr>
          <w:sz w:val="20"/>
          <w:szCs w:val="20"/>
          <w:color w:val="auto"/>
        </w:rPr>
      </w:pPr>
    </w:p>
    <w:p>
      <w:pPr>
        <w:spacing w:after="0" w:line="254"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type w:val="continuous"/>
        </w:sectPr>
      </w:pPr>
    </w:p>
    <w:bookmarkStart w:id="41" w:name="page42"/>
    <w:bookmarkEnd w:id="41"/>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5.1. Fee Income</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5.1.2. Fee income in the Banking Business</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Composition of fee income in the banking business</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Fee Income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Quarter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w w:val="90"/>
              </w:rPr>
              <w:t>% change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ind w:left="840"/>
              <w:spacing w:after="0"/>
              <w:rPr>
                <w:sz w:val="20"/>
                <w:szCs w:val="20"/>
                <w:color w:val="auto"/>
              </w:rPr>
            </w:pPr>
            <w:r>
              <w:rPr>
                <w:rFonts w:ascii="Arial" w:cs="Arial" w:eastAsia="Arial" w:hAnsi="Arial"/>
                <w:sz w:val="16"/>
                <w:szCs w:val="16"/>
                <w:b w:val="1"/>
                <w:bCs w:val="1"/>
                <w:color w:val="auto"/>
              </w:rPr>
              <w:t>Year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4Q20</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3Q21</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4Q21</w:t>
            </w:r>
          </w:p>
        </w:tc>
        <w:tc>
          <w:tcPr>
            <w:tcW w:w="160" w:type="dxa"/>
            <w:vAlign w:val="bottom"/>
          </w:tcPr>
          <w:p>
            <w:pPr>
              <w:spacing w:after="0"/>
              <w:rPr>
                <w:sz w:val="16"/>
                <w:szCs w:val="16"/>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w w:val="94"/>
              </w:rPr>
              <w:t>2021 / 2020</w:t>
            </w:r>
          </w:p>
        </w:tc>
        <w:tc>
          <w:tcPr>
            <w:tcW w:w="160" w:type="dxa"/>
            <w:vAlign w:val="bottom"/>
          </w:tcPr>
          <w:p>
            <w:pPr>
              <w:spacing w:after="0"/>
              <w:rPr>
                <w:sz w:val="16"/>
                <w:szCs w:val="16"/>
                <w:color w:val="auto"/>
              </w:rPr>
            </w:pPr>
          </w:p>
        </w:tc>
      </w:tr>
      <w:tr>
        <w:trPr>
          <w:trHeight w:val="189"/>
        </w:trPr>
        <w:tc>
          <w:tcPr>
            <w:tcW w:w="25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Miscellaneous accounts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184,634</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211,284</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232,863</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630,881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805,394</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Credit cards </w:t>
            </w:r>
            <w:r>
              <w:rPr>
                <w:rFonts w:ascii="Arial" w:cs="Arial" w:eastAsia="Arial" w:hAnsi="Arial"/>
                <w:sz w:val="22"/>
                <w:szCs w:val="22"/>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6"/>
                <w:szCs w:val="16"/>
                <w:color w:val="auto"/>
              </w:rPr>
              <w:t>65,867</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44,557</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59,774</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34.2%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-9.3%</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190,689</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214,568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r>
      <w:tr>
        <w:trPr>
          <w:trHeight w:val="196"/>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Drafts and transfers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108,981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103,389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248,398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395,792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Personal loans </w:t>
            </w:r>
            <w:r>
              <w:rPr>
                <w:rFonts w:ascii="Arial" w:cs="Arial" w:eastAsia="Arial" w:hAnsi="Arial"/>
                <w:sz w:val="22"/>
                <w:szCs w:val="22"/>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6"/>
                <w:szCs w:val="16"/>
                <w:color w:val="auto"/>
              </w:rPr>
              <w:t>26,463</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17,925</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27,464</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53.2%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95,310</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97,268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196"/>
        </w:trPr>
        <w:tc>
          <w:tcPr>
            <w:tcW w:w="272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 xml:space="preserve">SME loans </w:t>
            </w:r>
            <w:r>
              <w:rPr>
                <w:rFonts w:ascii="Arial" w:cs="Arial" w:eastAsia="Arial" w:hAnsi="Arial"/>
                <w:sz w:val="22"/>
                <w:szCs w:val="22"/>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7,441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17,570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69,762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56,367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Insurance </w:t>
            </w:r>
            <w:r>
              <w:rPr>
                <w:rFonts w:ascii="Arial" w:cs="Arial" w:eastAsia="Arial" w:hAnsi="Arial"/>
                <w:sz w:val="22"/>
                <w:szCs w:val="22"/>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6"/>
                <w:szCs w:val="16"/>
                <w:color w:val="auto"/>
              </w:rPr>
              <w:t>26,112</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28,713</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28,551</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9.3%</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98,028</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111,351</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13.6%</w:t>
            </w:r>
          </w:p>
        </w:tc>
      </w:tr>
      <w:tr>
        <w:trPr>
          <w:trHeight w:val="196"/>
        </w:trPr>
        <w:tc>
          <w:tcPr>
            <w:tcW w:w="272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 xml:space="preserve">Mortgage loans </w:t>
            </w:r>
            <w:r>
              <w:rPr>
                <w:rFonts w:ascii="Arial" w:cs="Arial" w:eastAsia="Arial" w:hAnsi="Arial"/>
                <w:sz w:val="22"/>
                <w:szCs w:val="22"/>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11,066</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7,277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8,494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33,683</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32,907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Off-balance sheet </w:t>
            </w:r>
            <w:r>
              <w:rPr>
                <w:rFonts w:ascii="Arial" w:cs="Arial" w:eastAsia="Arial" w:hAnsi="Arial"/>
                <w:sz w:val="22"/>
                <w:szCs w:val="22"/>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53,825</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65,919</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62,521</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16.2%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201,579</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248,897</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23.5%</w:t>
            </w:r>
          </w:p>
        </w:tc>
      </w:tr>
      <w:tr>
        <w:trPr>
          <w:trHeight w:val="196"/>
        </w:trPr>
        <w:tc>
          <w:tcPr>
            <w:tcW w:w="272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 xml:space="preserve">Payments and collections </w:t>
            </w:r>
            <w:r>
              <w:rPr>
                <w:rFonts w:ascii="Arial" w:cs="Arial" w:eastAsia="Arial" w:hAnsi="Arial"/>
                <w:sz w:val="22"/>
                <w:szCs w:val="22"/>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106,078</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117,185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119,246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389,521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451,485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Commercial loans </w:t>
            </w:r>
            <w:r>
              <w:rPr>
                <w:rFonts w:ascii="Arial" w:cs="Arial" w:eastAsia="Arial" w:hAnsi="Arial"/>
                <w:sz w:val="22"/>
                <w:szCs w:val="22"/>
                <w:color w:val="auto"/>
                <w:vertAlign w:val="superscript"/>
              </w:rPr>
              <w:t>(3)(4)</w:t>
            </w:r>
          </w:p>
        </w:tc>
        <w:tc>
          <w:tcPr>
            <w:tcW w:w="840" w:type="dxa"/>
            <w:vAlign w:val="bottom"/>
          </w:tcPr>
          <w:p>
            <w:pPr>
              <w:jc w:val="right"/>
              <w:spacing w:after="0"/>
              <w:rPr>
                <w:sz w:val="20"/>
                <w:szCs w:val="20"/>
                <w:color w:val="auto"/>
              </w:rPr>
            </w:pPr>
            <w:r>
              <w:rPr>
                <w:rFonts w:ascii="Arial" w:cs="Arial" w:eastAsia="Arial" w:hAnsi="Arial"/>
                <w:sz w:val="16"/>
                <w:szCs w:val="16"/>
                <w:color w:val="auto"/>
              </w:rPr>
              <w:t>17,628</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16,504</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20,036</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62,680</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68,698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9.6%</w:t>
            </w:r>
          </w:p>
        </w:tc>
      </w:tr>
      <w:tr>
        <w:trPr>
          <w:trHeight w:val="196"/>
        </w:trPr>
        <w:tc>
          <w:tcPr>
            <w:tcW w:w="272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 xml:space="preserve">Foreign trade </w:t>
            </w:r>
            <w:r>
              <w:rPr>
                <w:rFonts w:ascii="Arial" w:cs="Arial" w:eastAsia="Arial" w:hAnsi="Arial"/>
                <w:sz w:val="22"/>
                <w:szCs w:val="22"/>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18,497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15,503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48,390</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67,096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Corporate finance and mutual funds </w:t>
            </w:r>
            <w:r>
              <w:rPr>
                <w:rFonts w:ascii="Arial" w:cs="Arial" w:eastAsia="Arial" w:hAnsi="Arial"/>
                <w:sz w:val="22"/>
                <w:szCs w:val="22"/>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6"/>
                <w:szCs w:val="16"/>
                <w:color w:val="auto"/>
              </w:rPr>
              <w:t>14,136</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9,165</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11,902</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-15.8%</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56,122</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47,661</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-15.1%</w:t>
            </w:r>
          </w:p>
        </w:tc>
      </w:tr>
      <w:tr>
        <w:trPr>
          <w:trHeight w:val="196"/>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Mibanco</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57,140</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18,583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29,776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84,951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76,732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r>
      <w:tr>
        <w:trPr>
          <w:trHeight w:val="196"/>
        </w:trPr>
        <w:tc>
          <w:tcPr>
            <w:tcW w:w="2720" w:type="dxa"/>
            <w:vAlign w:val="bottom"/>
            <w:gridSpan w:val="2"/>
          </w:tcPr>
          <w:p>
            <w:pPr>
              <w:spacing w:after="0"/>
              <w:rPr>
                <w:sz w:val="20"/>
                <w:szCs w:val="20"/>
                <w:color w:val="auto"/>
              </w:rPr>
            </w:pPr>
            <w:r>
              <w:rPr>
                <w:rFonts w:ascii="Arial" w:cs="Arial" w:eastAsia="Arial" w:hAnsi="Arial"/>
                <w:sz w:val="16"/>
                <w:szCs w:val="16"/>
                <w:color w:val="auto"/>
              </w:rPr>
              <w:t>BCP Bolivia</w:t>
            </w:r>
          </w:p>
        </w:tc>
        <w:tc>
          <w:tcPr>
            <w:tcW w:w="840" w:type="dxa"/>
            <w:vAlign w:val="bottom"/>
          </w:tcPr>
          <w:p>
            <w:pPr>
              <w:jc w:val="right"/>
              <w:spacing w:after="0"/>
              <w:rPr>
                <w:sz w:val="20"/>
                <w:szCs w:val="20"/>
                <w:color w:val="auto"/>
              </w:rPr>
            </w:pPr>
            <w:r>
              <w:rPr>
                <w:rFonts w:ascii="Arial" w:cs="Arial" w:eastAsia="Arial" w:hAnsi="Arial"/>
                <w:sz w:val="16"/>
                <w:szCs w:val="16"/>
                <w:color w:val="auto"/>
              </w:rPr>
              <w:t>27,886</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30,494</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26,852</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-3.7%</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98,169</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122,437</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24.7%</w:t>
            </w:r>
          </w:p>
        </w:tc>
      </w:tr>
      <w:tr>
        <w:trPr>
          <w:trHeight w:val="196"/>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ASB</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24,545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27,643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353.1%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31,309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85,636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173.5%</w:t>
            </w:r>
          </w:p>
        </w:tc>
      </w:tr>
      <w:tr>
        <w:trPr>
          <w:trHeight w:val="196"/>
        </w:trPr>
        <w:tc>
          <w:tcPr>
            <w:tcW w:w="2720" w:type="dxa"/>
            <w:vAlign w:val="bottom"/>
            <w:gridSpan w:val="2"/>
          </w:tcPr>
          <w:p>
            <w:pPr>
              <w:spacing w:after="0" w:line="197"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2"/>
                <w:szCs w:val="22"/>
                <w:color w:val="auto"/>
                <w:vertAlign w:val="superscript"/>
              </w:rPr>
              <w:t>(4)(5)</w:t>
            </w:r>
          </w:p>
        </w:tc>
        <w:tc>
          <w:tcPr>
            <w:tcW w:w="840" w:type="dxa"/>
            <w:vAlign w:val="bottom"/>
          </w:tcPr>
          <w:p>
            <w:pPr>
              <w:jc w:val="right"/>
              <w:spacing w:after="0"/>
              <w:rPr>
                <w:sz w:val="20"/>
                <w:szCs w:val="20"/>
                <w:color w:val="auto"/>
              </w:rPr>
            </w:pPr>
            <w:r>
              <w:rPr>
                <w:rFonts w:ascii="Arial" w:cs="Arial" w:eastAsia="Arial" w:hAnsi="Arial"/>
                <w:sz w:val="16"/>
                <w:szCs w:val="16"/>
                <w:color w:val="auto"/>
              </w:rPr>
              <w:t>7,861</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16,150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12,169</w:t>
            </w: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-24.7%</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54.8%</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36,259</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43,921</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21.1%</w:t>
            </w:r>
          </w:p>
        </w:tc>
      </w:tr>
      <w:tr>
        <w:trPr>
          <w:trHeight w:val="20"/>
        </w:trPr>
        <w:tc>
          <w:tcPr>
            <w:tcW w:w="27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fee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727,365</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743,220</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803,753</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8.1%</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2,375,732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2,926,210</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r>
      <w:tr>
        <w:trPr>
          <w:trHeight w:val="25"/>
        </w:trPr>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Source: BCP</w:t>
      </w:r>
    </w:p>
    <w:p>
      <w:pPr>
        <w:ind w:left="282" w:hanging="282"/>
        <w:spacing w:after="0" w:line="237" w:lineRule="auto"/>
        <w:tabs>
          <w:tab w:leader="none" w:pos="282" w:val="left"/>
        </w:tabs>
        <w:numPr>
          <w:ilvl w:val="0"/>
          <w:numId w:val="51"/>
        </w:numPr>
        <w:rPr>
          <w:rFonts w:ascii="Arial" w:cs="Arial" w:eastAsia="Arial" w:hAnsi="Arial"/>
          <w:sz w:val="20"/>
          <w:szCs w:val="20"/>
          <w:color w:val="auto"/>
        </w:rPr>
      </w:pPr>
      <w:r>
        <w:rPr>
          <w:rFonts w:ascii="Arial" w:cs="Arial" w:eastAsia="Arial" w:hAnsi="Arial"/>
          <w:sz w:val="20"/>
          <w:szCs w:val="20"/>
          <w:color w:val="auto"/>
        </w:rPr>
        <w:t>Saving accounts, current accounts, debit card and master account.</w:t>
      </w:r>
    </w:p>
    <w:p>
      <w:pPr>
        <w:ind w:left="282" w:hanging="282"/>
        <w:spacing w:after="0" w:line="230" w:lineRule="auto"/>
        <w:tabs>
          <w:tab w:leader="none" w:pos="282" w:val="left"/>
        </w:tabs>
        <w:numPr>
          <w:ilvl w:val="0"/>
          <w:numId w:val="51"/>
        </w:numPr>
        <w:rPr>
          <w:rFonts w:ascii="Arial" w:cs="Arial" w:eastAsia="Arial" w:hAnsi="Arial"/>
          <w:sz w:val="20"/>
          <w:szCs w:val="20"/>
          <w:color w:val="auto"/>
        </w:rPr>
      </w:pPr>
      <w:r>
        <w:rPr>
          <w:rFonts w:ascii="Arial" w:cs="Arial" w:eastAsia="Arial" w:hAnsi="Arial"/>
          <w:sz w:val="20"/>
          <w:szCs w:val="20"/>
          <w:color w:val="auto"/>
        </w:rPr>
        <w:t>Mainly Retail fees.</w:t>
      </w:r>
    </w:p>
    <w:p>
      <w:pPr>
        <w:ind w:left="282" w:hanging="282"/>
        <w:spacing w:after="0" w:line="230" w:lineRule="auto"/>
        <w:tabs>
          <w:tab w:leader="none" w:pos="282" w:val="left"/>
        </w:tabs>
        <w:numPr>
          <w:ilvl w:val="0"/>
          <w:numId w:val="51"/>
        </w:numPr>
        <w:rPr>
          <w:rFonts w:ascii="Arial" w:cs="Arial" w:eastAsia="Arial" w:hAnsi="Arial"/>
          <w:sz w:val="20"/>
          <w:szCs w:val="20"/>
          <w:color w:val="auto"/>
        </w:rPr>
      </w:pPr>
      <w:r>
        <w:rPr>
          <w:rFonts w:ascii="Arial" w:cs="Arial" w:eastAsia="Arial" w:hAnsi="Arial"/>
          <w:sz w:val="20"/>
          <w:szCs w:val="20"/>
          <w:color w:val="auto"/>
        </w:rPr>
        <w:t>Mainly Wholesale fees.</w:t>
      </w:r>
    </w:p>
    <w:p>
      <w:pPr>
        <w:ind w:left="282" w:hanging="282"/>
        <w:spacing w:after="0" w:line="230" w:lineRule="auto"/>
        <w:tabs>
          <w:tab w:leader="none" w:pos="282" w:val="left"/>
        </w:tabs>
        <w:numPr>
          <w:ilvl w:val="0"/>
          <w:numId w:val="51"/>
        </w:numPr>
        <w:rPr>
          <w:rFonts w:ascii="Arial" w:cs="Arial" w:eastAsia="Arial" w:hAnsi="Arial"/>
          <w:sz w:val="20"/>
          <w:szCs w:val="20"/>
          <w:color w:val="auto"/>
        </w:rPr>
      </w:pPr>
      <w:r>
        <w:rPr>
          <w:rFonts w:ascii="Arial" w:cs="Arial" w:eastAsia="Arial" w:hAnsi="Arial"/>
          <w:sz w:val="20"/>
          <w:szCs w:val="20"/>
          <w:color w:val="auto"/>
        </w:rPr>
        <w:t>Figures differ from previously reported, please consider the data presented on this report.</w:t>
      </w:r>
    </w:p>
    <w:p>
      <w:pPr>
        <w:ind w:left="282" w:hanging="282"/>
        <w:spacing w:after="0"/>
        <w:tabs>
          <w:tab w:leader="none" w:pos="282"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Includes fees from trust business, wealth management, network usage and other services to third parties, among others.</w:t>
      </w:r>
    </w:p>
    <w:p>
      <w:pPr>
        <w:spacing w:after="0" w:line="190" w:lineRule="exact"/>
        <w:rPr>
          <w:sz w:val="20"/>
          <w:szCs w:val="20"/>
          <w:color w:val="auto"/>
        </w:rPr>
      </w:pPr>
    </w:p>
    <w:p>
      <w:pPr>
        <w:ind w:left="122"/>
        <w:spacing w:after="0"/>
        <w:rPr>
          <w:sz w:val="20"/>
          <w:szCs w:val="20"/>
          <w:color w:val="auto"/>
        </w:rPr>
      </w:pPr>
      <w:r>
        <w:rPr>
          <w:rFonts w:ascii="Arial" w:cs="Arial" w:eastAsia="Arial" w:hAnsi="Arial"/>
          <w:sz w:val="20"/>
          <w:szCs w:val="20"/>
          <w:color w:val="auto"/>
        </w:rPr>
        <w:t xml:space="preserve">Fee income in the banking business grew 8.1% </w:t>
      </w:r>
      <w:r>
        <w:rPr>
          <w:rFonts w:ascii="Arial" w:cs="Arial" w:eastAsia="Arial" w:hAnsi="Arial"/>
          <w:sz w:val="20"/>
          <w:szCs w:val="20"/>
          <w:b w:val="1"/>
          <w:bCs w:val="1"/>
          <w:color w:val="auto"/>
        </w:rPr>
        <w:t>QoQ.</w:t>
      </w:r>
      <w:r>
        <w:rPr>
          <w:rFonts w:ascii="Arial" w:cs="Arial" w:eastAsia="Arial" w:hAnsi="Arial"/>
          <w:sz w:val="20"/>
          <w:szCs w:val="20"/>
          <w:color w:val="auto"/>
        </w:rPr>
        <w:t xml:space="preserve"> The components that registered the highest growth were:</w:t>
      </w:r>
    </w:p>
    <w:p>
      <w:pPr>
        <w:spacing w:after="0" w:line="18" w:lineRule="exact"/>
        <w:rPr>
          <w:sz w:val="20"/>
          <w:szCs w:val="20"/>
          <w:color w:val="auto"/>
        </w:rPr>
      </w:pPr>
    </w:p>
    <w:p>
      <w:pPr>
        <w:ind w:left="702" w:hanging="358"/>
        <w:spacing w:after="0" w:line="268" w:lineRule="auto"/>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Miscellaneous accounts</w:t>
      </w:r>
      <w:r>
        <w:rPr>
          <w:rFonts w:ascii="Arial" w:cs="Arial" w:eastAsia="Arial" w:hAnsi="Arial"/>
          <w:sz w:val="16"/>
          <w:szCs w:val="16"/>
          <w:color w:val="auto"/>
        </w:rPr>
        <w:t>, where growth was driven by an uptick in consumption (seasonality at year-end) in establishments through POS with debit cards</w:t>
      </w:r>
      <w:r>
        <w:rPr>
          <w:rFonts w:ascii="Arial" w:cs="Arial" w:eastAsia="Arial" w:hAnsi="Arial"/>
          <w:sz w:val="16"/>
          <w:szCs w:val="16"/>
          <w:b w:val="1"/>
          <w:bCs w:val="1"/>
          <w:color w:val="auto"/>
        </w:rPr>
        <w:t xml:space="preserve"> </w:t>
      </w:r>
      <w:r>
        <w:rPr>
          <w:rFonts w:ascii="Arial" w:cs="Arial" w:eastAsia="Arial" w:hAnsi="Arial"/>
          <w:sz w:val="16"/>
          <w:szCs w:val="16"/>
          <w:color w:val="auto"/>
        </w:rPr>
        <w:t>(+30.9%). It is important to note that a large portion of this consumption takes place in establishments that generate higher fees.</w:t>
      </w:r>
    </w:p>
    <w:p>
      <w:pPr>
        <w:spacing w:after="0" w:line="184" w:lineRule="exact"/>
        <w:rPr>
          <w:rFonts w:ascii="Arial" w:cs="Arial" w:eastAsia="Arial" w:hAnsi="Arial"/>
          <w:sz w:val="16"/>
          <w:szCs w:val="16"/>
          <w:color w:val="auto"/>
        </w:rPr>
      </w:pPr>
    </w:p>
    <w:p>
      <w:pPr>
        <w:ind w:left="702" w:hanging="358"/>
        <w:spacing w:after="0"/>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Credit Cards</w:t>
      </w:r>
      <w:r>
        <w:rPr>
          <w:rFonts w:ascii="Arial" w:cs="Arial" w:eastAsia="Arial" w:hAnsi="Arial"/>
          <w:sz w:val="16"/>
          <w:szCs w:val="16"/>
          <w:color w:val="auto"/>
        </w:rPr>
        <w:t>, where growth, as in the case of debit cards, was driven by higher consumption in establishments and payment through POS.</w:t>
      </w:r>
    </w:p>
    <w:p>
      <w:pPr>
        <w:spacing w:after="0" w:line="233" w:lineRule="exact"/>
        <w:rPr>
          <w:rFonts w:ascii="Arial" w:cs="Arial" w:eastAsia="Arial" w:hAnsi="Arial"/>
          <w:sz w:val="16"/>
          <w:szCs w:val="16"/>
          <w:color w:val="auto"/>
        </w:rPr>
      </w:pPr>
    </w:p>
    <w:p>
      <w:pPr>
        <w:ind w:left="702" w:hanging="358"/>
        <w:spacing w:after="0"/>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after payment of fees relative to insurance for reprogrammed loans was regularized and third-party fees dropped.</w:t>
      </w:r>
    </w:p>
    <w:p>
      <w:pPr>
        <w:spacing w:after="0" w:line="233" w:lineRule="exact"/>
        <w:rPr>
          <w:rFonts w:ascii="Arial" w:cs="Arial" w:eastAsia="Arial" w:hAnsi="Arial"/>
          <w:sz w:val="16"/>
          <w:szCs w:val="16"/>
          <w:color w:val="auto"/>
        </w:rPr>
      </w:pPr>
    </w:p>
    <w:p>
      <w:pPr>
        <w:ind w:left="702" w:hanging="358"/>
        <w:spacing w:after="0"/>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SME-Pyme loans, </w:t>
      </w:r>
      <w:r>
        <w:rPr>
          <w:rFonts w:ascii="Arial" w:cs="Arial" w:eastAsia="Arial" w:hAnsi="Arial"/>
          <w:sz w:val="16"/>
          <w:szCs w:val="16"/>
          <w:color w:val="auto"/>
        </w:rPr>
        <w:t>due to growth in fees for on-line disbursements, which registered an uptick this quarter.</w:t>
      </w:r>
    </w:p>
    <w:p>
      <w:pPr>
        <w:spacing w:after="0" w:line="231"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YoY and FY, growth was fueled primarily by Miscellaneous Accounts and Drafts and Transfers given that in 2020, these fees were waived to assist clients during the pandemic. Additionally, during the second quarter of the year, foreign transfers and transfers to correspondents registered unusually high levels, which generated higher fees for these concepts. The aforementioned was partially offset by a decrease in fee income at Mibanco due to the elimination of penalties on late payments, which has been in place since June 2021.</w:t>
      </w:r>
    </w:p>
    <w:p>
      <w:pPr>
        <w:spacing w:after="0" w:line="150"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It is important to note that although fees for fund withdrawals from correspondents and for late payments have been suspended since June, our fee income was 6.13% higher than that registered pre-pandemic year (2021 vs 2019). This was attributable to growth in fees for drafts and transfers (+49.5%), miscellaneous accounts 12.08% and off-balance sheet (+28.8%).</w:t>
      </w:r>
    </w:p>
    <w:p>
      <w:pPr>
        <w:spacing w:after="0" w:line="200" w:lineRule="exact"/>
        <w:rPr>
          <w:sz w:val="20"/>
          <w:szCs w:val="20"/>
          <w:color w:val="auto"/>
        </w:rPr>
      </w:pPr>
    </w:p>
    <w:p>
      <w:pPr>
        <w:spacing w:after="0" w:line="23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5266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855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43" w:name="page44"/>
    <w:bookmarkEnd w:id="43"/>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6. Insurance Underwriting Result</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310"/>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Insurance underwriting result </w:t>
            </w:r>
            <w:r>
              <w:rPr>
                <w:rFonts w:ascii="Arial" w:cs="Arial" w:eastAsia="Arial" w:hAnsi="Arial"/>
                <w:sz w:val="27"/>
                <w:szCs w:val="27"/>
                <w:b w:val="1"/>
                <w:bCs w:val="1"/>
                <w:color w:val="auto"/>
                <w:vertAlign w:val="superscript"/>
              </w:rPr>
              <w:t>(1)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Quarter</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ind w:left="600"/>
              <w:spacing w:after="0"/>
              <w:rPr>
                <w:sz w:val="20"/>
                <w:szCs w:val="20"/>
                <w:color w:val="auto"/>
              </w:rPr>
            </w:pPr>
            <w:r>
              <w:rPr>
                <w:rFonts w:ascii="Arial" w:cs="Arial" w:eastAsia="Arial" w:hAnsi="Arial"/>
                <w:sz w:val="16"/>
                <w:szCs w:val="16"/>
                <w:b w:val="1"/>
                <w:bCs w:val="1"/>
                <w:color w:val="auto"/>
                <w:w w:val="93"/>
              </w:rPr>
              <w:t>% change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tcPr>
          <w:p>
            <w:pPr>
              <w:ind w:left="820"/>
              <w:spacing w:after="0"/>
              <w:rPr>
                <w:sz w:val="20"/>
                <w:szCs w:val="20"/>
                <w:color w:val="auto"/>
              </w:rPr>
            </w:pPr>
            <w:r>
              <w:rPr>
                <w:rFonts w:ascii="Arial" w:cs="Arial" w:eastAsia="Arial" w:hAnsi="Arial"/>
                <w:sz w:val="16"/>
                <w:szCs w:val="16"/>
                <w:b w:val="1"/>
                <w:bCs w:val="1"/>
                <w:color w:val="auto"/>
              </w:rPr>
              <w:t>Year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189"/>
        </w:trPr>
        <w:tc>
          <w:tcPr>
            <w:tcW w:w="2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4Q20</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3Q21</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4Q21</w:t>
            </w:r>
          </w:p>
        </w:tc>
        <w:tc>
          <w:tcPr>
            <w:tcW w:w="200" w:type="dxa"/>
            <w:vAlign w:val="bottom"/>
          </w:tcPr>
          <w:p>
            <w:pPr>
              <w:spacing w:after="0"/>
              <w:rPr>
                <w:sz w:val="16"/>
                <w:szCs w:val="16"/>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2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r>
      <w:tr>
        <w:trPr>
          <w:trHeight w:val="18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Net earned premiums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652,670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675,571</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712,087</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2,428,060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2,671,530</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196"/>
        </w:trPr>
        <w:tc>
          <w:tcPr>
            <w:tcW w:w="2660" w:type="dxa"/>
            <w:vAlign w:val="bottom"/>
            <w:gridSpan w:val="2"/>
          </w:tcPr>
          <w:p>
            <w:pPr>
              <w:spacing w:after="0"/>
              <w:rPr>
                <w:sz w:val="20"/>
                <w:szCs w:val="20"/>
                <w:color w:val="auto"/>
              </w:rPr>
            </w:pPr>
            <w:r>
              <w:rPr>
                <w:rFonts w:ascii="Arial" w:cs="Arial" w:eastAsia="Arial" w:hAnsi="Arial"/>
                <w:sz w:val="16"/>
                <w:szCs w:val="16"/>
                <w:color w:val="auto"/>
              </w:rPr>
              <w:t>Net claims</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(492,737)</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(517,951)</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(509,278)</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(1,708,113)</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(2,341,917)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37.1%</w:t>
            </w:r>
          </w:p>
        </w:tc>
      </w:tr>
      <w:tr>
        <w:trPr>
          <w:trHeight w:val="196"/>
        </w:trPr>
        <w:tc>
          <w:tcPr>
            <w:tcW w:w="266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2"/>
                <w:szCs w:val="22"/>
                <w:color w:val="auto"/>
                <w:vertAlign w:val="superscript"/>
              </w:rPr>
              <w:t>(2)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(75,066)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(87,416)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(75,152)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(361,814)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(333,334)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0"/>
        </w:trPr>
        <w:tc>
          <w:tcPr>
            <w:tcW w:w="2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w w:val="98"/>
              </w:rPr>
              <w:t>Total insurance underwriting result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84,867</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70,204</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127,657</w:t>
            </w:r>
          </w:p>
        </w:tc>
        <w:tc>
          <w:tcPr>
            <w:tcW w:w="2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81.8%</w:t>
            </w:r>
          </w:p>
        </w:tc>
        <w:tc>
          <w:tcPr>
            <w:tcW w:w="2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50.4%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358,133</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(3,721)</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-101.0%</w:t>
            </w:r>
          </w:p>
        </w:tc>
      </w:tr>
      <w:tr>
        <w:trPr>
          <w:trHeight w:val="25"/>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2" w:lineRule="exact"/>
        <w:rPr>
          <w:sz w:val="20"/>
          <w:szCs w:val="20"/>
          <w:color w:val="auto"/>
        </w:rPr>
      </w:pPr>
    </w:p>
    <w:p>
      <w:pPr>
        <w:ind w:left="282" w:hanging="282"/>
        <w:spacing w:after="0"/>
        <w:tabs>
          <w:tab w:leader="none" w:pos="28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Includes the results of the Life, Property &amp; Casualty and Crediseguros business.</w:t>
      </w:r>
    </w:p>
    <w:p>
      <w:pPr>
        <w:spacing w:after="0" w:line="6" w:lineRule="exact"/>
        <w:rPr>
          <w:rFonts w:ascii="Arial" w:cs="Arial" w:eastAsia="Arial" w:hAnsi="Arial"/>
          <w:sz w:val="20"/>
          <w:szCs w:val="20"/>
          <w:color w:val="auto"/>
        </w:rPr>
      </w:pPr>
    </w:p>
    <w:p>
      <w:pPr>
        <w:ind w:left="282" w:hanging="282"/>
        <w:spacing w:after="0"/>
        <w:tabs>
          <w:tab w:leader="none" w:pos="28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Includes net fees and underwriting expenses.</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6.1. Life insurance</w:t>
      </w:r>
    </w:p>
    <w:p>
      <w:pPr>
        <w:spacing w:after="0" w:line="110" w:lineRule="exact"/>
        <w:rPr>
          <w:sz w:val="20"/>
          <w:szCs w:val="20"/>
          <w:color w:val="auto"/>
        </w:rPr>
      </w:pPr>
    </w:p>
    <w:tbl>
      <w:tblPr>
        <w:tblLayout w:type="fixed"/>
        <w:tblInd w:w="1642" w:type="dxa"/>
        <w:tblCellMar>
          <w:top w:w="0" w:type="dxa"/>
          <w:left w:w="0" w:type="dxa"/>
          <w:bottom w:w="0" w:type="dxa"/>
          <w:right w:w="0" w:type="dxa"/>
        </w:tblCellMar>
      </w:tblPr>
      <w:tr>
        <w:trPr>
          <w:trHeight w:val="310"/>
        </w:trPr>
        <w:tc>
          <w:tcPr>
            <w:tcW w:w="4140" w:type="dxa"/>
            <w:vAlign w:val="bottom"/>
          </w:tcPr>
          <w:p>
            <w:pPr>
              <w:jc w:val="center"/>
              <w:ind w:right="1718"/>
              <w:spacing w:after="0"/>
              <w:rPr>
                <w:sz w:val="20"/>
                <w:szCs w:val="20"/>
                <w:color w:val="auto"/>
              </w:rPr>
            </w:pPr>
            <w:r>
              <w:rPr>
                <w:rFonts w:ascii="Arial" w:cs="Arial" w:eastAsia="Arial" w:hAnsi="Arial"/>
                <w:sz w:val="16"/>
                <w:szCs w:val="16"/>
                <w:b w:val="1"/>
                <w:bCs w:val="1"/>
                <w:color w:val="auto"/>
                <w:w w:val="93"/>
              </w:rPr>
              <w:t>Total premiums in Life Insurance</w:t>
            </w:r>
          </w:p>
        </w:tc>
        <w:tc>
          <w:tcPr>
            <w:tcW w:w="3520" w:type="dxa"/>
            <w:vAlign w:val="bottom"/>
          </w:tcPr>
          <w:p>
            <w:pPr>
              <w:jc w:val="center"/>
              <w:ind w:left="1718"/>
              <w:spacing w:after="0"/>
              <w:rPr>
                <w:sz w:val="20"/>
                <w:szCs w:val="20"/>
                <w:color w:val="auto"/>
              </w:rPr>
            </w:pPr>
            <w:r>
              <w:rPr>
                <w:rFonts w:ascii="Arial" w:cs="Arial" w:eastAsia="Arial" w:hAnsi="Arial"/>
                <w:sz w:val="16"/>
                <w:szCs w:val="16"/>
                <w:b w:val="1"/>
                <w:bCs w:val="1"/>
                <w:color w:val="auto"/>
                <w:w w:val="90"/>
              </w:rPr>
              <w:t xml:space="preserve">Net earned premiums </w:t>
            </w:r>
            <w:r>
              <w:rPr>
                <w:rFonts w:ascii="Arial" w:cs="Arial" w:eastAsia="Arial" w:hAnsi="Arial"/>
                <w:sz w:val="27"/>
                <w:szCs w:val="27"/>
                <w:b w:val="1"/>
                <w:bCs w:val="1"/>
                <w:color w:val="auto"/>
                <w:w w:val="90"/>
                <w:vertAlign w:val="superscript"/>
              </w:rPr>
              <w:t>(8)</w:t>
            </w:r>
          </w:p>
        </w:tc>
      </w:tr>
      <w:tr>
        <w:trPr>
          <w:trHeight w:val="208"/>
        </w:trPr>
        <w:tc>
          <w:tcPr>
            <w:tcW w:w="4140" w:type="dxa"/>
            <w:vAlign w:val="bottom"/>
          </w:tcPr>
          <w:p>
            <w:pPr>
              <w:jc w:val="center"/>
              <w:ind w:right="1718"/>
              <w:spacing w:after="0"/>
              <w:rPr>
                <w:sz w:val="20"/>
                <w:szCs w:val="20"/>
                <w:color w:val="auto"/>
              </w:rPr>
            </w:pPr>
            <w:r>
              <w:rPr>
                <w:rFonts w:ascii="Arial" w:cs="Arial" w:eastAsia="Arial" w:hAnsi="Arial"/>
                <w:sz w:val="16"/>
                <w:szCs w:val="16"/>
                <w:color w:val="auto"/>
                <w:w w:val="98"/>
              </w:rPr>
              <w:t>(S/ millions)</w:t>
            </w:r>
          </w:p>
        </w:tc>
        <w:tc>
          <w:tcPr>
            <w:tcW w:w="3520" w:type="dxa"/>
            <w:vAlign w:val="bottom"/>
          </w:tcPr>
          <w:p>
            <w:pPr>
              <w:jc w:val="center"/>
              <w:ind w:left="1718"/>
              <w:spacing w:after="0"/>
              <w:rPr>
                <w:sz w:val="20"/>
                <w:szCs w:val="20"/>
                <w:color w:val="auto"/>
              </w:rPr>
            </w:pPr>
            <w:r>
              <w:rPr>
                <w:rFonts w:ascii="Arial" w:cs="Arial" w:eastAsia="Arial" w:hAnsi="Arial"/>
                <w:sz w:val="16"/>
                <w:szCs w:val="16"/>
                <w:color w:val="auto"/>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635</wp:posOffset>
            </wp:positionV>
            <wp:extent cx="5703570" cy="1682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03570"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2"/>
        <w:spacing w:after="0" w:line="231" w:lineRule="exact"/>
        <w:rPr>
          <w:sz w:val="20"/>
          <w:szCs w:val="20"/>
          <w:color w:val="auto"/>
        </w:rPr>
      </w:pPr>
      <w:r>
        <w:rPr>
          <w:rFonts w:ascii="Arial" w:cs="Arial" w:eastAsia="Arial" w:hAnsi="Arial"/>
          <w:sz w:val="19"/>
          <w:szCs w:val="19"/>
          <w:color w:val="auto"/>
        </w:rPr>
        <w:t>Total premiums increased 5.6% QoQ. Growth was driven by: (i) Credit Life, which was attributable to a growth in loans, regularization of premiums and to an adjustment in the premium pricing both at BCP and Mibanco, (ii) Disability and Survivorship (D&amp;S), which registered recovery in premium collections for Disability and Survivorship under the collective policy (SISCO V regimen</w:t>
      </w:r>
      <w:r>
        <w:rPr>
          <w:rFonts w:ascii="MS PGothic" w:cs="MS PGothic" w:eastAsia="MS PGothic" w:hAnsi="MS PGothic"/>
          <w:sz w:val="19"/>
          <w:szCs w:val="19"/>
          <w:color w:val="auto"/>
        </w:rPr>
        <w:t>⁽</w:t>
      </w:r>
      <w:r>
        <w:rPr>
          <w:rFonts w:ascii="Arial" w:cs="Arial" w:eastAsia="Arial" w:hAnsi="Arial"/>
          <w:sz w:val="31"/>
          <w:szCs w:val="31"/>
          <w:color w:val="auto"/>
          <w:vertAlign w:val="superscript"/>
        </w:rPr>
        <w:t>9</w:t>
      </w:r>
      <w:r>
        <w:rPr>
          <w:rFonts w:ascii="MS PGothic" w:cs="MS PGothic" w:eastAsia="MS PGothic" w:hAnsi="MS PGothic"/>
          <w:sz w:val="19"/>
          <w:szCs w:val="19"/>
          <w:color w:val="auto"/>
        </w:rPr>
        <w:t>⁾</w:t>
      </w:r>
      <w:r>
        <w:rPr>
          <w:rFonts w:ascii="Arial" w:cs="Arial" w:eastAsia="Arial" w:hAnsi="Arial"/>
          <w:sz w:val="19"/>
          <w:szCs w:val="19"/>
          <w:color w:val="auto"/>
        </w:rPr>
        <w:t>) and (iii) Group Life, which reported an increase in renewals of SCTR (Complementary Insurance for high-risk Occupations).</w:t>
      </w:r>
    </w:p>
    <w:p>
      <w:pPr>
        <w:spacing w:after="0" w:line="193"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In the YoY analysis, total premiums increased 17.4%, which was driven by (i) D&amp;S, which experienced an uptick in premium collections under the new SISCO V regimen via an increase in the premium rate; (ii) Annuities, due to growth in sales of Survivorship Annuities, (iii) Individual Life, which registered higher sales and an exchange rate effect; and (v) Group Life, mainly for price adjustments. The aforementioned, was mitigated by (v) Credit Life, which registered lower sales at the Alliance channel (given negative impact at Banco de la Nacion and Financiera Oh!), and at Mibanco given 4Q20 premium adjustments.</w:t>
      </w:r>
    </w:p>
    <w:p>
      <w:pPr>
        <w:spacing w:after="0" w:line="19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At a full year basis, total premiums increased 23.5%, driven by the country’s economic recovery. The D&amp;S and Annuities segments drove growth in premiums. It is worth noting that the evolution of D&amp;S reflected the fact that the premium rate under SISCO V is higher than that seen under SISCO IV.</w:t>
      </w:r>
    </w:p>
    <w:p>
      <w:pPr>
        <w:spacing w:after="0" w:line="19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Net earned premiums in the fourth quarter increased 8.2% QoQ and 9.1% YoY. This evolution as driven by the same factors described in the previous analysis. FY, net earned premiums grew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178435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4350" cy="15875"/>
                    </a:xfrm>
                    <a:prstGeom prst="rect">
                      <a:avLst/>
                    </a:prstGeom>
                    <a:noFill/>
                  </pic:spPr>
                </pic:pic>
              </a:graphicData>
            </a:graphic>
          </wp:anchor>
        </w:drawing>
      </w:r>
    </w:p>
    <w:p>
      <w:pPr>
        <w:spacing w:after="0" w:line="312" w:lineRule="exact"/>
        <w:rPr>
          <w:sz w:val="20"/>
          <w:szCs w:val="20"/>
          <w:color w:val="auto"/>
        </w:rPr>
      </w:pPr>
    </w:p>
    <w:p>
      <w:pPr>
        <w:ind w:left="242" w:hanging="242"/>
        <w:spacing w:after="0"/>
        <w:tabs>
          <w:tab w:leader="none" w:pos="242"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Total premiums excluding premiums ceded to reinsurance and premium reserves.</w:t>
      </w:r>
    </w:p>
    <w:p>
      <w:pPr>
        <w:ind w:left="2" w:right="80" w:hanging="2"/>
        <w:spacing w:after="0" w:line="201" w:lineRule="auto"/>
        <w:tabs>
          <w:tab w:leader="none" w:pos="241"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Public bidding process as a result of which the insurance companies that will collectively manage the risks of disability, survival and burial of AFP members for the period 2021-2022 are selected.</w:t>
      </w:r>
    </w:p>
    <w:p>
      <w:pPr>
        <w:spacing w:after="0" w:line="200" w:lineRule="exact"/>
        <w:rPr>
          <w:sz w:val="20"/>
          <w:szCs w:val="20"/>
          <w:color w:val="auto"/>
        </w:rPr>
      </w:pPr>
    </w:p>
    <w:p>
      <w:pPr>
        <w:spacing w:after="0" w:line="23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44" w:name="page45"/>
    <w:bookmarkEnd w:id="44"/>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Net Life Insurance Claims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-3175</wp:posOffset>
            </wp:positionV>
            <wp:extent cx="3155315" cy="1410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55315" cy="141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2"/>
        <w:spacing w:after="0" w:line="229" w:lineRule="exact"/>
        <w:rPr>
          <w:sz w:val="20"/>
          <w:szCs w:val="20"/>
          <w:color w:val="auto"/>
        </w:rPr>
      </w:pPr>
      <w:r>
        <w:rPr>
          <w:rFonts w:ascii="Arial" w:cs="Arial" w:eastAsia="Arial" w:hAnsi="Arial"/>
          <w:sz w:val="20"/>
          <w:szCs w:val="20"/>
          <w:color w:val="auto"/>
        </w:rPr>
        <w:t>Net claims increased 2.2% QoQ in the fourth quarter. This result was attributable to the fact that S/ 1 million (vs reserve releases for 104 million in 3Q21) in IBNR</w:t>
      </w:r>
      <w:r>
        <w:rPr>
          <w:rFonts w:ascii="MS PGothic" w:cs="MS PGothic" w:eastAsia="MS PGothic" w:hAnsi="MS PGothic"/>
          <w:sz w:val="20"/>
          <w:szCs w:val="20"/>
          <w:color w:val="auto"/>
        </w:rPr>
        <w:t>⁽</w:t>
      </w:r>
      <w:r>
        <w:rPr>
          <w:rFonts w:ascii="Arial" w:cs="Arial" w:eastAsia="Arial" w:hAnsi="Arial"/>
          <w:sz w:val="32"/>
          <w:szCs w:val="32"/>
          <w:color w:val="auto"/>
          <w:vertAlign w:val="superscript"/>
        </w:rPr>
        <w:t>10</w:t>
      </w:r>
      <w:r>
        <w:rPr>
          <w:rFonts w:ascii="MS PGothic" w:cs="MS PGothic" w:eastAsia="MS PGothic" w:hAnsi="MS PGothic"/>
          <w:sz w:val="20"/>
          <w:szCs w:val="20"/>
          <w:color w:val="auto"/>
        </w:rPr>
        <w:t>⁾</w:t>
      </w:r>
      <w:r>
        <w:rPr>
          <w:rFonts w:ascii="Arial" w:cs="Arial" w:eastAsia="Arial" w:hAnsi="Arial"/>
          <w:sz w:val="20"/>
          <w:szCs w:val="20"/>
          <w:color w:val="auto"/>
        </w:rPr>
        <w:t xml:space="preserve"> reserves were set aside for COVID-19 and to the uptick in pension payments through Individual Annuities. The effect of setting aside reserves this quarter was mitigated by the decrease in reported claims after fewer COVID cases were reported once the second wave of the pandemic ceded. Reported claims, which were driven primarily by the Credit Life and D&amp;S segments, totaled S/ 80 million (vs S/ 150 million in 3Q210.</w:t>
      </w:r>
    </w:p>
    <w:p>
      <w:pPr>
        <w:spacing w:after="0" w:line="194"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In the YoY analysis, net claims fell 4.4%. This result was primarily attributable to the fact that fewer IBNR reserves were set aside for COVID-19 (S/ 1 million vs S/ 25 million in 4Q20), in line with the improvement in the sanitary situation and with an increase in ceded premiums in the D&amp;S segment. This dynamic was partially attenuated by an increase in pension payments through Individual Annuities. In FY terms, claims increased 43.9%, which was due mainly to growth in claims for COVID, which totaled S/ 567.3 million (vs S/ 260.3 million in 2020).</w:t>
      </w:r>
    </w:p>
    <w:p>
      <w:pPr>
        <w:spacing w:after="0" w:line="194"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It is important to note that after having registered a peak for COVID-19 claims in 2Q21, claims began to fall in July. This trend continues to be favorable and reflects the positive evolution of the vaccination process. At the end of 2021, more than 80% of the target population had been vaccinated with at least two doses.</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6.2. P&amp;C Insurance</w:t>
      </w:r>
    </w:p>
    <w:p>
      <w:pPr>
        <w:spacing w:after="0" w:line="110" w:lineRule="exact"/>
        <w:rPr>
          <w:sz w:val="20"/>
          <w:szCs w:val="20"/>
          <w:color w:val="auto"/>
        </w:rPr>
      </w:pPr>
    </w:p>
    <w:tbl>
      <w:tblPr>
        <w:tblLayout w:type="fixed"/>
        <w:tblInd w:w="2062" w:type="dxa"/>
        <w:tblCellMar>
          <w:top w:w="0" w:type="dxa"/>
          <w:left w:w="0" w:type="dxa"/>
          <w:bottom w:w="0" w:type="dxa"/>
          <w:right w:w="0" w:type="dxa"/>
        </w:tblCellMar>
      </w:tblPr>
      <w:tr>
        <w:trPr>
          <w:trHeight w:val="310"/>
        </w:trPr>
        <w:tc>
          <w:tcPr>
            <w:tcW w:w="3500" w:type="dxa"/>
            <w:vAlign w:val="bottom"/>
          </w:tcPr>
          <w:p>
            <w:pPr>
              <w:jc w:val="center"/>
              <w:ind w:right="1918"/>
              <w:spacing w:after="0"/>
              <w:rPr>
                <w:sz w:val="20"/>
                <w:szCs w:val="20"/>
                <w:color w:val="auto"/>
              </w:rPr>
            </w:pPr>
            <w:r>
              <w:rPr>
                <w:rFonts w:ascii="Arial" w:cs="Arial" w:eastAsia="Arial" w:hAnsi="Arial"/>
                <w:sz w:val="16"/>
                <w:szCs w:val="16"/>
                <w:b w:val="1"/>
                <w:bCs w:val="1"/>
                <w:color w:val="auto"/>
                <w:w w:val="95"/>
              </w:rPr>
              <w:t>Total P&amp;C premiums</w:t>
            </w:r>
          </w:p>
        </w:tc>
        <w:tc>
          <w:tcPr>
            <w:tcW w:w="3760" w:type="dxa"/>
            <w:vAlign w:val="bottom"/>
          </w:tcPr>
          <w:p>
            <w:pPr>
              <w:jc w:val="center"/>
              <w:ind w:left="1918"/>
              <w:spacing w:after="0"/>
              <w:rPr>
                <w:sz w:val="20"/>
                <w:szCs w:val="20"/>
                <w:color w:val="auto"/>
              </w:rPr>
            </w:pPr>
            <w:r>
              <w:rPr>
                <w:rFonts w:ascii="Arial" w:cs="Arial" w:eastAsia="Arial" w:hAnsi="Arial"/>
                <w:sz w:val="16"/>
                <w:szCs w:val="16"/>
                <w:b w:val="1"/>
                <w:bCs w:val="1"/>
                <w:color w:val="auto"/>
                <w:w w:val="87"/>
              </w:rPr>
              <w:t xml:space="preserve">Net earned premiums </w:t>
            </w:r>
            <w:r>
              <w:rPr>
                <w:rFonts w:ascii="Arial" w:cs="Arial" w:eastAsia="Arial" w:hAnsi="Arial"/>
                <w:sz w:val="27"/>
                <w:szCs w:val="27"/>
                <w:b w:val="1"/>
                <w:bCs w:val="1"/>
                <w:color w:val="auto"/>
                <w:w w:val="87"/>
                <w:vertAlign w:val="superscript"/>
              </w:rPr>
              <w:t>(11)</w:t>
            </w:r>
          </w:p>
        </w:tc>
      </w:tr>
      <w:tr>
        <w:trPr>
          <w:trHeight w:val="208"/>
        </w:trPr>
        <w:tc>
          <w:tcPr>
            <w:tcW w:w="3500" w:type="dxa"/>
            <w:vAlign w:val="bottom"/>
          </w:tcPr>
          <w:p>
            <w:pPr>
              <w:jc w:val="center"/>
              <w:ind w:right="1918"/>
              <w:spacing w:after="0"/>
              <w:rPr>
                <w:sz w:val="20"/>
                <w:szCs w:val="20"/>
                <w:color w:val="auto"/>
              </w:rPr>
            </w:pPr>
            <w:r>
              <w:rPr>
                <w:rFonts w:ascii="Arial" w:cs="Arial" w:eastAsia="Arial" w:hAnsi="Arial"/>
                <w:sz w:val="16"/>
                <w:szCs w:val="16"/>
                <w:color w:val="auto"/>
                <w:w w:val="98"/>
              </w:rPr>
              <w:t>(S/ millions)</w:t>
            </w:r>
          </w:p>
        </w:tc>
        <w:tc>
          <w:tcPr>
            <w:tcW w:w="3760" w:type="dxa"/>
            <w:vAlign w:val="bottom"/>
          </w:tcPr>
          <w:p>
            <w:pPr>
              <w:jc w:val="center"/>
              <w:ind w:left="1878"/>
              <w:spacing w:after="0"/>
              <w:rPr>
                <w:sz w:val="20"/>
                <w:szCs w:val="20"/>
                <w:color w:val="auto"/>
              </w:rPr>
            </w:pPr>
            <w:r>
              <w:rPr>
                <w:rFonts w:ascii="Arial" w:cs="Arial" w:eastAsia="Arial" w:hAnsi="Arial"/>
                <w:sz w:val="16"/>
                <w:szCs w:val="16"/>
                <w:color w:val="auto"/>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635</wp:posOffset>
            </wp:positionV>
            <wp:extent cx="5469890" cy="1542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69890" cy="154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
        <w:spacing w:after="0"/>
        <w:rPr>
          <w:sz w:val="20"/>
          <w:szCs w:val="20"/>
          <w:color w:val="auto"/>
        </w:rPr>
      </w:pPr>
      <w:r>
        <w:rPr>
          <w:rFonts w:ascii="Arial" w:cs="Arial" w:eastAsia="Arial" w:hAnsi="Arial"/>
          <w:sz w:val="17"/>
          <w:szCs w:val="17"/>
          <w:color w:val="auto"/>
        </w:rPr>
        <w:t>Total premiums increased 36.1% QoQ, which was due, in part, to a seasonal effect. Growth was primarily driven by the following segments:</w:t>
      </w:r>
    </w:p>
    <w:p>
      <w:pPr>
        <w:spacing w:after="0" w:line="41" w:lineRule="exact"/>
        <w:rPr>
          <w:sz w:val="20"/>
          <w:szCs w:val="20"/>
          <w:color w:val="auto"/>
        </w:rPr>
      </w:pPr>
    </w:p>
    <w:p>
      <w:pPr>
        <w:ind w:left="2" w:hanging="2"/>
        <w:spacing w:after="0" w:line="236" w:lineRule="auto"/>
        <w:tabs>
          <w:tab w:leader="none" w:pos="2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Commercial Lines, due to the volume of policy renewals in Fire, Maritime-Hull and Third-party Liability and (ii) Cars, due to growth in premiums after the broker and bancassurance channels reported increases in new clients and renewals.</w:t>
      </w:r>
    </w:p>
    <w:p>
      <w:pPr>
        <w:spacing w:after="0" w:line="194" w:lineRule="exact"/>
        <w:rPr>
          <w:sz w:val="20"/>
          <w:szCs w:val="20"/>
          <w:color w:val="auto"/>
        </w:rPr>
      </w:pPr>
    </w:p>
    <w:p>
      <w:pPr>
        <w:jc w:val="both"/>
        <w:ind w:left="2"/>
        <w:spacing w:after="0" w:line="236" w:lineRule="auto"/>
        <w:rPr>
          <w:sz w:val="20"/>
          <w:szCs w:val="20"/>
          <w:color w:val="auto"/>
        </w:rPr>
      </w:pPr>
      <w:r>
        <w:rPr>
          <w:rFonts w:ascii="Arial" w:cs="Arial" w:eastAsia="Arial" w:hAnsi="Arial"/>
          <w:sz w:val="20"/>
          <w:szCs w:val="20"/>
          <w:color w:val="auto"/>
        </w:rPr>
        <w:t>In the YoY analysis, total premiums reported growth of 10.0%, which was attributable mainly to (i) Commercial Lines, due to an uptick in sales of policies in Fire, Maritime-Hull and Transportation, (ii) Medical Assistance, due to growth in premium renewals for comprehensive health and oncological products, (iii) Cars, due to an increase in renewals in the Brokers and Digital Sales channels, and (iv) Personal lines, due to an increase in policy issuances for the credit card product through digital sales and Personal Accidents. Finally, in a full year basis, total premiums grew 10.3% in a context of economic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178435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4350" cy="15875"/>
                    </a:xfrm>
                    <a:prstGeom prst="rect">
                      <a:avLst/>
                    </a:prstGeom>
                    <a:noFill/>
                  </pic:spPr>
                </pic:pic>
              </a:graphicData>
            </a:graphic>
          </wp:anchor>
        </w:drawing>
      </w:r>
    </w:p>
    <w:p>
      <w:pPr>
        <w:spacing w:after="0" w:line="236" w:lineRule="exact"/>
        <w:rPr>
          <w:sz w:val="20"/>
          <w:szCs w:val="20"/>
          <w:color w:val="auto"/>
        </w:rPr>
      </w:pPr>
    </w:p>
    <w:p>
      <w:pPr>
        <w:ind w:left="322" w:hanging="322"/>
        <w:spacing w:after="0"/>
        <w:tabs>
          <w:tab w:leader="none" w:pos="322" w:val="left"/>
        </w:tabs>
        <w:numPr>
          <w:ilvl w:val="0"/>
          <w:numId w:val="56"/>
        </w:numPr>
        <w:rPr>
          <w:rFonts w:ascii="Arial" w:cs="Arial" w:eastAsia="Arial" w:hAnsi="Arial"/>
          <w:sz w:val="27"/>
          <w:szCs w:val="27"/>
          <w:color w:val="auto"/>
          <w:vertAlign w:val="superscript"/>
        </w:rPr>
      </w:pPr>
      <w:r>
        <w:rPr>
          <w:rFonts w:ascii="Arial" w:cs="Arial" w:eastAsia="Arial" w:hAnsi="Arial"/>
          <w:sz w:val="17"/>
          <w:szCs w:val="17"/>
          <w:color w:val="auto"/>
        </w:rPr>
        <w:t>Incurred but not reported</w:t>
      </w:r>
    </w:p>
    <w:p>
      <w:pPr>
        <w:ind w:left="322" w:hanging="322"/>
        <w:spacing w:after="0" w:line="180" w:lineRule="auto"/>
        <w:tabs>
          <w:tab w:leader="none" w:pos="322" w:val="left"/>
        </w:tabs>
        <w:numPr>
          <w:ilvl w:val="0"/>
          <w:numId w:val="56"/>
        </w:numPr>
        <w:rPr>
          <w:rFonts w:ascii="Arial" w:cs="Arial" w:eastAsia="Arial" w:hAnsi="Arial"/>
          <w:sz w:val="27"/>
          <w:szCs w:val="27"/>
          <w:color w:val="auto"/>
          <w:vertAlign w:val="superscript"/>
        </w:rPr>
      </w:pPr>
      <w:r>
        <w:rPr>
          <w:rFonts w:ascii="Arial" w:cs="Arial" w:eastAsia="Arial" w:hAnsi="Arial"/>
          <w:sz w:val="17"/>
          <w:szCs w:val="17"/>
          <w:color w:val="auto"/>
        </w:rPr>
        <w:t>Total premiums less premiums ceded to reinsurance and premium reserves.</w:t>
      </w:r>
    </w:p>
    <w:p>
      <w:pPr>
        <w:spacing w:after="0" w:line="343"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Net earned premiums increased 2.7% QoQ this quarter. This evolution was driven by the same factors outlined in the analysis of total premiums. These effects were partially attenuated by an increase in the ceded premium volume in Commercial Lines and to an increase in reserves for current risk, particularly in Cars. In the YoY analysis, net earned premiums increased 9.2%. Finally, in the FY analysis, net earned premiums increased 5.9% in 2021 in a context of economic recovery at the national level.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Claims in P&amp;C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-3175</wp:posOffset>
            </wp:positionV>
            <wp:extent cx="3335020" cy="1558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35020" cy="155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Net claims fell 8.9% QoQ. This contraction is primarily due to the evolution of: (i) Commercial Lines, which registered an increase in severity last quarter in insurance for All Risk for Contractors (machinery) and Transportation, (ii) Medical Assistance, which reported a decrease in case frequency for medical services through comprehensive health products. This was mitigated by (iii) Cars, due to an increase in claims frequency and in the use of vehicles; (iv) SOAT, which registered higher cases, and (v) Personal Lines mainly in the SME business multi-risk product due to fires.</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the YoY analysis, net claims increased 29.5% during the fourth quarter. This growth was primarily driven by (i) Cars and SOAT, which experienced an uptick in claims frequency and (ii) Medical Assistance, which registered growth in claims due to growth in expenses relative to COVID claims and to the fact that claims for other illnesses increased, (ii) Commercial Lines, given an uptick in cases in the transportation line and contractors all risks insurance, and (iv) Personal Lines, due to an increase in the SME business multi-risk product. Finally, in the FY analysis, net claims increased 22.5% in 2021 driven by the same factors outlined in the YoY analysis; growth in claims was mitigated by a decrease in Personal Lines due to drop in case frequency relative to the card protection product.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6.3. Acquisition Cost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Acquisition cost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Arial" w:cs="Arial" w:eastAsia="Arial" w:hAnsi="Arial"/>
                <w:sz w:val="16"/>
                <w:szCs w:val="16"/>
                <w:b w:val="1"/>
                <w:bCs w:val="1"/>
                <w:color w:val="auto"/>
                <w:w w:val="96"/>
              </w:rPr>
              <w:t>% change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ind w:left="860"/>
              <w:spacing w:after="0"/>
              <w:rPr>
                <w:sz w:val="20"/>
                <w:szCs w:val="20"/>
                <w:color w:val="auto"/>
              </w:rPr>
            </w:pPr>
            <w:r>
              <w:rPr>
                <w:rFonts w:ascii="Arial" w:cs="Arial" w:eastAsia="Arial" w:hAnsi="Arial"/>
                <w:sz w:val="16"/>
                <w:szCs w:val="16"/>
                <w:b w:val="1"/>
                <w:bCs w:val="1"/>
                <w:color w:val="auto"/>
              </w:rPr>
              <w:t>Year</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196"/>
        </w:trPr>
        <w:tc>
          <w:tcPr>
            <w:tcW w:w="2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YoY</w:t>
            </w:r>
          </w:p>
        </w:tc>
        <w:tc>
          <w:tcPr>
            <w:tcW w:w="2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7"/>
                <w:szCs w:val="17"/>
                <w:color w:val="auto"/>
              </w:rPr>
            </w:pPr>
          </w:p>
        </w:tc>
      </w:tr>
      <w:tr>
        <w:trPr>
          <w:trHeight w:val="189"/>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Net fees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(63,831)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(51,617)</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(56,359)</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(217,389)</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r>
      <w:tr>
        <w:trPr>
          <w:trHeight w:val="196"/>
        </w:trPr>
        <w:tc>
          <w:tcPr>
            <w:tcW w:w="2300" w:type="dxa"/>
            <w:vAlign w:val="bottom"/>
            <w:gridSpan w:val="2"/>
          </w:tcPr>
          <w:p>
            <w:pPr>
              <w:spacing w:after="0"/>
              <w:rPr>
                <w:sz w:val="20"/>
                <w:szCs w:val="20"/>
                <w:color w:val="auto"/>
              </w:rPr>
            </w:pPr>
            <w:r>
              <w:rPr>
                <w:rFonts w:ascii="Arial" w:cs="Arial" w:eastAsia="Arial" w:hAnsi="Arial"/>
                <w:sz w:val="16"/>
                <w:szCs w:val="16"/>
                <w:color w:val="auto"/>
              </w:rPr>
              <w:t>Underwriting expenses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(19,628)</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(33,543)</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(22,526)</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-32.8%</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14.8%</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(132,994)</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(119,468)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-10.2%</w:t>
            </w:r>
          </w:p>
        </w:tc>
      </w:tr>
      <w:tr>
        <w:trPr>
          <w:trHeight w:val="196"/>
        </w:trPr>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Underwriting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(2,256)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-265.5%</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10,399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r>
      <w:tr>
        <w:trPr>
          <w:trHeight w:val="20"/>
        </w:trPr>
        <w:tc>
          <w:tcPr>
            <w:tcW w:w="2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Acquisition cost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(75,066)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(87,416)</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(75,152)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-14.0%</w:t>
            </w:r>
          </w:p>
        </w:tc>
        <w:tc>
          <w:tcPr>
            <w:tcW w:w="2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0.1%</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(361,814)</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(333,334)</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-7.9%</w:t>
            </w:r>
          </w:p>
        </w:tc>
      </w:tr>
      <w:tr>
        <w:trPr>
          <w:trHeight w:val="20"/>
        </w:trPr>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Acquisition cost by business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-3175</wp:posOffset>
            </wp:positionV>
            <wp:extent cx="2547620" cy="1659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47620" cy="165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6" w:name="page47"/>
    <w:bookmarkEnd w:id="46"/>
    <w:p>
      <w:pPr>
        <w:jc w:val="both"/>
        <w:spacing w:after="0" w:line="23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The acquisition cost fell 14.0% QoQ in the fourth quarter, which was primarily due to a decrease in the underwriting expense. In P&amp;C, the decrease in the underwriting expense was attributable to provision releases for sale expenses for promotions and to provision releases for uncollectible premiums, particularly in Cars. In the Life business, the decrease in underwriting expenses was due primarily to provision releases for expenses for uncollectible premiums associated with reinsurance.</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YoY analysis, the acquisition cost in the fourth quarter remained almost constant. Growth in underwriting expenses was offset by a drop in expenses for commissions. In the Life business, an increase in the acquisition cost was driven primarily by a decrease in underwriting income due to profit-sharing with reinsurers in 4Q20. In P&amp;C, the decrease in the acquisition cost was attributable to a drop in commissions, particularly in Personal Lines.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the FY analysis, the acquisition cost fell 7.9% in 2021 given that the underwriting expense registered in 2020 in P&amp;C was particularly high, mainly due to the evolution of Cars (in line with premium reimbursements in the context of the pandemic) and to a decrease in commissions in P&amp;C and life in 2021.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6.4. Underwriting Result by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Underwriting Result by Business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-3175</wp:posOffset>
            </wp:positionV>
            <wp:extent cx="2719070" cy="17608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19070"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the QoQ analysis, the underwriting result grew 81.8% in the fourth quarter and returned to pre-pandemic levels due to the positive evolution of both businesses. In P&amp;C, the increase in the underwriting result was associated with growth in net earned premiums through Medical Assistance, Commercial Lines and Cars and with a decrease in claims, which reflected severe claims last quarter. In Life Business, the increase in the underwriting result was attributable to an increase in net earned premiums, particularly through Credit Life, D&amp;S and Group Life. This was attenuated by an increase in claims due to set aside IBNR reserves for COVID-19.</w:t>
      </w:r>
    </w:p>
    <w:p>
      <w:pPr>
        <w:spacing w:after="0" w:line="18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YoY analysis, the improvement in the underwriting result was driven by an increase in net earned premiums in both business and to a decrease in claims in Life, in line with a decrease in the number of reserves set aside after the end of the second wave of COVID-19. The aforementioned was attenuated by growth in claims in P&amp;C, which was mainly attributable to Medical Assistance, Commercial Lines and Cars.</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a full year basis, the lower result in 2021 was attributable to the evolution of Life insurance and, to a lesser extent, to that of P&amp;C. Life insurance was impacted by a growth in claims reported and IBNR as a result of the second wave of COVID-19. The aforementioned was mitigated by growth in net earned premiums and a reduction in acquisition costs. In P&amp;C, the decrease in the underwriting result was attributable to growth in claims through the Medical Assistance, Cars and Commercial Lines due to an uptick in claims frequency and severity after mobilization restrictions were lifted in the year; this was mitigated by growth in net earned premiums, which was mainly associated with an increase in sales through the Medical Assistance, Commercial Lines and Personal Lines.</w:t>
      </w:r>
    </w:p>
    <w:p>
      <w:pPr>
        <w:spacing w:after="0" w:line="394"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378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78550" cy="737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48" w:name="page49"/>
    <w:bookmarkEnd w:id="48"/>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7. Operating Expenses</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32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Quarter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Arial" w:cs="Arial" w:eastAsia="Arial" w:hAnsi="Arial"/>
                <w:sz w:val="16"/>
                <w:szCs w:val="16"/>
                <w:b w:val="1"/>
                <w:bCs w:val="1"/>
                <w:color w:val="auto"/>
                <w:w w:val="96"/>
              </w:rPr>
              <w:t>% change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Arial" w:cs="Arial" w:eastAsia="Arial" w:hAnsi="Arial"/>
                <w:sz w:val="16"/>
                <w:szCs w:val="16"/>
                <w:b w:val="1"/>
                <w:bCs w:val="1"/>
                <w:color w:val="auto"/>
              </w:rPr>
              <w:t>Year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2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3Q21</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w w:val="89"/>
              </w:rPr>
              <w:t>Salaries and employees benefits</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792,336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915,564</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1,013,176</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3,312,954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3,668,476</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73"/>
        </w:trPr>
        <w:tc>
          <w:tcPr>
            <w:tcW w:w="2320" w:type="dxa"/>
            <w:vAlign w:val="bottom"/>
            <w:gridSpan w:val="2"/>
          </w:tcPr>
          <w:p>
            <w:pPr>
              <w:spacing w:after="0" w:line="174" w:lineRule="exact"/>
              <w:rPr>
                <w:sz w:val="20"/>
                <w:szCs w:val="20"/>
                <w:color w:val="auto"/>
              </w:rPr>
            </w:pPr>
            <w:r>
              <w:rPr>
                <w:rFonts w:ascii="Arial" w:cs="Arial" w:eastAsia="Arial" w:hAnsi="Arial"/>
                <w:sz w:val="16"/>
                <w:szCs w:val="16"/>
                <w:color w:val="auto"/>
              </w:rPr>
              <w:t>Administrative, general and tax</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320" w:type="dxa"/>
            <w:vAlign w:val="bottom"/>
            <w:gridSpan w:val="2"/>
          </w:tcPr>
          <w:p>
            <w:pPr>
              <w:spacing w:after="0" w:line="220" w:lineRule="exact"/>
              <w:rPr>
                <w:sz w:val="20"/>
                <w:szCs w:val="20"/>
                <w:color w:val="auto"/>
              </w:rPr>
            </w:pPr>
            <w:r>
              <w:rPr>
                <w:rFonts w:ascii="Arial" w:cs="Arial" w:eastAsia="Arial" w:hAnsi="Arial"/>
                <w:sz w:val="15"/>
                <w:szCs w:val="15"/>
                <w:color w:val="auto"/>
              </w:rPr>
              <w:t xml:space="preserve">expenses </w:t>
            </w:r>
            <w:r>
              <w:rPr>
                <w:rFonts w:ascii="Arial" w:cs="Arial" w:eastAsia="Arial" w:hAnsi="Arial"/>
                <w:sz w:val="25"/>
                <w:szCs w:val="25"/>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742,098</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803,156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899,290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21.2%</w:t>
            </w:r>
          </w:p>
        </w:tc>
        <w:tc>
          <w:tcPr>
            <w:tcW w:w="880" w:type="dxa"/>
            <w:vAlign w:val="bottom"/>
          </w:tcPr>
          <w:p>
            <w:pPr>
              <w:jc w:val="right"/>
              <w:spacing w:after="0"/>
              <w:rPr>
                <w:sz w:val="20"/>
                <w:szCs w:val="20"/>
                <w:color w:val="auto"/>
              </w:rPr>
            </w:pPr>
            <w:r>
              <w:rPr>
                <w:rFonts w:ascii="Arial" w:cs="Arial" w:eastAsia="Arial" w:hAnsi="Arial"/>
                <w:sz w:val="16"/>
                <w:szCs w:val="16"/>
                <w:color w:val="auto"/>
              </w:rPr>
              <w:t>2,386,108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2,956,093</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73"/>
        </w:trPr>
        <w:tc>
          <w:tcPr>
            <w:tcW w:w="2320" w:type="dxa"/>
            <w:vAlign w:val="bottom"/>
            <w:gridSpan w:val="2"/>
            <w:shd w:val="clear" w:color="auto" w:fill="CCEEFF"/>
          </w:tcPr>
          <w:p>
            <w:pPr>
              <w:spacing w:after="0" w:line="174" w:lineRule="exact"/>
              <w:rPr>
                <w:sz w:val="20"/>
                <w:szCs w:val="20"/>
                <w:color w:val="auto"/>
              </w:rPr>
            </w:pPr>
            <w:r>
              <w:rPr>
                <w:rFonts w:ascii="Arial" w:cs="Arial" w:eastAsia="Arial" w:hAnsi="Arial"/>
                <w:sz w:val="16"/>
                <w:szCs w:val="16"/>
                <w:color w:val="auto"/>
              </w:rPr>
              <w:t>Depreciation and amortization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164,541</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170,960</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181,660</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10.4%</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669,915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683,254</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20" w:type="dxa"/>
            <w:vAlign w:val="bottom"/>
            <w:gridSpan w:val="2"/>
          </w:tcPr>
          <w:p>
            <w:pPr>
              <w:spacing w:after="0"/>
              <w:rPr>
                <w:sz w:val="20"/>
                <w:szCs w:val="20"/>
                <w:color w:val="auto"/>
              </w:rPr>
            </w:pPr>
            <w:r>
              <w:rPr>
                <w:rFonts w:ascii="Arial" w:cs="Arial" w:eastAsia="Arial" w:hAnsi="Arial"/>
                <w:sz w:val="16"/>
                <w:szCs w:val="16"/>
                <w:color w:val="auto"/>
              </w:rPr>
              <w:t>Association in participation</w:t>
            </w:r>
          </w:p>
        </w:tc>
        <w:tc>
          <w:tcPr>
            <w:tcW w:w="900" w:type="dxa"/>
            <w:vAlign w:val="bottom"/>
          </w:tcPr>
          <w:p>
            <w:pPr>
              <w:jc w:val="right"/>
              <w:spacing w:after="0"/>
              <w:rPr>
                <w:sz w:val="20"/>
                <w:szCs w:val="20"/>
                <w:color w:val="auto"/>
              </w:rPr>
            </w:pPr>
            <w:r>
              <w:rPr>
                <w:rFonts w:ascii="Arial" w:cs="Arial" w:eastAsia="Arial" w:hAnsi="Arial"/>
                <w:sz w:val="16"/>
                <w:szCs w:val="16"/>
                <w:color w:val="auto"/>
              </w:rPr>
              <w:t>17,079</w:t>
            </w:r>
          </w:p>
        </w:tc>
        <w:tc>
          <w:tcPr>
            <w:tcW w:w="2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10,426</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13,965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-18.2%</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52,019</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47,176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6"/>
        </w:trPr>
        <w:tc>
          <w:tcPr>
            <w:tcW w:w="232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2"/>
                <w:szCs w:val="22"/>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75,066</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87,416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75,152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361,814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Operating expenses </w:t>
            </w:r>
            <w:r>
              <w:rPr>
                <w:rFonts w:ascii="Arial" w:cs="Arial" w:eastAsia="Arial" w:hAnsi="Arial"/>
                <w:sz w:val="21"/>
                <w:szCs w:val="21"/>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1,791,120</w:t>
            </w:r>
          </w:p>
        </w:tc>
        <w:tc>
          <w:tcPr>
            <w:tcW w:w="2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1,987,522</w:t>
            </w:r>
          </w:p>
        </w:tc>
        <w:tc>
          <w:tcPr>
            <w:tcW w:w="880" w:type="dxa"/>
            <w:vAlign w:val="bottom"/>
          </w:tcPr>
          <w:p>
            <w:pPr>
              <w:jc w:val="right"/>
              <w:spacing w:after="0"/>
              <w:rPr>
                <w:sz w:val="20"/>
                <w:szCs w:val="20"/>
                <w:color w:val="auto"/>
              </w:rPr>
            </w:pPr>
            <w:r>
              <w:rPr>
                <w:rFonts w:ascii="Arial" w:cs="Arial" w:eastAsia="Arial" w:hAnsi="Arial"/>
                <w:sz w:val="16"/>
                <w:szCs w:val="16"/>
                <w:color w:val="auto"/>
              </w:rPr>
              <w:t>2,183,243</w:t>
            </w:r>
          </w:p>
        </w:tc>
        <w:tc>
          <w:tcPr>
            <w:tcW w:w="2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c>
          <w:tcPr>
            <w:tcW w:w="880" w:type="dxa"/>
            <w:vAlign w:val="bottom"/>
          </w:tcPr>
          <w:p>
            <w:pPr>
              <w:jc w:val="right"/>
              <w:spacing w:after="0"/>
              <w:rPr>
                <w:sz w:val="20"/>
                <w:szCs w:val="20"/>
                <w:color w:val="auto"/>
              </w:rPr>
            </w:pPr>
            <w:r>
              <w:rPr>
                <w:rFonts w:ascii="Arial" w:cs="Arial" w:eastAsia="Arial" w:hAnsi="Arial"/>
                <w:sz w:val="16"/>
                <w:szCs w:val="16"/>
                <w:color w:val="auto"/>
              </w:rPr>
              <w:t>6,782,810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7,688,333</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02" w:hanging="302"/>
        <w:spacing w:after="0"/>
        <w:tabs>
          <w:tab w:leader="none" w:pos="3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4Q20 figures differ from what was previously reported by reclassification of IFRS16.</w:t>
      </w:r>
    </w:p>
    <w:p>
      <w:pPr>
        <w:spacing w:after="0" w:line="23" w:lineRule="exact"/>
        <w:rPr>
          <w:rFonts w:ascii="Arial" w:cs="Arial" w:eastAsia="Arial" w:hAnsi="Arial"/>
          <w:sz w:val="16"/>
          <w:szCs w:val="16"/>
          <w:color w:val="auto"/>
        </w:rPr>
      </w:pPr>
    </w:p>
    <w:p>
      <w:pPr>
        <w:ind w:left="302" w:hanging="302"/>
        <w:spacing w:after="0"/>
        <w:tabs>
          <w:tab w:leader="none" w:pos="3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acquisition cost of Pacifico includes net fees and underwriting expenses.</w:t>
      </w:r>
    </w:p>
    <w:p>
      <w:pPr>
        <w:spacing w:after="0" w:line="12" w:lineRule="exact"/>
        <w:rPr>
          <w:rFonts w:ascii="Arial" w:cs="Arial" w:eastAsia="Arial" w:hAnsi="Arial"/>
          <w:sz w:val="16"/>
          <w:szCs w:val="16"/>
          <w:color w:val="auto"/>
        </w:rPr>
      </w:pPr>
    </w:p>
    <w:p>
      <w:pPr>
        <w:ind w:left="302" w:hanging="302"/>
        <w:spacing w:after="0"/>
        <w:tabs>
          <w:tab w:leader="none" w:pos="302" w:val="left"/>
        </w:tabs>
        <w:numPr>
          <w:ilvl w:val="0"/>
          <w:numId w:val="57"/>
        </w:numPr>
        <w:rPr>
          <w:rFonts w:ascii="Arial" w:cs="Arial" w:eastAsia="Arial" w:hAnsi="Arial"/>
          <w:sz w:val="15"/>
          <w:szCs w:val="15"/>
          <w:color w:val="auto"/>
        </w:rPr>
      </w:pPr>
      <w:r>
        <w:rPr>
          <w:rFonts w:ascii="Arial" w:cs="Arial" w:eastAsia="Arial" w:hAnsi="Arial"/>
          <w:sz w:val="15"/>
          <w:szCs w:val="15"/>
          <w:color w:val="auto"/>
        </w:rPr>
        <w:t>Operating expenses = Salaries and employee’s benefits + Administrative expenses + Depreciation and amortization + Association in participation + Acquisition cost.</w:t>
      </w:r>
    </w:p>
    <w:p>
      <w:pPr>
        <w:spacing w:after="0" w:line="212" w:lineRule="exact"/>
        <w:rPr>
          <w:sz w:val="20"/>
          <w:szCs w:val="20"/>
          <w:color w:val="auto"/>
        </w:rPr>
      </w:pPr>
    </w:p>
    <w:tbl>
      <w:tblPr>
        <w:tblLayout w:type="fixed"/>
        <w:tblInd w:w="1242" w:type="dxa"/>
        <w:tblCellMar>
          <w:top w:w="0" w:type="dxa"/>
          <w:left w:w="0" w:type="dxa"/>
          <w:bottom w:w="0" w:type="dxa"/>
          <w:right w:w="0" w:type="dxa"/>
        </w:tblCellMar>
      </w:tblPr>
      <w:tr>
        <w:trPr>
          <w:trHeight w:val="230"/>
        </w:trPr>
        <w:tc>
          <w:tcPr>
            <w:tcW w:w="3760" w:type="dxa"/>
            <w:vAlign w:val="bottom"/>
          </w:tcPr>
          <w:p>
            <w:pPr>
              <w:jc w:val="center"/>
              <w:ind w:right="742"/>
              <w:spacing w:after="0"/>
              <w:rPr>
                <w:sz w:val="20"/>
                <w:szCs w:val="20"/>
                <w:color w:val="auto"/>
              </w:rPr>
            </w:pPr>
            <w:r>
              <w:rPr>
                <w:rFonts w:ascii="Arial" w:cs="Arial" w:eastAsia="Arial" w:hAnsi="Arial"/>
                <w:sz w:val="20"/>
                <w:szCs w:val="20"/>
                <w:b w:val="1"/>
                <w:bCs w:val="1"/>
                <w:color w:val="auto"/>
                <w:w w:val="85"/>
              </w:rPr>
              <w:t>Composition of operating expenses</w:t>
            </w:r>
          </w:p>
        </w:tc>
        <w:tc>
          <w:tcPr>
            <w:tcW w:w="6240" w:type="dxa"/>
            <w:vAlign w:val="bottom"/>
            <w:gridSpan w:val="2"/>
          </w:tcPr>
          <w:p>
            <w:pPr>
              <w:ind w:left="900"/>
              <w:spacing w:after="0"/>
              <w:rPr>
                <w:sz w:val="20"/>
                <w:szCs w:val="20"/>
                <w:color w:val="auto"/>
              </w:rPr>
            </w:pPr>
            <w:r>
              <w:rPr>
                <w:rFonts w:ascii="Arial" w:cs="Arial" w:eastAsia="Arial" w:hAnsi="Arial"/>
                <w:sz w:val="20"/>
                <w:szCs w:val="20"/>
                <w:color w:val="auto"/>
              </w:rPr>
              <w:t>In the QoQ, YoY and FY analysis, expenses rose due to:</w:t>
            </w:r>
          </w:p>
        </w:tc>
        <w:tc>
          <w:tcPr>
            <w:tcW w:w="0" w:type="dxa"/>
            <w:vAlign w:val="bottom"/>
          </w:tcPr>
          <w:p>
            <w:pPr>
              <w:spacing w:after="0"/>
              <w:rPr>
                <w:sz w:val="1"/>
                <w:szCs w:val="1"/>
                <w:color w:val="auto"/>
              </w:rPr>
            </w:pPr>
          </w:p>
        </w:tc>
      </w:tr>
      <w:tr>
        <w:trPr>
          <w:trHeight w:val="255"/>
        </w:trPr>
        <w:tc>
          <w:tcPr>
            <w:tcW w:w="3760" w:type="dxa"/>
            <w:vAlign w:val="bottom"/>
          </w:tcPr>
          <w:p>
            <w:pPr>
              <w:jc w:val="center"/>
              <w:ind w:right="742"/>
              <w:spacing w:after="0"/>
              <w:rPr>
                <w:sz w:val="20"/>
                <w:szCs w:val="20"/>
                <w:color w:val="auto"/>
              </w:rPr>
            </w:pPr>
            <w:r>
              <w:rPr>
                <w:rFonts w:ascii="Arial" w:cs="Arial" w:eastAsia="Arial" w:hAnsi="Arial"/>
                <w:sz w:val="20"/>
                <w:szCs w:val="20"/>
                <w:b w:val="1"/>
                <w:bCs w:val="1"/>
                <w:color w:val="auto"/>
                <w:w w:val="89"/>
              </w:rPr>
              <w:t>December-21</w:t>
            </w:r>
          </w:p>
        </w:tc>
        <w:tc>
          <w:tcPr>
            <w:tcW w:w="1080" w:type="dxa"/>
            <w:vAlign w:val="bottom"/>
            <w:vMerge w:val="restart"/>
          </w:tcPr>
          <w:p>
            <w:pPr>
              <w:ind w:left="840"/>
              <w:spacing w:after="0"/>
              <w:rPr>
                <w:sz w:val="20"/>
                <w:szCs w:val="20"/>
                <w:color w:val="auto"/>
              </w:rPr>
            </w:pPr>
            <w:r>
              <w:rPr>
                <w:rFonts w:ascii="Arial" w:cs="Arial" w:eastAsia="Arial" w:hAnsi="Arial"/>
                <w:sz w:val="16"/>
                <w:szCs w:val="16"/>
                <w:color w:val="auto"/>
              </w:rPr>
              <w:t>(i)</w:t>
            </w:r>
          </w:p>
        </w:tc>
        <w:tc>
          <w:tcPr>
            <w:tcW w:w="5160" w:type="dxa"/>
            <w:vAlign w:val="bottom"/>
            <w:vMerge w:val="restart"/>
          </w:tcPr>
          <w:p>
            <w:pPr>
              <w:ind w:left="40"/>
              <w:spacing w:after="0"/>
              <w:rPr>
                <w:sz w:val="20"/>
                <w:szCs w:val="20"/>
                <w:color w:val="auto"/>
              </w:rPr>
            </w:pPr>
            <w:r>
              <w:rPr>
                <w:rFonts w:ascii="Arial" w:cs="Arial" w:eastAsia="Arial" w:hAnsi="Arial"/>
                <w:sz w:val="16"/>
                <w:szCs w:val="16"/>
                <w:color w:val="auto"/>
                <w:w w:val="91"/>
              </w:rPr>
              <w:t xml:space="preserve">Growth in </w:t>
            </w:r>
            <w:r>
              <w:rPr>
                <w:rFonts w:ascii="Arial" w:cs="Arial" w:eastAsia="Arial" w:hAnsi="Arial"/>
                <w:sz w:val="16"/>
                <w:szCs w:val="16"/>
                <w:b w:val="1"/>
                <w:bCs w:val="1"/>
                <w:color w:val="auto"/>
                <w:w w:val="91"/>
              </w:rPr>
              <w:t>administrative and general expenses and taxes</w:t>
            </w:r>
            <w:r>
              <w:rPr>
                <w:rFonts w:ascii="Arial" w:cs="Arial" w:eastAsia="Arial" w:hAnsi="Arial"/>
                <w:sz w:val="16"/>
                <w:szCs w:val="16"/>
                <w:color w:val="auto"/>
                <w:w w:val="91"/>
              </w:rPr>
              <w:t xml:space="preserve"> given that we are</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w w:val="97"/>
              </w:rPr>
              <w:t>in the process of accelerating our digital transformation and as such, have</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w w:val="91"/>
              </w:rPr>
              <w:t>increased investment in technology, data analysis, consultancy, among others.</w:t>
            </w:r>
          </w:p>
        </w:tc>
        <w:tc>
          <w:tcPr>
            <w:tcW w:w="0" w:type="dxa"/>
            <w:vAlign w:val="bottom"/>
          </w:tcPr>
          <w:p>
            <w:pPr>
              <w:spacing w:after="0"/>
              <w:rPr>
                <w:sz w:val="1"/>
                <w:szCs w:val="1"/>
                <w:color w:val="auto"/>
              </w:rPr>
            </w:pPr>
          </w:p>
        </w:tc>
      </w:tr>
      <w:tr>
        <w:trPr>
          <w:trHeight w:val="406"/>
        </w:trPr>
        <w:tc>
          <w:tcPr>
            <w:tcW w:w="37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6"/>
                <w:szCs w:val="16"/>
                <w:color w:val="auto"/>
              </w:rPr>
              <w:t>(ii)</w:t>
            </w:r>
          </w:p>
        </w:tc>
        <w:tc>
          <w:tcPr>
            <w:tcW w:w="5160" w:type="dxa"/>
            <w:vAlign w:val="bottom"/>
          </w:tcPr>
          <w:p>
            <w:pPr>
              <w:ind w:left="40"/>
              <w:spacing w:after="0"/>
              <w:rPr>
                <w:sz w:val="20"/>
                <w:szCs w:val="20"/>
                <w:color w:val="auto"/>
              </w:rPr>
            </w:pPr>
            <w:r>
              <w:rPr>
                <w:rFonts w:ascii="Arial" w:cs="Arial" w:eastAsia="Arial" w:hAnsi="Arial"/>
                <w:sz w:val="16"/>
                <w:szCs w:val="16"/>
                <w:color w:val="auto"/>
                <w:w w:val="98"/>
              </w:rPr>
              <w:t xml:space="preserve">An increase in </w:t>
            </w:r>
            <w:r>
              <w:rPr>
                <w:rFonts w:ascii="Arial" w:cs="Arial" w:eastAsia="Arial" w:hAnsi="Arial"/>
                <w:sz w:val="16"/>
                <w:szCs w:val="16"/>
                <w:b w:val="1"/>
                <w:bCs w:val="1"/>
                <w:color w:val="auto"/>
                <w:w w:val="98"/>
              </w:rPr>
              <w:t>Salaries and Employee Benefits</w:t>
            </w:r>
            <w:r>
              <w:rPr>
                <w:rFonts w:ascii="Arial" w:cs="Arial" w:eastAsia="Arial" w:hAnsi="Arial"/>
                <w:sz w:val="16"/>
                <w:szCs w:val="16"/>
                <w:color w:val="auto"/>
                <w:w w:val="98"/>
              </w:rPr>
              <w:t>, after earnings rose in a</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w w:val="93"/>
              </w:rPr>
              <w:t>context marked by economic reactivation and moves to hire more specialized</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160" w:type="dxa"/>
            <w:vAlign w:val="bottom"/>
          </w:tcPr>
          <w:p>
            <w:pPr>
              <w:ind w:left="40"/>
              <w:spacing w:after="0"/>
              <w:rPr>
                <w:sz w:val="20"/>
                <w:szCs w:val="20"/>
                <w:color w:val="auto"/>
              </w:rPr>
            </w:pPr>
            <w:r>
              <w:rPr>
                <w:rFonts w:ascii="Arial" w:cs="Arial" w:eastAsia="Arial" w:hAnsi="Arial"/>
                <w:sz w:val="16"/>
                <w:szCs w:val="16"/>
                <w:color w:val="auto"/>
              </w:rPr>
              <w:t>technical profiles under our digital transformation strategy.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-746760</wp:posOffset>
            </wp:positionV>
            <wp:extent cx="2493010" cy="2212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3010" cy="2212975"/>
                    </a:xfrm>
                    <a:prstGeom prst="rect">
                      <a:avLst/>
                    </a:prstGeom>
                    <a:noFill/>
                  </pic:spPr>
                </pic:pic>
              </a:graphicData>
            </a:graphic>
          </wp:anchor>
        </w:drawing>
      </w:r>
    </w:p>
    <w:p>
      <w:pPr>
        <w:spacing w:after="0" w:line="183" w:lineRule="exact"/>
        <w:rPr>
          <w:sz w:val="20"/>
          <w:szCs w:val="20"/>
          <w:color w:val="auto"/>
        </w:rPr>
      </w:pPr>
    </w:p>
    <w:p>
      <w:pPr>
        <w:jc w:val="both"/>
        <w:ind w:left="5842"/>
        <w:spacing w:after="0" w:line="303" w:lineRule="auto"/>
        <w:rPr>
          <w:sz w:val="20"/>
          <w:szCs w:val="20"/>
          <w:color w:val="auto"/>
        </w:rPr>
      </w:pPr>
      <w:r>
        <w:rPr>
          <w:rFonts w:ascii="Arial" w:cs="Arial" w:eastAsia="Arial" w:hAnsi="Arial"/>
          <w:sz w:val="17"/>
          <w:szCs w:val="17"/>
          <w:color w:val="auto"/>
        </w:rPr>
        <w:t>It is important to note that exchange rate volatility had a significant impact on expenses this year. If we exclude this effect, growth in expenses stands at 13.2% (decrease of 20bps).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7.1. Administrative and General Expenses and Taxes</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Administrative and general expenses and taxes</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Administrative, general and tax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Quarter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 change</w:t>
            </w:r>
          </w:p>
        </w:tc>
        <w:tc>
          <w:tcPr>
            <w:tcW w:w="1180" w:type="dxa"/>
            <w:vAlign w:val="bottom"/>
            <w:gridSpan w:val="3"/>
          </w:tcPr>
          <w:p>
            <w:pPr>
              <w:ind w:left="800"/>
              <w:spacing w:after="0"/>
              <w:rPr>
                <w:sz w:val="20"/>
                <w:szCs w:val="20"/>
                <w:color w:val="auto"/>
              </w:rPr>
            </w:pPr>
            <w:r>
              <w:rPr>
                <w:rFonts w:ascii="Arial" w:cs="Arial" w:eastAsia="Arial" w:hAnsi="Arial"/>
                <w:sz w:val="16"/>
                <w:szCs w:val="16"/>
                <w:b w:val="1"/>
                <w:bCs w:val="1"/>
                <w:color w:val="auto"/>
              </w:rPr>
              <w:t>Year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4Q20</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3Q21</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4Q21</w:t>
            </w:r>
          </w:p>
        </w:tc>
        <w:tc>
          <w:tcPr>
            <w:tcW w:w="180" w:type="dxa"/>
            <w:vAlign w:val="bottom"/>
          </w:tcPr>
          <w:p>
            <w:pPr>
              <w:spacing w:after="0"/>
              <w:rPr>
                <w:sz w:val="16"/>
                <w:szCs w:val="16"/>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w w:val="94"/>
              </w:rPr>
              <w:t>2021 / 2020</w:t>
            </w:r>
          </w:p>
        </w:tc>
        <w:tc>
          <w:tcPr>
            <w:tcW w:w="160" w:type="dxa"/>
            <w:vAlign w:val="bottom"/>
          </w:tcPr>
          <w:p>
            <w:pPr>
              <w:spacing w:after="0"/>
              <w:rPr>
                <w:sz w:val="16"/>
                <w:szCs w:val="16"/>
                <w:color w:val="auto"/>
              </w:rPr>
            </w:pPr>
          </w:p>
        </w:tc>
      </w:tr>
      <w:tr>
        <w:trPr>
          <w:trHeight w:val="189"/>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IT expenses and IT third-party services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176,548</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181,936</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234,556</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515,542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691,402</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Advertising and customer loyalty programs</w:t>
            </w:r>
          </w:p>
        </w:tc>
        <w:tc>
          <w:tcPr>
            <w:tcW w:w="760" w:type="dxa"/>
            <w:vAlign w:val="bottom"/>
          </w:tcPr>
          <w:p>
            <w:pPr>
              <w:jc w:val="right"/>
              <w:spacing w:after="0"/>
              <w:rPr>
                <w:sz w:val="20"/>
                <w:szCs w:val="20"/>
                <w:color w:val="auto"/>
              </w:rPr>
            </w:pPr>
            <w:r>
              <w:rPr>
                <w:rFonts w:ascii="Arial" w:cs="Arial" w:eastAsia="Arial" w:hAnsi="Arial"/>
                <w:sz w:val="16"/>
                <w:szCs w:val="16"/>
                <w:color w:val="auto"/>
              </w:rPr>
              <w:t>42,989</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35,080</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76,266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117.4%</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77.4%</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349,745</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486,885</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39.2%</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Audit Services, Consulting and professional fees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129,489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123,603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185,896</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219,671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312,752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42.4%</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Taxes and contributions</w:t>
            </w:r>
          </w:p>
        </w:tc>
        <w:tc>
          <w:tcPr>
            <w:tcW w:w="760" w:type="dxa"/>
            <w:vAlign w:val="bottom"/>
          </w:tcPr>
          <w:p>
            <w:pPr>
              <w:jc w:val="right"/>
              <w:spacing w:after="0"/>
              <w:rPr>
                <w:sz w:val="20"/>
                <w:szCs w:val="20"/>
                <w:color w:val="auto"/>
              </w:rPr>
            </w:pPr>
            <w:r>
              <w:rPr>
                <w:rFonts w:ascii="Arial" w:cs="Arial" w:eastAsia="Arial" w:hAnsi="Arial"/>
                <w:sz w:val="16"/>
                <w:szCs w:val="16"/>
                <w:color w:val="auto"/>
              </w:rPr>
              <w:t>75,477</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80,626</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62,644</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-22.3%</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-17.0%</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266,704</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289,484</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Infrastructure maintenance and repair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82,359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114,551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97,026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133,257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176,093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Transport and communications</w:t>
            </w:r>
          </w:p>
        </w:tc>
        <w:tc>
          <w:tcPr>
            <w:tcW w:w="760" w:type="dxa"/>
            <w:vAlign w:val="bottom"/>
          </w:tcPr>
          <w:p>
            <w:pPr>
              <w:jc w:val="right"/>
              <w:spacing w:after="0"/>
              <w:rPr>
                <w:sz w:val="20"/>
                <w:szCs w:val="20"/>
                <w:color w:val="auto"/>
              </w:rPr>
            </w:pPr>
            <w:r>
              <w:rPr>
                <w:rFonts w:ascii="Arial" w:cs="Arial" w:eastAsia="Arial" w:hAnsi="Arial"/>
                <w:sz w:val="16"/>
                <w:szCs w:val="16"/>
                <w:color w:val="auto"/>
              </w:rPr>
              <w:t>51,956</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59,578</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66,026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10.8%</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167,517</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222,706</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32.9%</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Agents' Fees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26,486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27,960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87,899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104,700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Leases of low value and short-term</w:t>
            </w:r>
          </w:p>
        </w:tc>
        <w:tc>
          <w:tcPr>
            <w:tcW w:w="760" w:type="dxa"/>
            <w:vAlign w:val="bottom"/>
          </w:tcPr>
          <w:p>
            <w:pPr>
              <w:jc w:val="right"/>
              <w:spacing w:after="0"/>
              <w:rPr>
                <w:sz w:val="20"/>
                <w:szCs w:val="20"/>
                <w:color w:val="auto"/>
              </w:rPr>
            </w:pPr>
            <w:r>
              <w:rPr>
                <w:rFonts w:ascii="Arial" w:cs="Arial" w:eastAsia="Arial" w:hAnsi="Arial"/>
                <w:sz w:val="16"/>
                <w:szCs w:val="16"/>
                <w:color w:val="auto"/>
              </w:rPr>
              <w:t>17,473</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25,710</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15,530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-39.6%</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70,404</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86,417</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22.7%</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Miscellaneous supplies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13,068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15,035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67,537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57,093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Security and protection</w:t>
            </w:r>
          </w:p>
        </w:tc>
        <w:tc>
          <w:tcPr>
            <w:tcW w:w="760" w:type="dxa"/>
            <w:vAlign w:val="bottom"/>
          </w:tcPr>
          <w:p>
            <w:pPr>
              <w:jc w:val="right"/>
              <w:spacing w:after="0"/>
              <w:rPr>
                <w:sz w:val="20"/>
                <w:szCs w:val="20"/>
                <w:color w:val="auto"/>
              </w:rPr>
            </w:pPr>
            <w:r>
              <w:rPr>
                <w:rFonts w:ascii="Arial" w:cs="Arial" w:eastAsia="Arial" w:hAnsi="Arial"/>
                <w:sz w:val="16"/>
                <w:szCs w:val="16"/>
                <w:color w:val="auto"/>
              </w:rPr>
              <w:t>16,536</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15,468</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16,381</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64,439</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63,500</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Electricity and water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11,102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14,384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51,649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48,886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Subscriptions and quotes</w:t>
            </w:r>
          </w:p>
        </w:tc>
        <w:tc>
          <w:tcPr>
            <w:tcW w:w="760" w:type="dxa"/>
            <w:vAlign w:val="bottom"/>
          </w:tcPr>
          <w:p>
            <w:pPr>
              <w:jc w:val="right"/>
              <w:spacing w:after="0"/>
              <w:rPr>
                <w:sz w:val="20"/>
                <w:szCs w:val="20"/>
                <w:color w:val="auto"/>
              </w:rPr>
            </w:pPr>
            <w:r>
              <w:rPr>
                <w:rFonts w:ascii="Arial" w:cs="Arial" w:eastAsia="Arial" w:hAnsi="Arial"/>
                <w:sz w:val="16"/>
                <w:szCs w:val="16"/>
                <w:color w:val="auto"/>
              </w:rPr>
              <w:t>13,978</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13,312</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14,717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5.3%</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49,212</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54,674</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11.1%</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Insurances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36,968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13,957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46,047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64,519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40.1%</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Electronic processing</w:t>
            </w:r>
          </w:p>
        </w:tc>
        <w:tc>
          <w:tcPr>
            <w:tcW w:w="760" w:type="dxa"/>
            <w:vAlign w:val="bottom"/>
          </w:tcPr>
          <w:p>
            <w:pPr>
              <w:jc w:val="right"/>
              <w:spacing w:after="0"/>
              <w:rPr>
                <w:sz w:val="20"/>
                <w:szCs w:val="20"/>
                <w:color w:val="auto"/>
              </w:rPr>
            </w:pPr>
            <w:r>
              <w:rPr>
                <w:rFonts w:ascii="Arial" w:cs="Arial" w:eastAsia="Arial" w:hAnsi="Arial"/>
                <w:sz w:val="16"/>
                <w:szCs w:val="16"/>
                <w:color w:val="auto"/>
              </w:rPr>
              <w:t>12,619</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10,863</w:t>
            </w:r>
          </w:p>
        </w:tc>
        <w:tc>
          <w:tcPr>
            <w:tcW w:w="780" w:type="dxa"/>
            <w:vAlign w:val="bottom"/>
          </w:tcPr>
          <w:p>
            <w:pPr>
              <w:jc w:val="right"/>
              <w:spacing w:after="0"/>
              <w:rPr>
                <w:sz w:val="20"/>
                <w:szCs w:val="20"/>
                <w:color w:val="auto"/>
              </w:rPr>
            </w:pPr>
            <w:r>
              <w:rPr>
                <w:rFonts w:ascii="Arial" w:cs="Arial" w:eastAsia="Arial" w:hAnsi="Arial"/>
                <w:sz w:val="16"/>
                <w:szCs w:val="16"/>
                <w:color w:val="auto"/>
              </w:rPr>
              <w:t>7,574</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-30.3%</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-40.0%</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36,920</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39,528</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Cleaning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4,630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22,900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20,105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Services by third-party</w:t>
            </w:r>
          </w:p>
        </w:tc>
        <w:tc>
          <w:tcPr>
            <w:tcW w:w="760" w:type="dxa"/>
            <w:vAlign w:val="bottom"/>
          </w:tcPr>
          <w:p>
            <w:pPr>
              <w:jc w:val="right"/>
              <w:spacing w:after="0"/>
              <w:rPr>
                <w:sz w:val="20"/>
                <w:szCs w:val="20"/>
                <w:color w:val="auto"/>
              </w:rPr>
            </w:pPr>
            <w:r>
              <w:rPr>
                <w:rFonts w:ascii="Arial" w:cs="Arial" w:eastAsia="Arial" w:hAnsi="Arial"/>
                <w:sz w:val="16"/>
                <w:szCs w:val="16"/>
                <w:color w:val="auto"/>
              </w:rPr>
              <w:t>16,819</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16,131</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43,598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170.3%</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159.2%</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48,869</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86,283</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76.6%</w:t>
            </w:r>
          </w:p>
        </w:tc>
      </w:tr>
      <w:tr>
        <w:trPr>
          <w:trHeight w:val="196"/>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Others (1)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34,045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187,796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151,066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r>
      <w:tr>
        <w:trPr>
          <w:trHeight w:val="20"/>
        </w:trPr>
        <w:tc>
          <w:tcPr>
            <w:tcW w:w="3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Total administrative and general expenses</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742,098</w:t>
            </w: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803,157</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899,290</w:t>
            </w:r>
          </w:p>
        </w:tc>
        <w:tc>
          <w:tcPr>
            <w:tcW w:w="1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12.0%</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21.2%</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2,386,108</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2,956,093</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23.9%</w:t>
            </w:r>
          </w:p>
        </w:tc>
      </w:tr>
      <w:tr>
        <w:trPr>
          <w:trHeight w:val="20"/>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 w:hanging="2"/>
        <w:spacing w:after="0" w:line="250" w:lineRule="auto"/>
        <w:tabs>
          <w:tab w:leader="none" w:pos="29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balance consists mainly of security and protection services, cleaning service, representation expenses, electricity and water utilities, insurance policiy expenses, subscription expenses and commission expenses.</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 xml:space="preserve">In the QoQ, YoY and FY analysis, </w:t>
      </w:r>
      <w:r>
        <w:rPr>
          <w:rFonts w:ascii="Arial" w:cs="Arial" w:eastAsia="Arial" w:hAnsi="Arial"/>
          <w:sz w:val="20"/>
          <w:szCs w:val="20"/>
          <w:b w:val="1"/>
          <w:bCs w:val="1"/>
          <w:color w:val="auto"/>
        </w:rPr>
        <w:t>administrative and general expenses and taxes</w:t>
      </w:r>
      <w:r>
        <w:rPr>
          <w:rFonts w:ascii="Arial" w:cs="Arial" w:eastAsia="Arial" w:hAnsi="Arial"/>
          <w:sz w:val="20"/>
          <w:szCs w:val="20"/>
          <w:color w:val="auto"/>
        </w:rPr>
        <w:t xml:space="preserve"> rose due to:</w:t>
      </w:r>
    </w:p>
    <w:p>
      <w:pPr>
        <w:spacing w:after="0" w:line="220" w:lineRule="exact"/>
        <w:rPr>
          <w:sz w:val="20"/>
          <w:szCs w:val="20"/>
          <w:color w:val="auto"/>
        </w:rPr>
      </w:pPr>
    </w:p>
    <w:p>
      <w:pPr>
        <w:ind w:left="580" w:hanging="287"/>
        <w:spacing w:after="0" w:line="29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Growth in expenses in </w:t>
      </w:r>
      <w:r>
        <w:rPr>
          <w:rFonts w:ascii="Arial" w:cs="Arial" w:eastAsia="Arial" w:hAnsi="Arial"/>
          <w:sz w:val="16"/>
          <w:szCs w:val="16"/>
          <w:b w:val="1"/>
          <w:bCs w:val="1"/>
          <w:color w:val="auto"/>
        </w:rPr>
        <w:t>IT expenses and IT third-party services,</w:t>
      </w:r>
      <w:r>
        <w:rPr>
          <w:rFonts w:ascii="Arial" w:cs="Arial" w:eastAsia="Arial" w:hAnsi="Arial"/>
          <w:sz w:val="16"/>
          <w:szCs w:val="16"/>
          <w:color w:val="auto"/>
        </w:rPr>
        <w:t xml:space="preserve"> which was fueled by new IT projects for digital transformation, disruptive initiatives, business improvements and sustainability.</w:t>
      </w:r>
    </w:p>
    <w:p>
      <w:pPr>
        <w:spacing w:after="0" w:line="165" w:lineRule="exact"/>
        <w:rPr>
          <w:rFonts w:ascii="Arial" w:cs="Arial" w:eastAsia="Arial" w:hAnsi="Arial"/>
          <w:sz w:val="16"/>
          <w:szCs w:val="16"/>
          <w:color w:val="auto"/>
        </w:rPr>
      </w:pPr>
    </w:p>
    <w:p>
      <w:pPr>
        <w:ind w:left="580" w:hanging="287"/>
        <w:spacing w:after="0" w:line="29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Growth in expenses in </w:t>
      </w:r>
      <w:r>
        <w:rPr>
          <w:rFonts w:ascii="Arial" w:cs="Arial" w:eastAsia="Arial" w:hAnsi="Arial"/>
          <w:sz w:val="16"/>
          <w:szCs w:val="16"/>
          <w:b w:val="1"/>
          <w:bCs w:val="1"/>
          <w:color w:val="auto"/>
        </w:rPr>
        <w:t>Advertising and customer loyalty programs</w:t>
      </w:r>
      <w:r>
        <w:rPr>
          <w:rFonts w:ascii="Arial" w:cs="Arial" w:eastAsia="Arial" w:hAnsi="Arial"/>
          <w:sz w:val="16"/>
          <w:szCs w:val="16"/>
          <w:color w:val="auto"/>
        </w:rPr>
        <w:t xml:space="preserve"> due to an uptick in consumption of LATAM miles through the LATAM fidelity program, which reflects an increase in consumption with debit or credit cards in 2021.</w:t>
      </w:r>
    </w:p>
    <w:p>
      <w:pPr>
        <w:spacing w:after="0" w:line="165" w:lineRule="exact"/>
        <w:rPr>
          <w:rFonts w:ascii="Arial" w:cs="Arial" w:eastAsia="Arial" w:hAnsi="Arial"/>
          <w:sz w:val="16"/>
          <w:szCs w:val="16"/>
          <w:color w:val="auto"/>
        </w:rPr>
      </w:pPr>
    </w:p>
    <w:p>
      <w:pPr>
        <w:ind w:left="580" w:hanging="287"/>
        <w:spacing w:after="0" w:line="29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Growth in expenses in </w:t>
      </w:r>
      <w:r>
        <w:rPr>
          <w:rFonts w:ascii="Arial" w:cs="Arial" w:eastAsia="Arial" w:hAnsi="Arial"/>
          <w:sz w:val="16"/>
          <w:szCs w:val="16"/>
          <w:b w:val="1"/>
          <w:bCs w:val="1"/>
          <w:color w:val="auto"/>
        </w:rPr>
        <w:t>Audit Services, Consulting and professional fees</w:t>
      </w:r>
      <w:r>
        <w:rPr>
          <w:rFonts w:ascii="Arial" w:cs="Arial" w:eastAsia="Arial" w:hAnsi="Arial"/>
          <w:sz w:val="16"/>
          <w:szCs w:val="16"/>
          <w:color w:val="auto"/>
        </w:rPr>
        <w:t xml:space="preserve"> was generated by an increase in investment in in the digital transformation program and in new disruptive initiatives.</w:t>
      </w:r>
    </w:p>
    <w:p>
      <w:pPr>
        <w:spacing w:after="0" w:line="399"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4485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78550" cy="744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51" w:name="page52"/>
    <w:bookmarkEnd w:id="51"/>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8. Operating Efficiency</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1960" w:type="dxa"/>
            <w:vAlign w:val="bottom"/>
          </w:tcPr>
          <w:p>
            <w:pPr>
              <w:spacing w:after="0"/>
              <w:rPr>
                <w:sz w:val="20"/>
                <w:szCs w:val="20"/>
                <w:color w:val="auto"/>
              </w:rPr>
            </w:pPr>
            <w:r>
              <w:rPr>
                <w:rFonts w:ascii="Arial" w:cs="Arial" w:eastAsia="Arial" w:hAnsi="Arial"/>
                <w:sz w:val="16"/>
                <w:szCs w:val="16"/>
                <w:b w:val="1"/>
                <w:bCs w:val="1"/>
                <w:color w:val="auto"/>
              </w:rPr>
              <w:t>Operating Efficiency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Arial" w:cs="Arial" w:eastAsia="Arial" w:hAnsi="Arial"/>
                <w:sz w:val="16"/>
                <w:szCs w:val="16"/>
                <w:b w:val="1"/>
                <w:bCs w:val="1"/>
                <w:color w:val="auto"/>
                <w:w w:val="96"/>
              </w:rPr>
              <w:t>% change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ind w:left="860"/>
              <w:spacing w:after="0"/>
              <w:rPr>
                <w:sz w:val="20"/>
                <w:szCs w:val="20"/>
                <w:color w:val="auto"/>
              </w:rPr>
            </w:pPr>
            <w:r>
              <w:rPr>
                <w:rFonts w:ascii="Arial" w:cs="Arial" w:eastAsia="Arial" w:hAnsi="Arial"/>
                <w:sz w:val="16"/>
                <w:szCs w:val="16"/>
                <w:b w:val="1"/>
                <w:bCs w:val="1"/>
                <w:color w:val="auto"/>
              </w:rPr>
              <w:t>Year</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4"/>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2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4Q20</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3Q21</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4Q21</w:t>
            </w:r>
          </w:p>
        </w:tc>
        <w:tc>
          <w:tcPr>
            <w:tcW w:w="260" w:type="dxa"/>
            <w:vAlign w:val="bottom"/>
          </w:tcPr>
          <w:p>
            <w:pPr>
              <w:spacing w:after="0"/>
              <w:rPr>
                <w:sz w:val="16"/>
                <w:szCs w:val="16"/>
                <w:color w:val="auto"/>
              </w:rPr>
            </w:pPr>
          </w:p>
        </w:tc>
        <w:tc>
          <w:tcPr>
            <w:tcW w:w="8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1,791,120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1,987,522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2,183,243</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9.8%</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6,782,810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7,688,333</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196"/>
        </w:trPr>
        <w:tc>
          <w:tcPr>
            <w:tcW w:w="1960" w:type="dxa"/>
            <w:vAlign w:val="bottom"/>
          </w:tcPr>
          <w:p>
            <w:pPr>
              <w:spacing w:after="0" w:line="197" w:lineRule="exact"/>
              <w:rPr>
                <w:sz w:val="20"/>
                <w:szCs w:val="20"/>
                <w:color w:val="auto"/>
              </w:rPr>
            </w:pPr>
            <w:r>
              <w:rPr>
                <w:rFonts w:ascii="Arial" w:cs="Arial" w:eastAsia="Arial" w:hAnsi="Arial"/>
                <w:sz w:val="14"/>
                <w:szCs w:val="14"/>
                <w:color w:val="auto"/>
              </w:rPr>
              <w:t xml:space="preserve">Operating income </w:t>
            </w:r>
            <w:r>
              <w:rPr>
                <w:rFonts w:ascii="Arial" w:cs="Arial" w:eastAsia="Arial" w:hAnsi="Arial"/>
                <w:sz w:val="22"/>
                <w:szCs w:val="22"/>
                <w:color w:val="auto"/>
                <w:vertAlign w:val="superscript"/>
              </w:rPr>
              <w:t>(2)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3,793,722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4,307,965</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4,414,799</w:t>
            </w:r>
          </w:p>
        </w:tc>
        <w:tc>
          <w:tcPr>
            <w:tcW w:w="260" w:type="dxa"/>
            <w:vAlign w:val="bottom"/>
          </w:tcPr>
          <w:p>
            <w:pPr>
              <w:spacing w:after="0"/>
              <w:rPr>
                <w:sz w:val="17"/>
                <w:szCs w:val="17"/>
                <w:color w:val="auto"/>
              </w:rPr>
            </w:pP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16.4%</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14,660,228</w:t>
            </w: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94"/>
              </w:rPr>
              <w:t>16,742,031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96"/>
        </w:trPr>
        <w:tc>
          <w:tcPr>
            <w:tcW w:w="19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Efficiency ratio </w:t>
            </w:r>
            <w:r>
              <w:rPr>
                <w:rFonts w:ascii="Arial" w:cs="Arial" w:eastAsia="Arial" w:hAnsi="Arial"/>
                <w:sz w:val="22"/>
                <w:szCs w:val="22"/>
                <w:color w:val="auto"/>
                <w:vertAlign w:val="superscript"/>
              </w:rPr>
              <w:t>(3)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47.2%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46.1%</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49.5%</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340 bps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230 bps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173"/>
        </w:trPr>
        <w:tc>
          <w:tcPr>
            <w:tcW w:w="1960" w:type="dxa"/>
            <w:vAlign w:val="bottom"/>
          </w:tcPr>
          <w:p>
            <w:pPr>
              <w:spacing w:after="0" w:line="174" w:lineRule="exact"/>
              <w:rPr>
                <w:sz w:val="20"/>
                <w:szCs w:val="20"/>
                <w:color w:val="auto"/>
              </w:rPr>
            </w:pPr>
            <w:r>
              <w:rPr>
                <w:rFonts w:ascii="Arial" w:cs="Arial" w:eastAsia="Arial" w:hAnsi="Arial"/>
                <w:sz w:val="16"/>
                <w:szCs w:val="16"/>
                <w:color w:val="auto"/>
              </w:rPr>
              <w:t>Operating expenses / Total</w:t>
            </w:r>
          </w:p>
        </w:tc>
        <w:tc>
          <w:tcPr>
            <w:tcW w:w="136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3.05%</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3.20%</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3.52%</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3.19%</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0 bps</w:t>
            </w:r>
          </w:p>
        </w:tc>
        <w:tc>
          <w:tcPr>
            <w:tcW w:w="0" w:type="dxa"/>
            <w:vAlign w:val="bottom"/>
          </w:tcPr>
          <w:p>
            <w:pPr>
              <w:spacing w:after="0"/>
              <w:rPr>
                <w:sz w:val="1"/>
                <w:szCs w:val="1"/>
                <w:color w:val="auto"/>
              </w:rPr>
            </w:pPr>
          </w:p>
        </w:tc>
      </w:tr>
      <w:tr>
        <w:trPr>
          <w:trHeight w:val="120"/>
        </w:trPr>
        <w:tc>
          <w:tcPr>
            <w:tcW w:w="1960" w:type="dxa"/>
            <w:vAlign w:val="bottom"/>
            <w:vMerge w:val="restart"/>
          </w:tcPr>
          <w:p>
            <w:pPr>
              <w:spacing w:after="0"/>
              <w:rPr>
                <w:sz w:val="20"/>
                <w:szCs w:val="20"/>
                <w:color w:val="auto"/>
              </w:rPr>
            </w:pPr>
            <w:r>
              <w:rPr>
                <w:rFonts w:ascii="Arial" w:cs="Arial" w:eastAsia="Arial" w:hAnsi="Arial"/>
                <w:sz w:val="16"/>
                <w:szCs w:val="16"/>
                <w:color w:val="auto"/>
              </w:rPr>
              <w:t xml:space="preserve">average assets </w:t>
            </w:r>
            <w:r>
              <w:rPr>
                <w:rFonts w:ascii="Arial" w:cs="Arial" w:eastAsia="Arial" w:hAnsi="Arial"/>
                <w:sz w:val="27"/>
                <w:szCs w:val="27"/>
                <w:color w:val="auto"/>
                <w:vertAlign w:val="superscript"/>
              </w:rPr>
              <w:t>(4)</w:t>
            </w:r>
          </w:p>
        </w:tc>
        <w:tc>
          <w:tcPr>
            <w:tcW w:w="136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80" w:type="dxa"/>
            <w:vAlign w:val="bottom"/>
            <w:gridSpan w:val="3"/>
            <w:vMerge w:val="restart"/>
          </w:tcPr>
          <w:p>
            <w:pPr>
              <w:jc w:val="right"/>
              <w:ind w:right="520"/>
              <w:spacing w:after="0"/>
              <w:rPr>
                <w:sz w:val="20"/>
                <w:szCs w:val="20"/>
                <w:color w:val="auto"/>
              </w:rPr>
            </w:pPr>
            <w:r>
              <w:rPr>
                <w:rFonts w:ascii="Arial" w:cs="Arial" w:eastAsia="Arial" w:hAnsi="Arial"/>
                <w:sz w:val="16"/>
                <w:szCs w:val="16"/>
                <w:color w:val="auto"/>
              </w:rPr>
              <w:t>32 bps</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47 bps</w:t>
            </w: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 w:right="560" w:hanging="2"/>
        <w:spacing w:after="0" w:line="238" w:lineRule="auto"/>
        <w:tabs>
          <w:tab w:leader="none" w:pos="2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Operating expenses = Salaries and employee’s benefits + Administrative expenses + Depreciation and amortization + Association in participation + Acquisition cost.</w:t>
      </w:r>
    </w:p>
    <w:p>
      <w:pPr>
        <w:spacing w:after="0" w:line="1" w:lineRule="exact"/>
        <w:rPr>
          <w:rFonts w:ascii="Arial" w:cs="Arial" w:eastAsia="Arial" w:hAnsi="Arial"/>
          <w:sz w:val="20"/>
          <w:szCs w:val="20"/>
          <w:color w:val="auto"/>
        </w:rPr>
      </w:pPr>
    </w:p>
    <w:p>
      <w:pPr>
        <w:ind w:left="2" w:right="120" w:hanging="2"/>
        <w:spacing w:after="0" w:line="242" w:lineRule="auto"/>
        <w:tabs>
          <w:tab w:leader="none" w:pos="2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spacing w:after="0" w:line="1" w:lineRule="exact"/>
        <w:rPr>
          <w:rFonts w:ascii="Arial" w:cs="Arial" w:eastAsia="Arial" w:hAnsi="Arial"/>
          <w:sz w:val="19"/>
          <w:szCs w:val="19"/>
          <w:color w:val="auto"/>
        </w:rPr>
      </w:pPr>
    </w:p>
    <w:p>
      <w:pPr>
        <w:ind w:left="282" w:hanging="282"/>
        <w:spacing w:after="0" w:line="230" w:lineRule="auto"/>
        <w:tabs>
          <w:tab w:leader="none" w:pos="282" w:val="left"/>
        </w:tabs>
        <w:numPr>
          <w:ilvl w:val="0"/>
          <w:numId w:val="60"/>
        </w:numPr>
        <w:rPr>
          <w:rFonts w:ascii="Arial" w:cs="Arial" w:eastAsia="Arial" w:hAnsi="Arial"/>
          <w:sz w:val="20"/>
          <w:szCs w:val="20"/>
          <w:color w:val="auto"/>
        </w:rPr>
      </w:pPr>
      <w:r>
        <w:rPr>
          <w:rFonts w:ascii="Arial" w:cs="Arial" w:eastAsia="Arial" w:hAnsi="Arial"/>
          <w:sz w:val="20"/>
          <w:szCs w:val="20"/>
          <w:color w:val="auto"/>
        </w:rPr>
        <w:t>Operating expenses / Operating income.</w:t>
      </w:r>
    </w:p>
    <w:p>
      <w:pPr>
        <w:ind w:left="282" w:hanging="282"/>
        <w:spacing w:after="0"/>
        <w:tabs>
          <w:tab w:leader="none" w:pos="282" w:val="left"/>
        </w:tabs>
        <w:numPr>
          <w:ilvl w:val="0"/>
          <w:numId w:val="60"/>
        </w:numPr>
        <w:rPr>
          <w:rFonts w:ascii="Arial" w:cs="Arial" w:eastAsia="Arial" w:hAnsi="Arial"/>
          <w:sz w:val="20"/>
          <w:szCs w:val="20"/>
          <w:color w:val="auto"/>
        </w:rPr>
      </w:pPr>
      <w:r>
        <w:rPr>
          <w:rFonts w:ascii="Arial" w:cs="Arial" w:eastAsia="Arial" w:hAnsi="Arial"/>
          <w:sz w:val="20"/>
          <w:szCs w:val="20"/>
          <w:color w:val="auto"/>
        </w:rPr>
        <w:t>Operating expenses / Average of Total Assets. Average is calculated with period beginning and period-ending balances.</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8.1 Efficiency ratio by income and expense items</w:t>
      </w: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FY efficiency ratio by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 w:right="360" w:hanging="2"/>
        <w:spacing w:after="0" w:line="238" w:lineRule="auto"/>
        <w:tabs>
          <w:tab w:leader="none" w:pos="2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Other operating income includes: Net gain on foreign exchange transactions, Net gain from associates, Net gain on derivatives held for trading and Net gain from exchange difference.</w:t>
      </w:r>
    </w:p>
    <w:p>
      <w:pPr>
        <w:spacing w:after="0" w:line="1" w:lineRule="exact"/>
        <w:rPr>
          <w:rFonts w:ascii="Arial" w:cs="Arial" w:eastAsia="Arial" w:hAnsi="Arial"/>
          <w:sz w:val="20"/>
          <w:szCs w:val="20"/>
          <w:color w:val="auto"/>
        </w:rPr>
      </w:pPr>
    </w:p>
    <w:p>
      <w:pPr>
        <w:ind w:left="282" w:hanging="282"/>
        <w:spacing w:after="0"/>
        <w:tabs>
          <w:tab w:leader="none" w:pos="282" w:val="left"/>
        </w:tabs>
        <w:numPr>
          <w:ilvl w:val="0"/>
          <w:numId w:val="61"/>
        </w:numPr>
        <w:rPr>
          <w:rFonts w:ascii="Arial" w:cs="Arial" w:eastAsia="Arial" w:hAnsi="Arial"/>
          <w:sz w:val="20"/>
          <w:szCs w:val="20"/>
          <w:color w:val="auto"/>
        </w:rPr>
      </w:pPr>
      <w:r>
        <w:rPr>
          <w:rFonts w:ascii="Arial" w:cs="Arial" w:eastAsia="Arial" w:hAnsi="Arial"/>
          <w:sz w:val="20"/>
          <w:szCs w:val="20"/>
          <w:color w:val="auto"/>
        </w:rPr>
        <w:t>Other operating expenses includes: Acquisition cost and Association in participation.</w:t>
      </w:r>
    </w:p>
    <w:p>
      <w:pPr>
        <w:spacing w:after="0" w:line="190" w:lineRule="exact"/>
        <w:rPr>
          <w:sz w:val="20"/>
          <w:szCs w:val="20"/>
          <w:color w:val="auto"/>
        </w:rPr>
      </w:pPr>
    </w:p>
    <w:p>
      <w:pPr>
        <w:jc w:val="both"/>
        <w:ind w:left="2"/>
        <w:spacing w:after="0" w:line="243" w:lineRule="auto"/>
        <w:rPr>
          <w:sz w:val="20"/>
          <w:szCs w:val="20"/>
          <w:color w:val="auto"/>
        </w:rPr>
      </w:pPr>
      <w:r>
        <w:rPr>
          <w:rFonts w:ascii="Arial" w:cs="Arial" w:eastAsia="Arial" w:hAnsi="Arial"/>
          <w:sz w:val="20"/>
          <w:szCs w:val="20"/>
          <w:b w:val="1"/>
          <w:bCs w:val="1"/>
          <w:color w:val="auto"/>
        </w:rPr>
        <w:t>QoQ and YoY</w:t>
      </w:r>
      <w:r>
        <w:rPr>
          <w:rFonts w:ascii="Arial" w:cs="Arial" w:eastAsia="Arial" w:hAnsi="Arial"/>
          <w:sz w:val="20"/>
          <w:szCs w:val="20"/>
          <w:color w:val="auto"/>
        </w:rPr>
        <w:t>, the efficiency ratio fell 340bps and 230bps respectively. These results were attributable to: i) an increase in Salaries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benefits in a context marked by higher earnings and efforts to hire more specialized technical profiles and ii) growth in Administrative and general taxes and expenses related to digital transformation.</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 xml:space="preserve">FY, </w:t>
      </w:r>
      <w:r>
        <w:rPr>
          <w:rFonts w:ascii="Arial" w:cs="Arial" w:eastAsia="Arial" w:hAnsi="Arial"/>
          <w:sz w:val="20"/>
          <w:szCs w:val="20"/>
          <w:color w:val="auto"/>
        </w:rPr>
        <w:t>the efficiency ratio improved 40 bps due to:</w:t>
      </w:r>
    </w:p>
    <w:p>
      <w:pPr>
        <w:spacing w:after="0" w:line="224" w:lineRule="exact"/>
        <w:rPr>
          <w:sz w:val="20"/>
          <w:szCs w:val="20"/>
          <w:color w:val="auto"/>
        </w:rPr>
      </w:pPr>
    </w:p>
    <w:p>
      <w:pPr>
        <w:ind w:left="882" w:hanging="587"/>
        <w:spacing w:after="0"/>
        <w:tabs>
          <w:tab w:leader="none" w:pos="8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increase in Net interest income due to an improvement in the funding structure and an increase in structural loans at Mibanco.</w:t>
      </w:r>
    </w:p>
    <w:p>
      <w:pPr>
        <w:spacing w:after="0" w:line="233" w:lineRule="exact"/>
        <w:rPr>
          <w:rFonts w:ascii="Arial" w:cs="Arial" w:eastAsia="Arial" w:hAnsi="Arial"/>
          <w:sz w:val="16"/>
          <w:szCs w:val="16"/>
          <w:color w:val="auto"/>
        </w:rPr>
      </w:pPr>
    </w:p>
    <w:p>
      <w:pPr>
        <w:ind w:left="882" w:hanging="587"/>
        <w:spacing w:after="0" w:line="322" w:lineRule="auto"/>
        <w:tabs>
          <w:tab w:leader="none" w:pos="882" w:val="left"/>
        </w:tabs>
        <w:numPr>
          <w:ilvl w:val="0"/>
          <w:numId w:val="62"/>
        </w:numPr>
        <w:rPr>
          <w:rFonts w:ascii="Arial" w:cs="Arial" w:eastAsia="Arial" w:hAnsi="Arial"/>
          <w:sz w:val="15"/>
          <w:szCs w:val="15"/>
          <w:color w:val="auto"/>
        </w:rPr>
      </w:pPr>
      <w:r>
        <w:rPr>
          <w:rFonts w:ascii="Arial" w:cs="Arial" w:eastAsia="Arial" w:hAnsi="Arial"/>
          <w:sz w:val="15"/>
          <w:szCs w:val="15"/>
          <w:color w:val="auto"/>
        </w:rPr>
        <w:t>Growth in Net fee income, which was driven by an uptick in transactions due to the economic reactivation. It is important to note that fee income was up despite the fact that late payments fee and fees for withdrawals from correspondents were suspended since June due to regulatory changes.</w:t>
      </w:r>
    </w:p>
    <w:p>
      <w:pPr>
        <w:spacing w:after="0" w:line="150" w:lineRule="exact"/>
        <w:rPr>
          <w:rFonts w:ascii="Arial" w:cs="Arial" w:eastAsia="Arial" w:hAnsi="Arial"/>
          <w:sz w:val="15"/>
          <w:szCs w:val="15"/>
          <w:color w:val="auto"/>
        </w:rPr>
      </w:pPr>
    </w:p>
    <w:p>
      <w:pPr>
        <w:ind w:left="882" w:hanging="587"/>
        <w:spacing w:after="0"/>
        <w:tabs>
          <w:tab w:leader="none" w:pos="8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Growth in Net gains on foreign exchange transactions due to exchange rate volatility during the year.</w:t>
      </w:r>
    </w:p>
    <w:p>
      <w:pPr>
        <w:spacing w:after="0" w:line="233" w:lineRule="exact"/>
        <w:rPr>
          <w:rFonts w:ascii="Arial" w:cs="Arial" w:eastAsia="Arial" w:hAnsi="Arial"/>
          <w:sz w:val="16"/>
          <w:szCs w:val="16"/>
          <w:color w:val="auto"/>
        </w:rPr>
      </w:pPr>
    </w:p>
    <w:p>
      <w:pPr>
        <w:ind w:left="882" w:hanging="587"/>
        <w:spacing w:after="0" w:line="322" w:lineRule="auto"/>
        <w:tabs>
          <w:tab w:leader="none" w:pos="882" w:val="left"/>
        </w:tabs>
        <w:numPr>
          <w:ilvl w:val="0"/>
          <w:numId w:val="62"/>
        </w:numPr>
        <w:rPr>
          <w:rFonts w:ascii="Arial" w:cs="Arial" w:eastAsia="Arial" w:hAnsi="Arial"/>
          <w:sz w:val="15"/>
          <w:szCs w:val="15"/>
          <w:color w:val="auto"/>
        </w:rPr>
      </w:pPr>
      <w:r>
        <w:rPr>
          <w:rFonts w:ascii="Arial" w:cs="Arial" w:eastAsia="Arial" w:hAnsi="Arial"/>
          <w:sz w:val="15"/>
          <w:szCs w:val="15"/>
          <w:color w:val="auto"/>
        </w:rPr>
        <w:t>Higher income for Net earned Premiums, which increased after Pacifico won a large tranche of SISCO V, which offers higher premiums than SISCO IV. Growth in this component was also driven by an increase in premiums for credit life insurance, in line with a rebound in loan disbursements at Mibanco.</w:t>
      </w:r>
    </w:p>
    <w:p>
      <w:pPr>
        <w:spacing w:after="0" w:line="144"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aforementioned improvement was partially offset by growth in Administrative and general expenses and taxes (higher expenses for digital transformation at BCP) and in Salaries and Employee benefits (in line with higher earnings).</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52" w:name="page53"/>
    <w:bookmarkEnd w:id="52"/>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 xml:space="preserve">8.2. Efficiency Ratio reported by subsidiary </w:t>
      </w:r>
      <w:r>
        <w:rPr>
          <w:rFonts w:ascii="Arial" w:cs="Arial" w:eastAsia="Arial" w:hAnsi="Arial"/>
          <w:sz w:val="32"/>
          <w:szCs w:val="32"/>
          <w:b w:val="1"/>
          <w:bCs w:val="1"/>
          <w:color w:val="auto"/>
          <w:vertAlign w:val="superscript"/>
        </w:rPr>
        <w:t>(1)</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BCP</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Mibanco</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Stand-alone</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BCP Bolivia</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Mibanco Peru</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Colombia</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Pacifico</w:t>
            </w:r>
          </w:p>
        </w:tc>
        <w:tc>
          <w:tcPr>
            <w:tcW w:w="260" w:type="dxa"/>
            <w:vAlign w:val="bottom"/>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Prima AFP</w:t>
            </w:r>
          </w:p>
        </w:tc>
        <w:tc>
          <w:tcPr>
            <w:tcW w:w="260" w:type="dxa"/>
            <w:vAlign w:val="bottom"/>
          </w:tcPr>
          <w:p>
            <w:pPr>
              <w:spacing w:after="0"/>
              <w:rPr>
                <w:sz w:val="18"/>
                <w:szCs w:val="18"/>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Credicorp</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40" w:type="dxa"/>
            <w:vAlign w:val="bottom"/>
            <w:shd w:val="clear" w:color="auto" w:fill="CCEEFF"/>
          </w:tcPr>
          <w:p>
            <w:pPr>
              <w:jc w:val="center"/>
              <w:ind w:right="138"/>
              <w:spacing w:after="0"/>
              <w:rPr>
                <w:sz w:val="20"/>
                <w:szCs w:val="20"/>
                <w:color w:val="auto"/>
              </w:rPr>
            </w:pPr>
            <w:r>
              <w:rPr>
                <w:rFonts w:ascii="Arial" w:cs="Arial" w:eastAsia="Arial" w:hAnsi="Arial"/>
                <w:sz w:val="16"/>
                <w:szCs w:val="16"/>
                <w:b w:val="1"/>
                <w:bCs w:val="1"/>
                <w:color w:val="auto"/>
                <w:w w:val="96"/>
              </w:rPr>
              <w:t>4Q20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96"/>
        </w:trPr>
        <w:tc>
          <w:tcPr>
            <w:tcW w:w="1840" w:type="dxa"/>
            <w:vAlign w:val="bottom"/>
          </w:tcPr>
          <w:p>
            <w:pPr>
              <w:jc w:val="center"/>
              <w:ind w:right="138"/>
              <w:spacing w:after="0"/>
              <w:rPr>
                <w:sz w:val="20"/>
                <w:szCs w:val="20"/>
                <w:color w:val="auto"/>
              </w:rPr>
            </w:pPr>
            <w:r>
              <w:rPr>
                <w:rFonts w:ascii="Arial" w:cs="Arial" w:eastAsia="Arial" w:hAnsi="Arial"/>
                <w:sz w:val="16"/>
                <w:szCs w:val="16"/>
                <w:b w:val="1"/>
                <w:bCs w:val="1"/>
                <w:color w:val="auto"/>
                <w:w w:val="96"/>
              </w:rPr>
              <w:t>3Q21</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45.3%</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53.0%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49.7%</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86.4%</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36.9%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51.1%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jc w:val="center"/>
              <w:ind w:right="138"/>
              <w:spacing w:after="0"/>
              <w:rPr>
                <w:sz w:val="20"/>
                <w:szCs w:val="20"/>
                <w:color w:val="auto"/>
              </w:rPr>
            </w:pPr>
            <w:r>
              <w:rPr>
                <w:rFonts w:ascii="Arial" w:cs="Arial" w:eastAsia="Arial" w:hAnsi="Arial"/>
                <w:sz w:val="16"/>
                <w:szCs w:val="16"/>
                <w:b w:val="1"/>
                <w:bCs w:val="1"/>
                <w:color w:val="auto"/>
                <w:w w:val="96"/>
              </w:rPr>
              <w:t>4Q21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96"/>
        </w:trPr>
        <w:tc>
          <w:tcPr>
            <w:tcW w:w="1840" w:type="dxa"/>
            <w:vAlign w:val="bottom"/>
          </w:tcPr>
          <w:p>
            <w:pPr>
              <w:ind w:left="480"/>
              <w:spacing w:after="0"/>
              <w:rPr>
                <w:sz w:val="20"/>
                <w:szCs w:val="20"/>
                <w:color w:val="auto"/>
              </w:rPr>
            </w:pPr>
            <w:r>
              <w:rPr>
                <w:rFonts w:ascii="Arial" w:cs="Arial" w:eastAsia="Arial" w:hAnsi="Arial"/>
                <w:sz w:val="16"/>
                <w:szCs w:val="16"/>
                <w:b w:val="1"/>
                <w:bCs w:val="1"/>
                <w:color w:val="auto"/>
              </w:rPr>
              <w:t>Var. QoQ</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210 bps</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1700 bps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590 bps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-1900 bps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-170 bps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1010 bps</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340 bps</w:t>
            </w:r>
          </w:p>
        </w:tc>
        <w:tc>
          <w:tcPr>
            <w:tcW w:w="0" w:type="dxa"/>
            <w:vAlign w:val="bottom"/>
          </w:tcPr>
          <w:p>
            <w:pPr>
              <w:spacing w:after="0"/>
              <w:rPr>
                <w:sz w:val="1"/>
                <w:szCs w:val="1"/>
                <w:color w:val="auto"/>
              </w:rPr>
            </w:pPr>
          </w:p>
        </w:tc>
      </w:tr>
      <w:tr>
        <w:trPr>
          <w:trHeight w:val="221"/>
        </w:trPr>
        <w:tc>
          <w:tcPr>
            <w:tcW w:w="18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Var. YoY</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600 bps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21080 bps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-10 bps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-2800 bps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-450 bps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1560 bps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230 bps</w:t>
            </w: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jc w:val="center"/>
              <w:ind w:right="138"/>
              <w:spacing w:after="0"/>
              <w:rPr>
                <w:sz w:val="20"/>
                <w:szCs w:val="20"/>
                <w:color w:val="auto"/>
              </w:rPr>
            </w:pPr>
            <w:r>
              <w:rPr>
                <w:rFonts w:ascii="Arial" w:cs="Arial" w:eastAsia="Arial" w:hAnsi="Arial"/>
                <w:sz w:val="16"/>
                <w:szCs w:val="16"/>
                <w:b w:val="1"/>
                <w:bCs w:val="1"/>
                <w:color w:val="auto"/>
                <w:w w:val="95"/>
              </w:rPr>
              <w:t>2020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96"/>
        </w:trPr>
        <w:tc>
          <w:tcPr>
            <w:tcW w:w="1840" w:type="dxa"/>
            <w:vAlign w:val="bottom"/>
          </w:tcPr>
          <w:p>
            <w:pPr>
              <w:jc w:val="center"/>
              <w:ind w:right="138"/>
              <w:spacing w:after="0"/>
              <w:rPr>
                <w:sz w:val="20"/>
                <w:szCs w:val="20"/>
                <w:color w:val="auto"/>
              </w:rPr>
            </w:pPr>
            <w:r>
              <w:rPr>
                <w:rFonts w:ascii="Arial" w:cs="Arial" w:eastAsia="Arial" w:hAnsi="Arial"/>
                <w:sz w:val="16"/>
                <w:szCs w:val="16"/>
                <w:b w:val="1"/>
                <w:bCs w:val="1"/>
                <w:color w:val="auto"/>
                <w:w w:val="95"/>
              </w:rPr>
              <w:t>2021</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43.4%</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60.3%</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57.9%</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36.5%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50.7%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80"/>
        </w:trPr>
        <w:tc>
          <w:tcPr>
            <w:tcW w:w="1840" w:type="dxa"/>
            <w:vAlign w:val="bottom"/>
            <w:shd w:val="clear" w:color="auto" w:fill="CCEEFF"/>
          </w:tcPr>
          <w:p>
            <w:pPr>
              <w:ind w:left="460"/>
              <w:spacing w:after="0" w:line="180" w:lineRule="exact"/>
              <w:rPr>
                <w:sz w:val="20"/>
                <w:szCs w:val="20"/>
                <w:color w:val="auto"/>
              </w:rPr>
            </w:pPr>
            <w:r>
              <w:rPr>
                <w:rFonts w:ascii="Arial" w:cs="Arial" w:eastAsia="Arial" w:hAnsi="Arial"/>
                <w:sz w:val="16"/>
                <w:szCs w:val="16"/>
                <w:b w:val="1"/>
                <w:bCs w:val="1"/>
                <w:color w:val="auto"/>
              </w:rPr>
              <w:t>% change</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250 bps</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-2750 bps</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-470 bps</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-9750 bps</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-250 bps</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340 bps</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-40 bps</w:t>
            </w:r>
          </w:p>
        </w:tc>
        <w:tc>
          <w:tcPr>
            <w:tcW w:w="0" w:type="dxa"/>
            <w:vAlign w:val="bottom"/>
          </w:tcPr>
          <w:p>
            <w:pPr>
              <w:spacing w:after="0"/>
              <w:rPr>
                <w:sz w:val="1"/>
                <w:szCs w:val="1"/>
                <w:color w:val="auto"/>
              </w:rPr>
            </w:pPr>
          </w:p>
        </w:tc>
      </w:tr>
      <w:tr>
        <w:trPr>
          <w:trHeight w:val="114"/>
        </w:trPr>
        <w:tc>
          <w:tcPr>
            <w:tcW w:w="1840" w:type="dxa"/>
            <w:vAlign w:val="bottom"/>
            <w:vMerge w:val="restart"/>
            <w:shd w:val="clear" w:color="auto" w:fill="CCEEFF"/>
          </w:tcPr>
          <w:p>
            <w:pPr>
              <w:jc w:val="center"/>
              <w:ind w:right="138"/>
              <w:spacing w:after="0"/>
              <w:rPr>
                <w:sz w:val="20"/>
                <w:szCs w:val="20"/>
                <w:color w:val="auto"/>
              </w:rPr>
            </w:pPr>
            <w:r>
              <w:rPr>
                <w:rFonts w:ascii="Arial" w:cs="Arial" w:eastAsia="Arial" w:hAnsi="Arial"/>
                <w:sz w:val="16"/>
                <w:szCs w:val="16"/>
                <w:b w:val="1"/>
                <w:bCs w:val="1"/>
                <w:color w:val="auto"/>
                <w:w w:val="92"/>
              </w:rPr>
              <w:t>2021 / 2020</w:t>
            </w:r>
          </w:p>
        </w:tc>
        <w:tc>
          <w:tcPr>
            <w:tcW w:w="1340" w:type="dxa"/>
            <w:vAlign w:val="bottom"/>
            <w:gridSpan w:val="2"/>
            <w:vMerge w:val="continue"/>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40" w:type="dxa"/>
            <w:vAlign w:val="bottom"/>
            <w:vMerge w:val="continue"/>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462" w:hanging="462"/>
        <w:spacing w:after="0" w:line="271" w:lineRule="auto"/>
        <w:tabs>
          <w:tab w:leader="none" w:pos="4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spacing w:after="0" w:line="180"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In the QoQ and YoY analysis, the efficiency ratio deteriorated due to an uptick in expenses for digital transformation and for disruptive initiatives at BCP Stand-alone.</w:t>
      </w:r>
    </w:p>
    <w:p>
      <w:pPr>
        <w:spacing w:after="0" w:line="177"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FY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150495</wp:posOffset>
            </wp:positionV>
            <wp:extent cx="5843905" cy="15741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43905" cy="157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2"/>
        <w:spacing w:after="0"/>
        <w:rPr>
          <w:sz w:val="20"/>
          <w:szCs w:val="20"/>
          <w:color w:val="auto"/>
        </w:rPr>
      </w:pPr>
      <w:r>
        <w:rPr>
          <w:rFonts w:ascii="Arial" w:cs="Arial" w:eastAsia="Arial" w:hAnsi="Arial"/>
          <w:sz w:val="20"/>
          <w:szCs w:val="20"/>
          <w:color w:val="auto"/>
        </w:rPr>
        <w:t>(1) Others includes Grupo Credito, among other subsidiaries and consolidation eliminations.</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FY</w:t>
      </w:r>
      <w:r>
        <w:rPr>
          <w:rFonts w:ascii="Arial" w:cs="Arial" w:eastAsia="Arial" w:hAnsi="Arial"/>
          <w:sz w:val="20"/>
          <w:szCs w:val="20"/>
          <w:color w:val="auto"/>
        </w:rPr>
        <w:t>, efficiency registered an improvement due to:</w:t>
      </w:r>
    </w:p>
    <w:p>
      <w:pPr>
        <w:spacing w:after="0" w:line="220" w:lineRule="exact"/>
        <w:rPr>
          <w:sz w:val="20"/>
          <w:szCs w:val="20"/>
          <w:color w:val="auto"/>
        </w:rPr>
      </w:pPr>
    </w:p>
    <w:p>
      <w:pPr>
        <w:ind w:left="722" w:hanging="378"/>
        <w:spacing w:after="0"/>
        <w:tabs>
          <w:tab w:leader="none" w:pos="722"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Growth in interest income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due to an increase in structural loan disbursements.</w:t>
      </w:r>
    </w:p>
    <w:p>
      <w:pPr>
        <w:spacing w:after="0" w:line="233" w:lineRule="exact"/>
        <w:rPr>
          <w:rFonts w:ascii="Arial" w:cs="Arial" w:eastAsia="Arial" w:hAnsi="Arial"/>
          <w:sz w:val="16"/>
          <w:szCs w:val="16"/>
          <w:color w:val="auto"/>
        </w:rPr>
      </w:pPr>
    </w:p>
    <w:p>
      <w:pPr>
        <w:ind w:left="722" w:hanging="378"/>
        <w:spacing w:after="0"/>
        <w:tabs>
          <w:tab w:leader="none" w:pos="722"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Higher fee income at </w:t>
      </w:r>
      <w:r>
        <w:rPr>
          <w:rFonts w:ascii="Arial" w:cs="Arial" w:eastAsia="Arial" w:hAnsi="Arial"/>
          <w:sz w:val="16"/>
          <w:szCs w:val="16"/>
          <w:b w:val="1"/>
          <w:bCs w:val="1"/>
          <w:color w:val="auto"/>
        </w:rPr>
        <w:t>Pacífico</w:t>
      </w:r>
      <w:r>
        <w:rPr>
          <w:rFonts w:ascii="Arial" w:cs="Arial" w:eastAsia="Arial" w:hAnsi="Arial"/>
          <w:sz w:val="16"/>
          <w:szCs w:val="16"/>
          <w:color w:val="auto"/>
        </w:rPr>
        <w:t xml:space="preserve"> after in won part of the SISCO V tender.</w:t>
      </w:r>
    </w:p>
    <w:p>
      <w:pPr>
        <w:spacing w:after="0" w:line="237" w:lineRule="exact"/>
        <w:rPr>
          <w:rFonts w:ascii="Arial" w:cs="Arial" w:eastAsia="Arial" w:hAnsi="Arial"/>
          <w:sz w:val="16"/>
          <w:szCs w:val="16"/>
          <w:color w:val="auto"/>
        </w:rPr>
      </w:pPr>
    </w:p>
    <w:p>
      <w:pPr>
        <w:ind w:left="722" w:hanging="378"/>
        <w:spacing w:after="0" w:line="287" w:lineRule="auto"/>
        <w:tabs>
          <w:tab w:leader="none" w:pos="72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increase in Net fee income in Investment Banking and Wealth Management due to growth in commissions charged to clients that enter international platforms through ASB services and in brokerage fees.</w:t>
      </w:r>
    </w:p>
    <w:p>
      <w:pPr>
        <w:spacing w:after="0" w:line="167" w:lineRule="exact"/>
        <w:rPr>
          <w:sz w:val="20"/>
          <w:szCs w:val="20"/>
          <w:color w:val="auto"/>
        </w:rPr>
      </w:pPr>
    </w:p>
    <w:p>
      <w:pPr>
        <w:ind w:left="2"/>
        <w:spacing w:after="0" w:line="250" w:lineRule="auto"/>
        <w:rPr>
          <w:sz w:val="20"/>
          <w:szCs w:val="20"/>
          <w:color w:val="auto"/>
        </w:rPr>
      </w:pPr>
      <w:r>
        <w:rPr>
          <w:rFonts w:ascii="Arial" w:cs="Arial" w:eastAsia="Arial" w:hAnsi="Arial"/>
          <w:sz w:val="20"/>
          <w:szCs w:val="20"/>
          <w:color w:val="auto"/>
        </w:rPr>
        <w:t>The aforementioned improvement was partially offset by an increase in general expenses in Universal Banking, where efforts to implement the digital transformation strategy and disruptive initiatives have been accelerated.</w:t>
      </w: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1"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3393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78550" cy="733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54" w:name="page55"/>
    <w:bookmarkEnd w:id="54"/>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9. Regulatory Capital</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9.1. Credicorp Regulatory Capital</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20"/>
          <w:szCs w:val="20"/>
          <w:color w:val="auto"/>
        </w:rPr>
        <w:t>Credicorp’s regulatory capital ratio was 1.53 at the end of 4Q21.</w:t>
      </w:r>
    </w:p>
    <w:p>
      <w:pPr>
        <w:spacing w:after="0" w:line="212" w:lineRule="exact"/>
        <w:rPr>
          <w:sz w:val="20"/>
          <w:szCs w:val="20"/>
          <w:color w:val="auto"/>
        </w:rPr>
      </w:pPr>
    </w:p>
    <w:p>
      <w:pPr>
        <w:jc w:val="both"/>
        <w:ind w:left="2" w:right="6180"/>
        <w:spacing w:after="0" w:line="237" w:lineRule="auto"/>
        <w:rPr>
          <w:sz w:val="20"/>
          <w:szCs w:val="20"/>
          <w:color w:val="auto"/>
        </w:rPr>
      </w:pPr>
      <w:r>
        <w:rPr>
          <w:rFonts w:ascii="Arial" w:cs="Arial" w:eastAsia="Arial" w:hAnsi="Arial"/>
          <w:sz w:val="20"/>
          <w:szCs w:val="20"/>
          <w:color w:val="auto"/>
        </w:rPr>
        <w:t>In the QoQ analysis, the regulatory capital ratio remained stable. This result was driven by a decrease in capital requirements, offset by a reduction in subordinated debt balances associated with an exchange rate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-563880</wp:posOffset>
            </wp:positionV>
            <wp:extent cx="2945130" cy="171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45130" cy="1713865"/>
                    </a:xfrm>
                    <a:prstGeom prst="rect">
                      <a:avLst/>
                    </a:prstGeom>
                    <a:noFill/>
                  </pic:spPr>
                </pic:pic>
              </a:graphicData>
            </a:graphic>
          </wp:anchor>
        </w:drawing>
      </w:r>
    </w:p>
    <w:p>
      <w:pPr>
        <w:spacing w:after="0" w:line="176" w:lineRule="exact"/>
        <w:rPr>
          <w:sz w:val="20"/>
          <w:szCs w:val="20"/>
          <w:color w:val="auto"/>
        </w:rPr>
      </w:pPr>
    </w:p>
    <w:p>
      <w:pPr>
        <w:jc w:val="both"/>
        <w:ind w:left="2" w:right="6180"/>
        <w:spacing w:after="0" w:line="277" w:lineRule="auto"/>
        <w:rPr>
          <w:sz w:val="20"/>
          <w:szCs w:val="20"/>
          <w:color w:val="auto"/>
        </w:rPr>
      </w:pPr>
      <w:r>
        <w:rPr>
          <w:rFonts w:ascii="Arial" w:cs="Arial" w:eastAsia="Arial" w:hAnsi="Arial"/>
          <w:sz w:val="17"/>
          <w:szCs w:val="17"/>
          <w:color w:val="auto"/>
        </w:rPr>
        <w:t>In the YoY analysis, the capital ratio registered an increase from 1.38 to 1.53, which was attributable to (i) higher levels of subordinated debt (associated with the exchange rate effect) and</w:t>
      </w:r>
    </w:p>
    <w:p>
      <w:pPr>
        <w:spacing w:after="0" w:line="2" w:lineRule="exact"/>
        <w:rPr>
          <w:sz w:val="20"/>
          <w:szCs w:val="20"/>
          <w:color w:val="auto"/>
        </w:rPr>
      </w:pPr>
    </w:p>
    <w:p>
      <w:pPr>
        <w:jc w:val="both"/>
        <w:ind w:left="2" w:right="6180" w:hanging="2"/>
        <w:spacing w:after="0" w:line="233" w:lineRule="auto"/>
        <w:tabs>
          <w:tab w:leader="none" w:pos="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growth in eligible provisions that can be considered regulatory capital. SBS’s decision to decrease credit risk requirements for companies in the financial system also boosted the Capital ratio.</w:t>
      </w:r>
    </w:p>
    <w:p>
      <w:pPr>
        <w:spacing w:after="0" w:line="38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9.2. Regulatory Capital BCP Stand-alone – Perú GAAP</w:t>
      </w:r>
    </w:p>
    <w:p>
      <w:pPr>
        <w:spacing w:after="0" w:line="13" w:lineRule="exact"/>
        <w:rPr>
          <w:sz w:val="20"/>
          <w:szCs w:val="20"/>
          <w:color w:val="auto"/>
        </w:rPr>
      </w:pPr>
    </w:p>
    <w:p>
      <w:pPr>
        <w:ind w:left="5842" w:right="300" w:firstLine="38"/>
        <w:spacing w:after="0" w:line="271" w:lineRule="auto"/>
        <w:rPr>
          <w:sz w:val="20"/>
          <w:szCs w:val="20"/>
          <w:color w:val="auto"/>
        </w:rPr>
      </w:pPr>
      <w:r>
        <w:rPr>
          <w:rFonts w:ascii="Arial" w:cs="Arial" w:eastAsia="Arial" w:hAnsi="Arial"/>
          <w:sz w:val="17"/>
          <w:szCs w:val="17"/>
          <w:color w:val="auto"/>
        </w:rPr>
        <w:t>At the end of 4Q21, the Tier 1 regulatory ratio and the Global capital ratio at BCP Stand-alone stood at 9.9% (-6 bps QoQ)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-277495</wp:posOffset>
            </wp:positionV>
            <wp:extent cx="3233420" cy="16129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33420" cy="1612900"/>
                    </a:xfrm>
                    <a:prstGeom prst="rect">
                      <a:avLst/>
                    </a:prstGeom>
                    <a:noFill/>
                  </pic:spPr>
                </pic:pic>
              </a:graphicData>
            </a:graphic>
          </wp:anchor>
        </w:drawing>
      </w:r>
    </w:p>
    <w:p>
      <w:pPr>
        <w:ind w:left="5842" w:right="40"/>
        <w:spacing w:after="0" w:line="286" w:lineRule="auto"/>
        <w:rPr>
          <w:sz w:val="20"/>
          <w:szCs w:val="20"/>
          <w:color w:val="auto"/>
        </w:rPr>
      </w:pPr>
      <w:r>
        <w:rPr>
          <w:rFonts w:ascii="Arial" w:cs="Arial" w:eastAsia="Arial" w:hAnsi="Arial"/>
          <w:sz w:val="17"/>
          <w:szCs w:val="17"/>
          <w:color w:val="auto"/>
        </w:rPr>
        <w:t>14.9% (-22 bps QoQ) respectively. Growth of +0.6% in regulatory RWAs was noteworthy and in line with loan growth. The global capital ratio reflected a drop of -0.8%, which was attributable to a reduction in the subordinated debt due to the appreciation of the sol.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2" w:hanging="282"/>
        <w:spacing w:after="0"/>
        <w:tabs>
          <w:tab w:leader="none" w:pos="282"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Regulatory Tier 1 Capital / Total Risk-weighted assets</w:t>
      </w:r>
    </w:p>
    <w:p>
      <w:pPr>
        <w:spacing w:after="0" w:line="6" w:lineRule="exact"/>
        <w:rPr>
          <w:rFonts w:ascii="Arial" w:cs="Arial" w:eastAsia="Arial" w:hAnsi="Arial"/>
          <w:sz w:val="20"/>
          <w:szCs w:val="20"/>
          <w:color w:val="auto"/>
        </w:rPr>
      </w:pPr>
    </w:p>
    <w:p>
      <w:pPr>
        <w:ind w:left="282" w:hanging="282"/>
        <w:spacing w:after="0"/>
        <w:tabs>
          <w:tab w:leader="none" w:pos="282" w:val="left"/>
        </w:tabs>
        <w:numPr>
          <w:ilvl w:val="0"/>
          <w:numId w:val="66"/>
        </w:numPr>
        <w:rPr>
          <w:rFonts w:ascii="Arial" w:cs="Arial" w:eastAsia="Arial" w:hAnsi="Arial"/>
          <w:sz w:val="20"/>
          <w:szCs w:val="20"/>
          <w:color w:val="auto"/>
        </w:rPr>
      </w:pPr>
      <w:r>
        <w:rPr>
          <w:rFonts w:ascii="Arial" w:cs="Arial" w:eastAsia="Arial" w:hAnsi="Arial"/>
          <w:sz w:val="20"/>
          <w:szCs w:val="20"/>
          <w:color w:val="auto"/>
        </w:rPr>
        <w:t>Total Regulatory Capital / Total Risk-weighted assets (legal minimum = 10% since July 2011)</w:t>
      </w:r>
    </w:p>
    <w:p>
      <w:pPr>
        <w:spacing w:after="0" w:line="196" w:lineRule="exact"/>
        <w:rPr>
          <w:sz w:val="20"/>
          <w:szCs w:val="20"/>
          <w:color w:val="auto"/>
        </w:rPr>
      </w:pPr>
    </w:p>
    <w:p>
      <w:pPr>
        <w:jc w:val="both"/>
        <w:ind w:left="2"/>
        <w:spacing w:after="0" w:line="293" w:lineRule="auto"/>
        <w:rPr>
          <w:sz w:val="20"/>
          <w:szCs w:val="20"/>
          <w:color w:val="auto"/>
        </w:rPr>
      </w:pPr>
      <w:r>
        <w:rPr>
          <w:rFonts w:ascii="Arial" w:cs="Arial" w:eastAsia="Arial" w:hAnsi="Arial"/>
          <w:sz w:val="17"/>
          <w:szCs w:val="17"/>
          <w:color w:val="auto"/>
        </w:rPr>
        <w:t>In the YoY analysis, the Tier 1 regulatory ratio fell 47 bps while the global ratio remained constant (+1 bps). These results were attributable to the 7.3% YoY increase in regulatory RWAs, which was partially offset by an increase in the level of Tier 1 regulatory equity (+2.4%). This growth was attributable to decision in the month of March to capitalize earnings and set aside reserves. The global capital ratio registered a 7.4% increase YoY. This growth was driven by an uptick in subordinated debt, which was primarily generated by the exchange rate effect.</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Common Equity Tier 1 Ratio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150495</wp:posOffset>
            </wp:positionV>
            <wp:extent cx="5454015" cy="11220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4015" cy="112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
        <w:spacing w:after="0"/>
        <w:rPr>
          <w:sz w:val="20"/>
          <w:szCs w:val="20"/>
          <w:color w:val="auto"/>
        </w:rPr>
      </w:pPr>
      <w:r>
        <w:rPr>
          <w:rFonts w:ascii="Arial" w:cs="Arial" w:eastAsia="Arial" w:hAnsi="Arial"/>
          <w:sz w:val="20"/>
          <w:szCs w:val="20"/>
          <w:color w:val="auto"/>
        </w:rPr>
        <w:t>(1) Includes investments in BCP Bolivia and other subsidiaries</w:t>
      </w:r>
    </w:p>
    <w:p>
      <w:pPr>
        <w:spacing w:after="0" w:line="212" w:lineRule="exact"/>
        <w:rPr>
          <w:sz w:val="20"/>
          <w:szCs w:val="20"/>
          <w:color w:val="auto"/>
        </w:rPr>
      </w:pPr>
    </w:p>
    <w:p>
      <w:pPr>
        <w:jc w:val="both"/>
        <w:ind w:left="2"/>
        <w:spacing w:after="0" w:line="336" w:lineRule="auto"/>
        <w:rPr>
          <w:sz w:val="20"/>
          <w:szCs w:val="20"/>
          <w:color w:val="auto"/>
        </w:rPr>
      </w:pPr>
      <w:r>
        <w:rPr>
          <w:rFonts w:ascii="Arial" w:cs="Arial" w:eastAsia="Arial" w:hAnsi="Arial"/>
          <w:sz w:val="17"/>
          <w:szCs w:val="17"/>
          <w:color w:val="auto"/>
        </w:rPr>
        <w:t>Finally, the Common Equity Tier 1 ratio (CET1) at BCP registered growth of + 74 bps QoQ and at the end of 4Q21, stood at 4.84%. This evolution was primarily driven by: (i) an increase in the CET1 balance (+6.2% QoQ), in line with an improvement in retained earnings at BCP.</w:t>
      </w:r>
    </w:p>
    <w:p>
      <w:pPr>
        <w:spacing w:after="0" w:line="115" w:lineRule="exact"/>
        <w:rPr>
          <w:sz w:val="20"/>
          <w:szCs w:val="20"/>
          <w:color w:val="auto"/>
        </w:rPr>
      </w:pPr>
    </w:p>
    <w:p>
      <w:pPr>
        <w:jc w:val="both"/>
        <w:ind w:left="2"/>
        <w:spacing w:after="0" w:line="303" w:lineRule="auto"/>
        <w:rPr>
          <w:sz w:val="20"/>
          <w:szCs w:val="20"/>
          <w:color w:val="auto"/>
        </w:rPr>
      </w:pPr>
      <w:r>
        <w:rPr>
          <w:rFonts w:ascii="Arial" w:cs="Arial" w:eastAsia="Arial" w:hAnsi="Arial"/>
          <w:sz w:val="17"/>
          <w:szCs w:val="17"/>
          <w:color w:val="auto"/>
        </w:rPr>
        <w:t>In the YoY analysis, the CET1 ratio increased +44 bps due to +10.2% growth in the CET1 balance. The aforementioned was partially offset by growth in RWAs (+6.1% YoY). It is important to note that the increase described for the CET1 balance was driven primarily by growth in retained earnings at BCP (+264%), which was mitigated by the unrealized losses that accumulated over the first 9 months of the year.</w:t>
      </w:r>
    </w:p>
    <w:p>
      <w:pPr>
        <w:spacing w:after="0" w:line="379"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55" w:name="page56"/>
    <w:bookmarkEnd w:id="55"/>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9.3. Regulatory Capital Mibanco – Perú GAAP</w:t>
      </w:r>
    </w:p>
    <w:p>
      <w:pPr>
        <w:spacing w:after="0" w:line="218" w:lineRule="exact"/>
        <w:rPr>
          <w:sz w:val="20"/>
          <w:szCs w:val="20"/>
          <w:color w:val="auto"/>
        </w:rPr>
      </w:pPr>
    </w:p>
    <w:p>
      <w:pPr>
        <w:jc w:val="both"/>
        <w:ind w:left="5842"/>
        <w:spacing w:after="0" w:line="284" w:lineRule="auto"/>
        <w:rPr>
          <w:sz w:val="20"/>
          <w:szCs w:val="20"/>
          <w:color w:val="auto"/>
        </w:rPr>
      </w:pPr>
      <w:r>
        <w:rPr>
          <w:rFonts w:ascii="Arial" w:cs="Arial" w:eastAsia="Arial" w:hAnsi="Arial"/>
          <w:sz w:val="17"/>
          <w:szCs w:val="17"/>
          <w:color w:val="auto"/>
        </w:rPr>
        <w:t>At the end of 4Q21, the Tier 1 regulatory ratio and the global capital ratio at Mibanco stood at 13.9% and 16.4% after falling -32 bps and -38 bps respectively. These results were impacted by the increase in regulatory RWAs (+4.9%), which was in turn driven by loan growth. The aforementioned was somewhat attenuated by an increase in accumulated earnings with capitalization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-868680</wp:posOffset>
            </wp:positionV>
            <wp:extent cx="2835910" cy="15195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35910" cy="151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2" w:hanging="282"/>
        <w:spacing w:after="0"/>
        <w:tabs>
          <w:tab w:leader="none" w:pos="282"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Regulatory Tier 1 Capital / Total Risk-weighted assets</w:t>
      </w:r>
    </w:p>
    <w:p>
      <w:pPr>
        <w:spacing w:after="0" w:line="6" w:lineRule="exact"/>
        <w:rPr>
          <w:rFonts w:ascii="Arial" w:cs="Arial" w:eastAsia="Arial" w:hAnsi="Arial"/>
          <w:sz w:val="20"/>
          <w:szCs w:val="20"/>
          <w:color w:val="auto"/>
        </w:rPr>
      </w:pPr>
    </w:p>
    <w:p>
      <w:pPr>
        <w:ind w:left="282" w:hanging="282"/>
        <w:spacing w:after="0" w:line="230" w:lineRule="auto"/>
        <w:tabs>
          <w:tab w:leader="none" w:pos="282" w:val="left"/>
        </w:tabs>
        <w:numPr>
          <w:ilvl w:val="0"/>
          <w:numId w:val="67"/>
        </w:numPr>
        <w:rPr>
          <w:rFonts w:ascii="Arial" w:cs="Arial" w:eastAsia="Arial" w:hAnsi="Arial"/>
          <w:sz w:val="20"/>
          <w:szCs w:val="20"/>
          <w:color w:val="auto"/>
        </w:rPr>
      </w:pPr>
      <w:r>
        <w:rPr>
          <w:rFonts w:ascii="Arial" w:cs="Arial" w:eastAsia="Arial" w:hAnsi="Arial"/>
          <w:sz w:val="20"/>
          <w:szCs w:val="20"/>
          <w:color w:val="auto"/>
        </w:rPr>
        <w:t>Total Regulatory Capital / Total Risk-weighted assets (legal minimum = 10% since July 2011)</w:t>
      </w:r>
    </w:p>
    <w:p>
      <w:pPr>
        <w:ind w:left="2"/>
        <w:spacing w:after="0"/>
        <w:rPr>
          <w:rFonts w:ascii="Arial" w:cs="Arial" w:eastAsia="Arial" w:hAnsi="Arial"/>
          <w:sz w:val="20"/>
          <w:szCs w:val="20"/>
          <w:color w:val="auto"/>
        </w:rPr>
      </w:pPr>
      <w:r>
        <w:rPr>
          <w:rFonts w:ascii="Arial" w:cs="Arial" w:eastAsia="Arial" w:hAnsi="Arial"/>
          <w:sz w:val="20"/>
          <w:szCs w:val="20"/>
          <w:color w:val="auto"/>
        </w:rPr>
        <w:t>(*) Ratios differ from previously reported, please consider the data presented on this report.</w:t>
      </w:r>
    </w:p>
    <w:p>
      <w:pPr>
        <w:spacing w:after="0" w:line="196" w:lineRule="exact"/>
        <w:rPr>
          <w:sz w:val="20"/>
          <w:szCs w:val="20"/>
          <w:color w:val="auto"/>
        </w:rPr>
      </w:pPr>
    </w:p>
    <w:p>
      <w:pPr>
        <w:jc w:val="both"/>
        <w:ind w:left="2"/>
        <w:spacing w:after="0" w:line="237" w:lineRule="auto"/>
        <w:rPr>
          <w:sz w:val="20"/>
          <w:szCs w:val="20"/>
          <w:color w:val="auto"/>
        </w:rPr>
      </w:pPr>
      <w:r>
        <w:rPr>
          <w:rFonts w:ascii="Arial" w:cs="Arial" w:eastAsia="Arial" w:hAnsi="Arial"/>
          <w:sz w:val="20"/>
          <w:szCs w:val="20"/>
          <w:color w:val="auto"/>
        </w:rPr>
        <w:t>The YoY evolution shows a decrease of -374 bps and -346 bps in the Tier 1 regulatory ratio and the global capital ratio respectively. Both variations were attributable to +14.0% growth in regulatory RWAs, which was driven by loan expansion. The drop in both ratios was associated with a decrease in the company’s share capital after provisions were set aside to cover this account (local accounting) in March 2021.</w:t>
      </w:r>
    </w:p>
    <w:p>
      <w:pPr>
        <w:spacing w:after="0" w:line="196"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Finally, the CET1 Ratio fell -25 bps QoQ to stand at 14.9% in 4Q21. This decrease was mainly driven by +4.9% growth in RWAs, which was attributable to loan growth. This effect was partially mitigated by growth in retained earnings (+27.6%). In the YoY analysis the CET1 Ratio fell -285 bps in a context of loan growth.</w:t>
      </w:r>
    </w:p>
    <w:p>
      <w:pPr>
        <w:spacing w:after="0" w:line="200" w:lineRule="exact"/>
        <w:rPr>
          <w:sz w:val="20"/>
          <w:szCs w:val="20"/>
          <w:color w:val="auto"/>
        </w:rPr>
      </w:pPr>
    </w:p>
    <w:p>
      <w:pPr>
        <w:spacing w:after="0" w:line="23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3082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78550" cy="730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57" w:name="page58"/>
    <w:bookmarkEnd w:id="57"/>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10. Digital Transformation</w:t>
      </w:r>
    </w:p>
    <w:p>
      <w:pPr>
        <w:spacing w:after="0" w:line="218"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In 2021, we pushed to accelerate the transformation journey across Credicorp. This entailed increasing investment in technology and seeking to attract and develop specialized talent, which are key enablers that generate constant challenges. We sought to anticipate our clients’ new needs and improve our products and services to efficiently satisfy and strengthen our long-term competitiveness.</w:t>
      </w:r>
    </w:p>
    <w:p>
      <w:pPr>
        <w:spacing w:after="0" w:line="397" w:lineRule="exact"/>
        <w:rPr>
          <w:sz w:val="20"/>
          <w:szCs w:val="20"/>
          <w:color w:val="auto"/>
        </w:rPr>
      </w:pPr>
    </w:p>
    <w:p>
      <w:pPr>
        <w:jc w:val="both"/>
        <w:ind w:left="2"/>
        <w:spacing w:after="0" w:line="303" w:lineRule="auto"/>
        <w:rPr>
          <w:sz w:val="20"/>
          <w:szCs w:val="20"/>
          <w:color w:val="auto"/>
        </w:rPr>
      </w:pPr>
      <w:r>
        <w:rPr>
          <w:rFonts w:ascii="Arial" w:cs="Arial" w:eastAsia="Arial" w:hAnsi="Arial"/>
          <w:sz w:val="17"/>
          <w:szCs w:val="17"/>
          <w:color w:val="auto"/>
        </w:rPr>
        <w:t xml:space="preserve">In 4Q21, we redesigned our disruptive innovation model to complement our </w:t>
      </w:r>
      <w:r>
        <w:rPr>
          <w:rFonts w:ascii="Arial" w:cs="Arial" w:eastAsia="Arial" w:hAnsi="Arial"/>
          <w:sz w:val="17"/>
          <w:szCs w:val="17"/>
          <w:i w:val="1"/>
          <w:iCs w:val="1"/>
          <w:color w:val="auto"/>
        </w:rPr>
        <w:t>incumbents’</w:t>
      </w:r>
      <w:r>
        <w:rPr>
          <w:rFonts w:ascii="Arial" w:cs="Arial" w:eastAsia="Arial" w:hAnsi="Arial"/>
          <w:sz w:val="17"/>
          <w:szCs w:val="17"/>
          <w:color w:val="auto"/>
        </w:rPr>
        <w:t xml:space="preserve"> transformation and to ensure that we remain on the cutting-edge. Our main objective is to strengthen the capacity to incubate new businesses in the innovation centers for each LOB while we develop innovation for current and/or future businesses through our recently consolidated Corporate Venture Capital Center, Krealo.</w:t>
      </w:r>
    </w:p>
    <w:p>
      <w:pPr>
        <w:spacing w:after="0" w:line="137" w:lineRule="exact"/>
        <w:rPr>
          <w:sz w:val="20"/>
          <w:szCs w:val="20"/>
          <w:color w:val="auto"/>
        </w:rPr>
      </w:pPr>
    </w:p>
    <w:tbl>
      <w:tblPr>
        <w:tblLayout w:type="fixed"/>
        <w:tblInd w:w="2" w:type="dxa"/>
        <w:tblCellMar>
          <w:top w:w="0" w:type="dxa"/>
          <w:left w:w="0" w:type="dxa"/>
          <w:bottom w:w="0" w:type="dxa"/>
          <w:right w:w="0" w:type="dxa"/>
        </w:tblCellMar>
      </w:tblPr>
      <w:tr>
        <w:trPr>
          <w:trHeight w:val="255"/>
        </w:trPr>
        <w:tc>
          <w:tcPr>
            <w:tcW w:w="6620" w:type="dxa"/>
            <w:vAlign w:val="bottom"/>
            <w:gridSpan w:val="3"/>
          </w:tcPr>
          <w:p>
            <w:pPr>
              <w:spacing w:after="0"/>
              <w:rPr>
                <w:sz w:val="20"/>
                <w:szCs w:val="20"/>
                <w:color w:val="auto"/>
              </w:rPr>
            </w:pPr>
            <w:r>
              <w:rPr>
                <w:rFonts w:ascii="Arial" w:cs="Arial" w:eastAsia="Arial" w:hAnsi="Arial"/>
                <w:sz w:val="20"/>
                <w:szCs w:val="20"/>
                <w:b w:val="1"/>
                <w:bCs w:val="1"/>
                <w:color w:val="auto"/>
              </w:rPr>
              <w:t>10.1 Digital Transformation BCP Stand-alone</w:t>
            </w:r>
          </w:p>
        </w:tc>
        <w:tc>
          <w:tcPr>
            <w:tcW w:w="2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6620" w:type="dxa"/>
            <w:vAlign w:val="bottom"/>
            <w:gridSpan w:val="3"/>
          </w:tcPr>
          <w:p>
            <w:pPr>
              <w:spacing w:after="0"/>
              <w:rPr>
                <w:sz w:val="20"/>
                <w:szCs w:val="20"/>
                <w:color w:val="auto"/>
              </w:rPr>
            </w:pPr>
            <w:r>
              <w:rPr>
                <w:rFonts w:ascii="Arial" w:cs="Arial" w:eastAsia="Arial" w:hAnsi="Arial"/>
                <w:sz w:val="20"/>
                <w:szCs w:val="20"/>
                <w:b w:val="1"/>
                <w:bCs w:val="1"/>
                <w:color w:val="auto"/>
              </w:rPr>
              <w:t>10.1.1 Digitalization in Personal Banking</w:t>
            </w:r>
          </w:p>
        </w:tc>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6620" w:type="dxa"/>
            <w:vAlign w:val="bottom"/>
            <w:gridSpan w:val="3"/>
          </w:tcPr>
          <w:p>
            <w:pPr>
              <w:ind w:left="1440"/>
              <w:spacing w:after="0"/>
              <w:rPr>
                <w:sz w:val="20"/>
                <w:szCs w:val="20"/>
                <w:color w:val="auto"/>
              </w:rPr>
            </w:pPr>
            <w:r>
              <w:rPr>
                <w:rFonts w:ascii="Arial" w:cs="Arial" w:eastAsia="Arial" w:hAnsi="Arial"/>
                <w:sz w:val="20"/>
                <w:szCs w:val="20"/>
                <w:b w:val="1"/>
                <w:bCs w:val="1"/>
                <w:color w:val="auto"/>
              </w:rPr>
              <w:t xml:space="preserve">Evolution of Digital Clients </w:t>
            </w:r>
            <w:r>
              <w:rPr>
                <w:rFonts w:ascii="Arial" w:cs="Arial" w:eastAsia="Arial" w:hAnsi="Arial"/>
                <w:sz w:val="32"/>
                <w:szCs w:val="32"/>
                <w:b w:val="1"/>
                <w:bCs w:val="1"/>
                <w:color w:val="auto"/>
                <w:vertAlign w:val="superscript"/>
              </w:rPr>
              <w:t>(1)</w:t>
            </w:r>
          </w:p>
        </w:tc>
        <w:tc>
          <w:tcPr>
            <w:tcW w:w="4000" w:type="dxa"/>
            <w:vAlign w:val="bottom"/>
            <w:gridSpan w:val="5"/>
          </w:tcPr>
          <w:p>
            <w:pPr>
              <w:jc w:val="right"/>
              <w:ind w:right="200"/>
              <w:spacing w:after="0"/>
              <w:rPr>
                <w:sz w:val="20"/>
                <w:szCs w:val="20"/>
                <w:color w:val="auto"/>
              </w:rPr>
            </w:pPr>
            <w:r>
              <w:rPr>
                <w:rFonts w:ascii="Arial" w:cs="Arial" w:eastAsia="Arial" w:hAnsi="Arial"/>
                <w:sz w:val="20"/>
                <w:szCs w:val="20"/>
                <w:b w:val="1"/>
                <w:bCs w:val="1"/>
                <w:color w:val="auto"/>
                <w:w w:val="88"/>
              </w:rPr>
              <w:t xml:space="preserve">Composition of digital clients </w:t>
            </w:r>
            <w:r>
              <w:rPr>
                <w:rFonts w:ascii="Arial" w:cs="Arial" w:eastAsia="Arial" w:hAnsi="Arial"/>
                <w:sz w:val="32"/>
                <w:szCs w:val="32"/>
                <w:b w:val="1"/>
                <w:bCs w:val="1"/>
                <w:color w:val="auto"/>
                <w:w w:val="88"/>
                <w:vertAlign w:val="superscript"/>
              </w:rPr>
              <w:t>(1)</w:t>
            </w:r>
            <w:r>
              <w:rPr>
                <w:rFonts w:ascii="Arial" w:cs="Arial" w:eastAsia="Arial" w:hAnsi="Arial"/>
                <w:sz w:val="20"/>
                <w:szCs w:val="20"/>
                <w:b w:val="1"/>
                <w:bCs w:val="1"/>
                <w:color w:val="auto"/>
                <w:w w:val="88"/>
              </w:rPr>
              <w:t xml:space="preserve"> by segment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40" w:type="dxa"/>
            <w:vAlign w:val="bottom"/>
          </w:tcPr>
          <w:p>
            <w:pPr>
              <w:spacing w:after="0"/>
              <w:rPr>
                <w:sz w:val="20"/>
                <w:szCs w:val="20"/>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Segment</w:t>
            </w:r>
          </w:p>
        </w:tc>
        <w:tc>
          <w:tcPr>
            <w:tcW w:w="2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4T20</w:t>
            </w:r>
          </w:p>
        </w:tc>
        <w:tc>
          <w:tcPr>
            <w:tcW w:w="240" w:type="dxa"/>
            <w:vAlign w:val="bottom"/>
          </w:tcPr>
          <w:p>
            <w:pPr>
              <w:spacing w:after="0"/>
              <w:rPr>
                <w:sz w:val="20"/>
                <w:szCs w:val="20"/>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3T21</w:t>
            </w:r>
          </w:p>
        </w:tc>
        <w:tc>
          <w:tcPr>
            <w:tcW w:w="240" w:type="dxa"/>
            <w:vAlign w:val="bottom"/>
          </w:tcPr>
          <w:p>
            <w:pPr>
              <w:spacing w:after="0"/>
              <w:rPr>
                <w:sz w:val="20"/>
                <w:szCs w:val="20"/>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4T21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6"/>
                <w:szCs w:val="16"/>
                <w:color w:val="auto"/>
              </w:rPr>
              <w:t>Enalta</w:t>
            </w:r>
          </w:p>
        </w:tc>
        <w:tc>
          <w:tcPr>
            <w:tcW w:w="25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Affluent</w:t>
            </w:r>
          </w:p>
        </w:tc>
        <w:tc>
          <w:tcPr>
            <w:tcW w:w="3280" w:type="dxa"/>
            <w:vAlign w:val="bottom"/>
            <w:gridSpan w:val="3"/>
          </w:tcPr>
          <w:p>
            <w:pPr>
              <w:jc w:val="right"/>
              <w:ind w:right="120"/>
              <w:spacing w:after="0"/>
              <w:rPr>
                <w:sz w:val="20"/>
                <w:szCs w:val="20"/>
                <w:color w:val="auto"/>
              </w:rPr>
            </w:pPr>
            <w:r>
              <w:rPr>
                <w:rFonts w:ascii="Arial" w:cs="Arial" w:eastAsia="Arial" w:hAnsi="Arial"/>
                <w:sz w:val="16"/>
                <w:szCs w:val="16"/>
                <w:color w:val="auto"/>
              </w:rPr>
              <w:t>80%</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81%</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6"/>
                <w:szCs w:val="16"/>
                <w:color w:val="auto"/>
              </w:rPr>
              <w:t>Consumer</w:t>
            </w:r>
          </w:p>
        </w:tc>
        <w:tc>
          <w:tcPr>
            <w:tcW w:w="25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5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Total</w:t>
            </w:r>
          </w:p>
        </w:tc>
        <w:tc>
          <w:tcPr>
            <w:tcW w:w="25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57%</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-676910</wp:posOffset>
            </wp:positionV>
            <wp:extent cx="2649220" cy="12153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49220" cy="121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 w:hanging="2"/>
        <w:spacing w:after="0" w:line="250" w:lineRule="auto"/>
        <w:tabs>
          <w:tab w:leader="none" w:pos="292" w:val="left"/>
        </w:tabs>
        <w:numPr>
          <w:ilvl w:val="0"/>
          <w:numId w:val="68"/>
        </w:numPr>
        <w:rPr>
          <w:rFonts w:ascii="Arial" w:cs="Arial" w:eastAsia="Arial" w:hAnsi="Arial"/>
          <w:sz w:val="20"/>
          <w:szCs w:val="20"/>
          <w:color w:val="auto"/>
        </w:rPr>
      </w:pPr>
      <w:r>
        <w:rPr>
          <w:rFonts w:ascii="Arial" w:cs="Arial" w:eastAsia="Arial" w:hAnsi="Arial"/>
          <w:sz w:val="20"/>
          <w:szCs w:val="20"/>
          <w:color w:val="auto"/>
        </w:rPr>
        <w:t>Digital Clients: Retail banking customers who carry out 50% of their monetary transactions through digital channels; or bought products online in the last 12 months.</w:t>
      </w:r>
    </w:p>
    <w:p>
      <w:pPr>
        <w:spacing w:after="0" w:line="183" w:lineRule="exact"/>
        <w:rPr>
          <w:sz w:val="20"/>
          <w:szCs w:val="20"/>
          <w:color w:val="auto"/>
        </w:rPr>
      </w:pPr>
    </w:p>
    <w:p>
      <w:pPr>
        <w:jc w:val="both"/>
        <w:ind w:left="2"/>
        <w:spacing w:after="0" w:line="259" w:lineRule="auto"/>
        <w:rPr>
          <w:sz w:val="20"/>
          <w:szCs w:val="20"/>
          <w:color w:val="auto"/>
        </w:rPr>
      </w:pPr>
      <w:r>
        <w:rPr>
          <w:rFonts w:ascii="Arial" w:cs="Arial" w:eastAsia="Arial" w:hAnsi="Arial"/>
          <w:sz w:val="19"/>
          <w:szCs w:val="19"/>
          <w:color w:val="auto"/>
        </w:rPr>
        <w:t>The number of digital clients has followed an upward trend over the last few quarters. In 4Q21, digital clients represented 57% of Personal Banking’s total clients. Through digital channels, we seek to offer convenience and better client experiences while optimizing our efficiency in the mid-term. We are accelerating initiatives to improve functionalities, cybersecurity and digital products.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10.1.2 Migration of Transactions to digital channels</w:t>
      </w:r>
    </w:p>
    <w:p>
      <w:pPr>
        <w:sectPr>
          <w:pgSz w:w="11900" w:h="16838" w:orient="portrait"/>
          <w:cols w:equalWidth="0" w:num="1">
            <w:col w:w="11242"/>
          </w:cols>
          <w:pgMar w:left="318" w:top="765" w:right="339" w:bottom="1440" w:gutter="0" w:footer="0" w:header="0"/>
        </w:sectPr>
      </w:pPr>
    </w:p>
    <w:p>
      <w:pPr>
        <w:spacing w:after="0" w:line="212" w:lineRule="exact"/>
        <w:rPr>
          <w:sz w:val="20"/>
          <w:szCs w:val="20"/>
          <w:color w:val="auto"/>
        </w:rPr>
      </w:pPr>
    </w:p>
    <w:p>
      <w:pPr>
        <w:jc w:val="center"/>
        <w:ind w:right="858"/>
        <w:spacing w:after="0"/>
        <w:rPr>
          <w:sz w:val="20"/>
          <w:szCs w:val="20"/>
          <w:color w:val="auto"/>
        </w:rPr>
      </w:pPr>
      <w:r>
        <w:rPr>
          <w:rFonts w:ascii="Arial" w:cs="Arial" w:eastAsia="Arial" w:hAnsi="Arial"/>
          <w:sz w:val="17"/>
          <w:szCs w:val="17"/>
          <w:b w:val="1"/>
          <w:bCs w:val="1"/>
          <w:color w:val="auto"/>
        </w:rPr>
        <w:t>Evolution of averange monthly transactions per channel</w:t>
      </w:r>
    </w:p>
    <w:p>
      <w:pPr>
        <w:spacing w:after="0" w:line="47" w:lineRule="exact"/>
        <w:rPr>
          <w:sz w:val="20"/>
          <w:szCs w:val="20"/>
          <w:color w:val="auto"/>
        </w:rPr>
      </w:pPr>
    </w:p>
    <w:p>
      <w:pPr>
        <w:jc w:val="center"/>
        <w:ind w:right="858"/>
        <w:spacing w:after="0"/>
        <w:rPr>
          <w:sz w:val="20"/>
          <w:szCs w:val="20"/>
          <w:color w:val="auto"/>
        </w:rPr>
      </w:pPr>
      <w:r>
        <w:rPr>
          <w:rFonts w:ascii="Arial" w:cs="Arial" w:eastAsia="Arial" w:hAnsi="Arial"/>
          <w:sz w:val="20"/>
          <w:szCs w:val="20"/>
          <w:color w:val="auto"/>
        </w:rPr>
        <w:t>Expressed in millions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136525</wp:posOffset>
            </wp:positionV>
            <wp:extent cx="2727325" cy="1433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27325" cy="143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20" w:hanging="787"/>
        <w:spacing w:after="0" w:line="307" w:lineRule="auto"/>
        <w:rPr>
          <w:sz w:val="20"/>
          <w:szCs w:val="20"/>
          <w:color w:val="auto"/>
        </w:rPr>
      </w:pPr>
      <w:r>
        <w:rPr>
          <w:rFonts w:ascii="Arial" w:cs="Arial" w:eastAsia="Arial" w:hAnsi="Arial"/>
          <w:sz w:val="17"/>
          <w:szCs w:val="17"/>
          <w:b w:val="1"/>
          <w:bCs w:val="1"/>
          <w:color w:val="auto"/>
        </w:rPr>
        <w:t xml:space="preserve">Evolution of average monthly monetary transactions per channel and the transactions unit cost </w:t>
      </w:r>
      <w:r>
        <w:rPr>
          <w:rFonts w:ascii="Arial" w:cs="Arial" w:eastAsia="Arial" w:hAnsi="Arial"/>
          <w:sz w:val="17"/>
          <w:szCs w:val="17"/>
          <w:color w:val="auto"/>
        </w:rPr>
        <w:t>Expressed in millions of transactions</w:t>
      </w:r>
    </w:p>
    <w:p>
      <w:pPr>
        <w:spacing w:after="0" w:line="200" w:lineRule="exact"/>
        <w:rPr>
          <w:sz w:val="20"/>
          <w:szCs w:val="20"/>
          <w:color w:val="auto"/>
        </w:rPr>
      </w:pPr>
    </w:p>
    <w:p>
      <w:pPr>
        <w:sectPr>
          <w:pgSz w:w="11900" w:h="16838" w:orient="portrait"/>
          <w:cols w:equalWidth="0" w:num="2">
            <w:col w:w="6242" w:space="720"/>
            <w:col w:w="4280"/>
          </w:cols>
          <w:pgMar w:left="318"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
        <w:spacing w:after="0" w:line="256" w:lineRule="auto"/>
        <w:rPr>
          <w:sz w:val="20"/>
          <w:szCs w:val="20"/>
          <w:color w:val="auto"/>
        </w:rPr>
      </w:pPr>
      <w:r>
        <w:rPr>
          <w:rFonts w:ascii="Arial" w:cs="Arial" w:eastAsia="Arial" w:hAnsi="Arial"/>
          <w:sz w:val="20"/>
          <w:szCs w:val="20"/>
          <w:color w:val="auto"/>
        </w:rPr>
        <w:t xml:space="preserve">The monthly average of </w:t>
      </w:r>
      <w:r>
        <w:rPr>
          <w:rFonts w:ascii="Arial" w:cs="Arial" w:eastAsia="Arial" w:hAnsi="Arial"/>
          <w:sz w:val="20"/>
          <w:szCs w:val="20"/>
          <w:b w:val="1"/>
          <w:bCs w:val="1"/>
          <w:color w:val="auto"/>
        </w:rPr>
        <w:t>total transactions</w:t>
      </w:r>
      <w:r>
        <w:rPr>
          <w:rFonts w:ascii="Arial" w:cs="Arial" w:eastAsia="Arial" w:hAnsi="Arial"/>
          <w:sz w:val="20"/>
          <w:szCs w:val="20"/>
          <w:color w:val="auto"/>
        </w:rPr>
        <w:t xml:space="preserve"> grew +18.6% QoQ and +48.6% YoY, which was driven mainly by monetary transactions (+15.4% QoQ and +60.2%) in a quarter that is characterized by high consumption every year.</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20"/>
          <w:szCs w:val="20"/>
          <w:color w:val="auto"/>
        </w:rPr>
        <w:t>In digital channels, growth in monthly average transactions was noteworthy in:</w:t>
      </w:r>
    </w:p>
    <w:p>
      <w:pPr>
        <w:spacing w:after="0" w:line="200" w:lineRule="exact"/>
        <w:rPr>
          <w:sz w:val="20"/>
          <w:szCs w:val="20"/>
          <w:color w:val="auto"/>
        </w:rPr>
      </w:pPr>
    </w:p>
    <w:p>
      <w:pPr>
        <w:spacing w:after="0" w:line="248"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type w:val="continuous"/>
        </w:sectPr>
      </w:pPr>
    </w:p>
    <w:bookmarkStart w:id="58" w:name="page59"/>
    <w:bookmarkEnd w:id="58"/>
    <w:p>
      <w:pPr>
        <w:ind w:left="880" w:hanging="587"/>
        <w:spacing w:after="0" w:line="292"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 xml:space="preserve">Yape, </w:t>
      </w:r>
      <w:r>
        <w:rPr>
          <w:rFonts w:ascii="Arial" w:cs="Arial" w:eastAsia="Arial" w:hAnsi="Arial"/>
          <w:sz w:val="16"/>
          <w:szCs w:val="16"/>
          <w:color w:val="auto"/>
        </w:rPr>
        <w:t>which grew 42.6% QoQ and 215.0% YoY. This channel is currently used by our clients more than any other (see section 10.1.5. Disruptive Initiatives –</w:t>
      </w:r>
      <w:r>
        <w:rPr>
          <w:rFonts w:ascii="Arial" w:cs="Arial" w:eastAsia="Arial" w:hAnsi="Arial"/>
          <w:sz w:val="16"/>
          <w:szCs w:val="16"/>
          <w:b w:val="1"/>
          <w:bCs w:val="1"/>
          <w:color w:val="auto"/>
        </w:rPr>
        <w:t xml:space="preserve"> </w:t>
      </w:r>
      <w:r>
        <w:rPr>
          <w:rFonts w:ascii="Arial" w:cs="Arial" w:eastAsia="Arial" w:hAnsi="Arial"/>
          <w:sz w:val="16"/>
          <w:szCs w:val="16"/>
          <w:color w:val="auto"/>
        </w:rPr>
        <w:t>Yape.).</w:t>
      </w:r>
    </w:p>
    <w:p>
      <w:pPr>
        <w:spacing w:after="0" w:line="165" w:lineRule="exact"/>
        <w:rPr>
          <w:rFonts w:ascii="Arial" w:cs="Arial" w:eastAsia="Arial" w:hAnsi="Arial"/>
          <w:sz w:val="16"/>
          <w:szCs w:val="16"/>
          <w:color w:val="auto"/>
        </w:rPr>
      </w:pPr>
    </w:p>
    <w:p>
      <w:pPr>
        <w:ind w:left="880" w:hanging="587"/>
        <w:spacing w:after="0"/>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Mobile Banking, </w:t>
      </w:r>
      <w:r>
        <w:rPr>
          <w:rFonts w:ascii="Arial" w:cs="Arial" w:eastAsia="Arial" w:hAnsi="Arial"/>
          <w:sz w:val="16"/>
          <w:szCs w:val="16"/>
          <w:color w:val="auto"/>
        </w:rPr>
        <w:t>which grew 1.3% QoQ and 32.0% YoY. Mobile Banking has grown at a constant rate since the pandemic began.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In traditional channels, growth in monthly average transactions was driven by:</w:t>
      </w:r>
    </w:p>
    <w:p>
      <w:pPr>
        <w:spacing w:after="0" w:line="214" w:lineRule="exact"/>
        <w:rPr>
          <w:sz w:val="20"/>
          <w:szCs w:val="20"/>
          <w:color w:val="auto"/>
        </w:rPr>
      </w:pPr>
    </w:p>
    <w:p>
      <w:pPr>
        <w:ind w:left="880" w:hanging="587"/>
        <w:spacing w:after="0"/>
        <w:tabs>
          <w:tab w:leader="none" w:pos="880" w:val="left"/>
        </w:tabs>
        <w:numPr>
          <w:ilvl w:val="0"/>
          <w:numId w:val="70"/>
        </w:numPr>
        <w:rPr>
          <w:rFonts w:ascii="Arial" w:cs="Arial" w:eastAsia="Arial" w:hAnsi="Arial"/>
          <w:sz w:val="15"/>
          <w:szCs w:val="15"/>
          <w:color w:val="auto"/>
        </w:rPr>
      </w:pPr>
      <w:r>
        <w:rPr>
          <w:rFonts w:ascii="Arial" w:cs="Arial" w:eastAsia="Arial" w:hAnsi="Arial"/>
          <w:sz w:val="15"/>
          <w:szCs w:val="15"/>
          <w:b w:val="1"/>
          <w:bCs w:val="1"/>
          <w:color w:val="auto"/>
        </w:rPr>
        <w:t xml:space="preserve">Agentes BCP, </w:t>
      </w:r>
      <w:r>
        <w:rPr>
          <w:rFonts w:ascii="Arial" w:cs="Arial" w:eastAsia="Arial" w:hAnsi="Arial"/>
          <w:sz w:val="15"/>
          <w:szCs w:val="15"/>
          <w:color w:val="auto"/>
        </w:rPr>
        <w:t>which grew +5.3 QoQ and +16.5% YoY in line with an increase in the number of agents under our plan to optimize the physical network.</w:t>
      </w:r>
    </w:p>
    <w:p>
      <w:pPr>
        <w:spacing w:after="0" w:line="244" w:lineRule="exact"/>
        <w:rPr>
          <w:rFonts w:ascii="Arial" w:cs="Arial" w:eastAsia="Arial" w:hAnsi="Arial"/>
          <w:sz w:val="15"/>
          <w:szCs w:val="15"/>
          <w:color w:val="auto"/>
        </w:rPr>
      </w:pPr>
    </w:p>
    <w:p>
      <w:pPr>
        <w:ind w:left="880" w:hanging="587"/>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POS, </w:t>
      </w:r>
      <w:r>
        <w:rPr>
          <w:rFonts w:ascii="Arial" w:cs="Arial" w:eastAsia="Arial" w:hAnsi="Arial"/>
          <w:sz w:val="16"/>
          <w:szCs w:val="16"/>
          <w:color w:val="auto"/>
        </w:rPr>
        <w:t>which grew +20.0% QoQ and +87.2% YoY in a context marked by economic reactivation and seasonal factors in the last quarter of the year.</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fact that transactions have migrated to digital and cost-efficient channels, the monthly average transactions cost well from 0.27 in 4Q20 to 0.19 in 4Q21.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10.1.3 Self-Service and Digital Sales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Digital sales, measured in units, continue to follow an upward trend.</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At the end of 4Q21, self-service sales represented 15% of total units sold compared to 11% in 4Q20 while digital sales accounted for 34% of total units sold versus 26% in 4Q20.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Banking Sales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2400" w:type="dxa"/>
            <w:vAlign w:val="bottom"/>
            <w:gridSpan w:val="5"/>
          </w:tcPr>
          <w:p>
            <w:pPr>
              <w:ind w:left="820"/>
              <w:spacing w:after="0"/>
              <w:rPr>
                <w:sz w:val="20"/>
                <w:szCs w:val="20"/>
                <w:color w:val="auto"/>
              </w:rPr>
            </w:pPr>
            <w:r>
              <w:rPr>
                <w:rFonts w:ascii="Arial" w:cs="Arial" w:eastAsia="Arial" w:hAnsi="Arial"/>
                <w:sz w:val="16"/>
                <w:szCs w:val="16"/>
                <w:b w:val="1"/>
                <w:bCs w:val="1"/>
                <w:color w:val="auto"/>
                <w:w w:val="97"/>
              </w:rPr>
              <w:t>Unit sold per Quarter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3"/>
          </w:tcPr>
          <w:p>
            <w:pPr>
              <w:ind w:left="80"/>
              <w:spacing w:after="0"/>
              <w:rPr>
                <w:sz w:val="20"/>
                <w:szCs w:val="20"/>
                <w:color w:val="auto"/>
              </w:rPr>
            </w:pPr>
            <w:r>
              <w:rPr>
                <w:rFonts w:ascii="Arial" w:cs="Arial" w:eastAsia="Arial" w:hAnsi="Arial"/>
                <w:sz w:val="16"/>
                <w:szCs w:val="16"/>
                <w:b w:val="1"/>
                <w:bCs w:val="1"/>
                <w:color w:val="auto"/>
                <w:w w:val="95"/>
              </w:rPr>
              <w:t>% Change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ind w:left="860"/>
              <w:spacing w:after="0"/>
              <w:rPr>
                <w:sz w:val="20"/>
                <w:szCs w:val="20"/>
                <w:color w:val="auto"/>
              </w:rPr>
            </w:pPr>
            <w:r>
              <w:rPr>
                <w:rFonts w:ascii="Arial" w:cs="Arial" w:eastAsia="Arial" w:hAnsi="Arial"/>
                <w:sz w:val="16"/>
                <w:szCs w:val="16"/>
                <w:b w:val="1"/>
                <w:bCs w:val="1"/>
                <w:color w:val="auto"/>
              </w:rPr>
              <w:t>Year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2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6"/>
                <w:szCs w:val="16"/>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w w:val="91"/>
              </w:rPr>
              <w:t>TaT</w:t>
            </w:r>
          </w:p>
        </w:tc>
        <w:tc>
          <w:tcPr>
            <w:tcW w:w="3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AaA</w:t>
            </w:r>
          </w:p>
        </w:tc>
        <w:tc>
          <w:tcPr>
            <w:tcW w:w="2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Traditionals Sales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1,517,597</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1,100,932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1,373,079</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24.7%</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4,470,429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5,000,375</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196"/>
        </w:trPr>
        <w:tc>
          <w:tcPr>
            <w:tcW w:w="2260" w:type="dxa"/>
            <w:vAlign w:val="bottom"/>
          </w:tcPr>
          <w:p>
            <w:pPr>
              <w:spacing w:after="0" w:line="197" w:lineRule="exact"/>
              <w:rPr>
                <w:sz w:val="20"/>
                <w:szCs w:val="20"/>
                <w:color w:val="auto"/>
              </w:rPr>
            </w:pPr>
            <w:r>
              <w:rPr>
                <w:rFonts w:ascii="Arial" w:cs="Arial" w:eastAsia="Arial" w:hAnsi="Arial"/>
                <w:sz w:val="14"/>
                <w:szCs w:val="14"/>
                <w:color w:val="auto"/>
              </w:rPr>
              <w:t xml:space="preserve">Selfserved Sales </w:t>
            </w:r>
            <w:r>
              <w:rPr>
                <w:rFonts w:ascii="Arial" w:cs="Arial" w:eastAsia="Arial" w:hAnsi="Arial"/>
                <w:sz w:val="22"/>
                <w:szCs w:val="22"/>
                <w:color w:val="auto"/>
                <w:vertAlign w:val="superscript"/>
              </w:rPr>
              <w:t>(1)</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258,734</w:t>
            </w:r>
          </w:p>
        </w:tc>
        <w:tc>
          <w:tcPr>
            <w:tcW w:w="900" w:type="dxa"/>
            <w:vAlign w:val="bottom"/>
          </w:tcPr>
          <w:p>
            <w:pPr>
              <w:jc w:val="right"/>
              <w:spacing w:after="0"/>
              <w:rPr>
                <w:sz w:val="20"/>
                <w:szCs w:val="20"/>
                <w:color w:val="auto"/>
              </w:rPr>
            </w:pPr>
            <w:r>
              <w:rPr>
                <w:rFonts w:ascii="Arial" w:cs="Arial" w:eastAsia="Arial" w:hAnsi="Arial"/>
                <w:sz w:val="16"/>
                <w:szCs w:val="16"/>
                <w:color w:val="auto"/>
              </w:rPr>
              <w:t>376,945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421,675</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11.9%</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63.0%</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1,031,029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1,401,616</w:t>
            </w: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35.9%</w:t>
            </w:r>
          </w:p>
        </w:tc>
      </w:tr>
      <w:tr>
        <w:trPr>
          <w:trHeight w:val="196"/>
        </w:trPr>
        <w:tc>
          <w:tcPr>
            <w:tcW w:w="22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Digital Sales </w:t>
            </w:r>
            <w:r>
              <w:rPr>
                <w:rFonts w:ascii="Arial" w:cs="Arial" w:eastAsia="Arial" w:hAnsi="Arial"/>
                <w:sz w:val="22"/>
                <w:szCs w:val="22"/>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620,133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879,604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926,953</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2,038,468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3,352,517</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64.5%</w:t>
            </w:r>
          </w:p>
        </w:tc>
      </w:tr>
      <w:tr>
        <w:trPr>
          <w:trHeight w:val="25"/>
        </w:trPr>
        <w:tc>
          <w:tcPr>
            <w:tcW w:w="2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2260" w:type="dxa"/>
            <w:vAlign w:val="bottom"/>
          </w:tcPr>
          <w:p>
            <w:pPr>
              <w:spacing w:after="0"/>
              <w:rPr>
                <w:sz w:val="20"/>
                <w:szCs w:val="20"/>
                <w:color w:val="auto"/>
              </w:rPr>
            </w:pPr>
            <w:r>
              <w:rPr>
                <w:rFonts w:ascii="Arial" w:cs="Arial" w:eastAsia="Arial" w:hAnsi="Arial"/>
                <w:sz w:val="16"/>
                <w:szCs w:val="16"/>
                <w:b w:val="1"/>
                <w:bCs w:val="1"/>
                <w:color w:val="auto"/>
              </w:rPr>
              <w:t>Total Sales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2,396,464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2,357,481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2,721,707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6"/>
              </w:rPr>
              <w:t>15.4%</w:t>
            </w: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13.6%</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7,539,926</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9,754,508</w:t>
            </w: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29.4%</w:t>
            </w:r>
          </w:p>
        </w:tc>
      </w:tr>
      <w:tr>
        <w:trPr>
          <w:trHeight w:val="20"/>
        </w:trPr>
        <w:tc>
          <w:tcPr>
            <w:tcW w:w="2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hanging="471"/>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Sales made through ATMs and Kioskos BCP.</w:t>
      </w:r>
    </w:p>
    <w:p>
      <w:pPr>
        <w:spacing w:after="0" w:line="23" w:lineRule="exact"/>
        <w:rPr>
          <w:rFonts w:ascii="Arial" w:cs="Arial" w:eastAsia="Arial" w:hAnsi="Arial"/>
          <w:sz w:val="16"/>
          <w:szCs w:val="16"/>
          <w:color w:val="auto"/>
        </w:rPr>
      </w:pPr>
    </w:p>
    <w:p>
      <w:pPr>
        <w:ind w:left="580" w:hanging="471"/>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Sales made through Mobile Banking, Internet Banking, Yape and other digital channels.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Self-service sales registered growth of 46% for Savings Accounts and 15% for Advance on Wages in 2021.</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Among Digital channels, YoY growth in Advance on Wages was noteworthy, along with expansion in Insurance (+395%) and Personal Loans (+132%). It is important to note that YoY growth in 2021 has been led by digital channels. This year, the team’s efforts were focused on improving service channels’ operating stability and cybersecurity to bolster client satisfaction.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10.1.4 Optimization of BCP’s Physical Network</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advance of client migration to digital channels has spurred an optimization of BCP’s physical network. The optimization process entails closing branches and increasing the number of Agentes and ATMs to complement our transactional capacity. This involves remodeling and reviewing branch designs to reflect the importance of commercial roles.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BCP Points of Contact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change (units)</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236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 20</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 21</w:t>
            </w:r>
          </w:p>
        </w:tc>
        <w:tc>
          <w:tcPr>
            <w:tcW w:w="1120" w:type="dxa"/>
            <w:vAlign w:val="bottom"/>
          </w:tcPr>
          <w:p>
            <w:pPr>
              <w:jc w:val="right"/>
              <w:ind w:right="238"/>
              <w:spacing w:after="0"/>
              <w:rPr>
                <w:sz w:val="20"/>
                <w:szCs w:val="20"/>
                <w:color w:val="auto"/>
              </w:rPr>
            </w:pPr>
            <w:r>
              <w:rPr>
                <w:rFonts w:ascii="Arial" w:cs="Arial" w:eastAsia="Arial" w:hAnsi="Arial"/>
                <w:sz w:val="16"/>
                <w:szCs w:val="16"/>
                <w:b w:val="1"/>
                <w:bCs w:val="1"/>
                <w:color w:val="auto"/>
              </w:rPr>
              <w:t>Dec 21</w:t>
            </w:r>
          </w:p>
        </w:tc>
        <w:tc>
          <w:tcPr>
            <w:tcW w:w="220" w:type="dxa"/>
            <w:vAlign w:val="bottom"/>
          </w:tcPr>
          <w:p>
            <w:pPr>
              <w:spacing w:after="0"/>
              <w:rPr>
                <w:sz w:val="16"/>
                <w:szCs w:val="16"/>
                <w:color w:val="auto"/>
              </w:rPr>
            </w:pPr>
          </w:p>
        </w:tc>
        <w:tc>
          <w:tcPr>
            <w:tcW w:w="740" w:type="dxa"/>
            <w:vAlign w:val="bottom"/>
          </w:tcPr>
          <w:p>
            <w:pPr>
              <w:ind w:left="400"/>
              <w:spacing w:after="0"/>
              <w:rPr>
                <w:sz w:val="20"/>
                <w:szCs w:val="20"/>
                <w:color w:val="auto"/>
              </w:rPr>
            </w:pPr>
            <w:r>
              <w:rPr>
                <w:rFonts w:ascii="Arial" w:cs="Arial" w:eastAsia="Arial" w:hAnsi="Arial"/>
                <w:sz w:val="16"/>
                <w:szCs w:val="16"/>
                <w:b w:val="1"/>
                <w:bCs w:val="1"/>
                <w:color w:val="auto"/>
                <w:w w:val="92"/>
              </w:rPr>
              <w:t>QoQ</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8"/>
              <w:spacing w:after="0"/>
              <w:rPr>
                <w:sz w:val="20"/>
                <w:szCs w:val="20"/>
                <w:color w:val="auto"/>
              </w:rPr>
            </w:pPr>
            <w:r>
              <w:rPr>
                <w:rFonts w:ascii="Arial" w:cs="Arial" w:eastAsia="Arial" w:hAnsi="Arial"/>
                <w:sz w:val="16"/>
                <w:szCs w:val="16"/>
                <w:b w:val="1"/>
                <w:bCs w:val="1"/>
                <w:color w:val="auto"/>
                <w:w w:val="89"/>
              </w:rPr>
              <w:t>YoY</w:t>
            </w:r>
          </w:p>
        </w:tc>
        <w:tc>
          <w:tcPr>
            <w:tcW w:w="120" w:type="dxa"/>
            <w:vAlign w:val="bottom"/>
          </w:tcPr>
          <w:p>
            <w:pPr>
              <w:spacing w:after="0"/>
              <w:rPr>
                <w:sz w:val="16"/>
                <w:szCs w:val="16"/>
                <w:color w:val="auto"/>
              </w:rPr>
            </w:pPr>
          </w:p>
        </w:tc>
      </w:tr>
      <w:tr>
        <w:trPr>
          <w:trHeight w:val="189"/>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Branches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6"/>
                <w:szCs w:val="16"/>
                <w:color w:val="auto"/>
              </w:rPr>
            </w:pPr>
          </w:p>
        </w:tc>
      </w:tr>
      <w:tr>
        <w:trPr>
          <w:trHeight w:val="196"/>
        </w:trPr>
        <w:tc>
          <w:tcPr>
            <w:tcW w:w="2360" w:type="dxa"/>
            <w:vAlign w:val="bottom"/>
          </w:tcPr>
          <w:p>
            <w:pPr>
              <w:spacing w:after="0"/>
              <w:rPr>
                <w:sz w:val="20"/>
                <w:szCs w:val="20"/>
                <w:color w:val="auto"/>
              </w:rPr>
            </w:pPr>
            <w:r>
              <w:rPr>
                <w:rFonts w:ascii="Arial" w:cs="Arial" w:eastAsia="Arial" w:hAnsi="Arial"/>
                <w:sz w:val="16"/>
                <w:szCs w:val="16"/>
                <w:color w:val="auto"/>
              </w:rPr>
              <w:t>ATMs</w:t>
            </w:r>
          </w:p>
        </w:tc>
        <w:tc>
          <w:tcPr>
            <w:tcW w:w="1120" w:type="dxa"/>
            <w:vAlign w:val="bottom"/>
          </w:tcPr>
          <w:p>
            <w:pPr>
              <w:jc w:val="right"/>
              <w:spacing w:after="0"/>
              <w:rPr>
                <w:sz w:val="20"/>
                <w:szCs w:val="20"/>
                <w:color w:val="auto"/>
              </w:rPr>
            </w:pPr>
            <w:r>
              <w:rPr>
                <w:rFonts w:ascii="Arial" w:cs="Arial" w:eastAsia="Arial" w:hAnsi="Arial"/>
                <w:sz w:val="16"/>
                <w:szCs w:val="16"/>
                <w:color w:val="auto"/>
              </w:rPr>
              <w:t>2,317</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2,248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2,222</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r>
      <w:tr>
        <w:trPr>
          <w:trHeight w:val="196"/>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Agentes BCP</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8,054</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1,056</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1,051</w:t>
            </w:r>
          </w:p>
        </w:tc>
      </w:tr>
      <w:tr>
        <w:trPr>
          <w:trHeight w:val="20"/>
        </w:trPr>
        <w:tc>
          <w:tcPr>
            <w:tcW w:w="23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6"/>
                <w:szCs w:val="16"/>
                <w:b w:val="1"/>
                <w:bCs w:val="1"/>
                <w:color w:val="auto"/>
              </w:rPr>
              <w:t>Total BCP's Network</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9,708</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9,605</w:t>
            </w: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10,633</w:t>
            </w:r>
          </w:p>
        </w:tc>
        <w:tc>
          <w:tcPr>
            <w:tcW w:w="74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1,028</w:t>
            </w: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925</w:t>
            </w:r>
          </w:p>
        </w:tc>
      </w:tr>
      <w:tr>
        <w:trPr>
          <w:trHeight w:val="25"/>
        </w:trPr>
        <w:tc>
          <w:tcPr>
            <w:tcW w:w="2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0" w:lineRule="exact"/>
        <w:rPr>
          <w:sz w:val="20"/>
          <w:szCs w:val="20"/>
          <w:color w:val="auto"/>
        </w:rPr>
      </w:pPr>
    </w:p>
    <w:p>
      <w:pPr>
        <w:spacing w:after="0" w:line="238"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10.1.5 Disruptive Initiatives – Yape</w:t>
      </w: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Yape is an application for money transfers and payments via a mobile phone or single QR code. The purpose of this app is to replace the use of cash for small-ticket, recurrent transfers or payments for services. Today, Yape’s ambition is more beyond this:</w:t>
      </w:r>
    </w:p>
    <w:p>
      <w:pPr>
        <w:spacing w:after="0" w:line="167" w:lineRule="exact"/>
        <w:rPr>
          <w:sz w:val="20"/>
          <w:szCs w:val="20"/>
          <w:color w:val="auto"/>
        </w:rPr>
      </w:pPr>
    </w:p>
    <w:p>
      <w:pPr>
        <w:ind w:left="880" w:hanging="587"/>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become a SuperApp.</w:t>
      </w:r>
    </w:p>
    <w:p>
      <w:pPr>
        <w:spacing w:after="0" w:line="23" w:lineRule="exact"/>
        <w:rPr>
          <w:rFonts w:ascii="Arial" w:cs="Arial" w:eastAsia="Arial" w:hAnsi="Arial"/>
          <w:sz w:val="16"/>
          <w:szCs w:val="16"/>
          <w:color w:val="auto"/>
        </w:rPr>
      </w:pPr>
    </w:p>
    <w:p>
      <w:pPr>
        <w:ind w:left="880" w:hanging="587"/>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contribute advancing efforts to financially include more Peruvians who have no access to banking services.</w:t>
      </w:r>
    </w:p>
    <w:p>
      <w:pPr>
        <w:spacing w:after="0" w:line="12" w:lineRule="exact"/>
        <w:rPr>
          <w:rFonts w:ascii="Arial" w:cs="Arial" w:eastAsia="Arial" w:hAnsi="Arial"/>
          <w:sz w:val="16"/>
          <w:szCs w:val="16"/>
          <w:color w:val="auto"/>
        </w:rPr>
      </w:pPr>
    </w:p>
    <w:p>
      <w:pPr>
        <w:ind w:left="880" w:hanging="587"/>
        <w:spacing w:after="0"/>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become the main digital channel through which companies sell in Peru.</w:t>
      </w:r>
    </w:p>
    <w:p>
      <w:pPr>
        <w:sectPr>
          <w:pgSz w:w="11900" w:h="16838" w:orient="portrait"/>
          <w:cols w:equalWidth="0" w:num="1">
            <w:col w:w="11240"/>
          </w:cols>
          <w:pgMar w:left="320" w:top="765" w:right="339" w:bottom="1440" w:gutter="0" w:footer="0" w:header="0"/>
        </w:sectPr>
      </w:pPr>
    </w:p>
    <w:p>
      <w:pPr>
        <w:spacing w:after="0" w:line="209" w:lineRule="exact"/>
        <w:rPr>
          <w:sz w:val="20"/>
          <w:szCs w:val="20"/>
          <w:color w:val="auto"/>
        </w:rPr>
      </w:pPr>
    </w:p>
    <w:p>
      <w:pPr>
        <w:jc w:val="center"/>
        <w:ind w:right="1640"/>
        <w:spacing w:after="0"/>
        <w:rPr>
          <w:sz w:val="20"/>
          <w:szCs w:val="20"/>
          <w:color w:val="auto"/>
        </w:rPr>
      </w:pPr>
      <w:r>
        <w:rPr>
          <w:rFonts w:ascii="Arial" w:cs="Arial" w:eastAsia="Arial" w:hAnsi="Arial"/>
          <w:sz w:val="20"/>
          <w:szCs w:val="20"/>
          <w:b w:val="1"/>
          <w:bCs w:val="1"/>
          <w:color w:val="auto"/>
        </w:rPr>
        <w:t>Yape users evolution</w:t>
      </w:r>
    </w:p>
    <w:p>
      <w:pPr>
        <w:spacing w:after="0" w:line="13" w:lineRule="exact"/>
        <w:rPr>
          <w:sz w:val="20"/>
          <w:szCs w:val="20"/>
          <w:color w:val="auto"/>
        </w:rPr>
      </w:pPr>
    </w:p>
    <w:p>
      <w:pPr>
        <w:jc w:val="center"/>
        <w:ind w:right="1640"/>
        <w:spacing w:after="0"/>
        <w:rPr>
          <w:sz w:val="20"/>
          <w:szCs w:val="20"/>
          <w:color w:val="auto"/>
        </w:rPr>
      </w:pPr>
      <w:r>
        <w:rPr>
          <w:rFonts w:ascii="Arial" w:cs="Arial" w:eastAsia="Arial" w:hAnsi="Arial"/>
          <w:sz w:val="17"/>
          <w:szCs w:val="17"/>
          <w:color w:val="auto"/>
        </w:rPr>
        <w:t>Expressed in million of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158115</wp:posOffset>
            </wp:positionV>
            <wp:extent cx="2664460" cy="13246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64460" cy="1324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Yape users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172085</wp:posOffset>
            </wp:positionV>
            <wp:extent cx="2439035" cy="11918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39035" cy="119189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7040" w:space="720"/>
            <w:col w:w="3480"/>
          </w:cols>
          <w:pgMar w:left="32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number of Yape users continues to register sharp growth and we reached the 8.4 million user mark at the end of 2021. This growth was strengthened by the creation of Yapecard in May 2020, which allows users to open a digital account solely with an ID (no bank account required). Currently, 54% of Yape users are active on a monthly basis.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auto"/>
        </w:rPr>
        <w:t>Yape, mainly through YapeCard, has spurred the financial inclusion of 1.6 million people in Peru. Yapecard acted as a successful conduit for government pandemic relief payments, which began in November 2020. This has generated a useful platform to capture new users who were not previously banked.</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20"/>
          <w:szCs w:val="20"/>
          <w:color w:val="auto"/>
        </w:rPr>
        <w:t>Finally, if we look at the current composition of Yape users, BCP clients represent 56% of total users; Yapecard, 38% (+4% with regard to Sept-21); and users of associated financial institutions, 5%. Additionally, 19% of users are microbusinesses, which have digitalized their charges and transactions through Yape.</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500" w:type="dxa"/>
            <w:vAlign w:val="bottom"/>
          </w:tcPr>
          <w:p>
            <w:pPr>
              <w:jc w:val="center"/>
              <w:ind w:right="162"/>
              <w:spacing w:after="0"/>
              <w:rPr>
                <w:sz w:val="20"/>
                <w:szCs w:val="20"/>
                <w:color w:val="auto"/>
              </w:rPr>
            </w:pPr>
            <w:r>
              <w:rPr>
                <w:rFonts w:ascii="Arial" w:cs="Arial" w:eastAsia="Arial" w:hAnsi="Arial"/>
                <w:sz w:val="20"/>
                <w:szCs w:val="20"/>
                <w:b w:val="1"/>
                <w:bCs w:val="1"/>
                <w:color w:val="auto"/>
                <w:w w:val="87"/>
              </w:rPr>
              <w:t>Evolución de volumen transado mensual y ticket promedio por</w:t>
            </w:r>
          </w:p>
        </w:tc>
        <w:tc>
          <w:tcPr>
            <w:tcW w:w="5660" w:type="dxa"/>
            <w:vAlign w:val="bottom"/>
          </w:tcPr>
          <w:p>
            <w:pPr>
              <w:ind w:left="260"/>
              <w:spacing w:after="0"/>
              <w:rPr>
                <w:sz w:val="20"/>
                <w:szCs w:val="20"/>
                <w:color w:val="auto"/>
              </w:rPr>
            </w:pPr>
            <w:r>
              <w:rPr>
                <w:rFonts w:ascii="Arial" w:cs="Arial" w:eastAsia="Arial" w:hAnsi="Arial"/>
                <w:sz w:val="20"/>
                <w:szCs w:val="20"/>
                <w:color w:val="auto"/>
                <w:w w:val="99"/>
              </w:rPr>
              <w:t>The monthly transaction volume through Yape began to grow</w:t>
            </w:r>
          </w:p>
        </w:tc>
        <w:tc>
          <w:tcPr>
            <w:tcW w:w="0" w:type="dxa"/>
            <w:vAlign w:val="bottom"/>
          </w:tcPr>
          <w:p>
            <w:pPr>
              <w:spacing w:after="0"/>
              <w:rPr>
                <w:sz w:val="1"/>
                <w:szCs w:val="1"/>
                <w:color w:val="auto"/>
              </w:rPr>
            </w:pPr>
          </w:p>
        </w:tc>
      </w:tr>
      <w:tr>
        <w:trPr>
          <w:trHeight w:val="227"/>
        </w:trPr>
        <w:tc>
          <w:tcPr>
            <w:tcW w:w="5500" w:type="dxa"/>
            <w:vAlign w:val="bottom"/>
          </w:tcPr>
          <w:p>
            <w:pPr>
              <w:jc w:val="center"/>
              <w:ind w:right="162"/>
              <w:spacing w:after="0" w:line="227" w:lineRule="exact"/>
              <w:rPr>
                <w:sz w:val="20"/>
                <w:szCs w:val="20"/>
                <w:color w:val="auto"/>
              </w:rPr>
            </w:pPr>
            <w:r>
              <w:rPr>
                <w:rFonts w:ascii="Arial" w:cs="Arial" w:eastAsia="Arial" w:hAnsi="Arial"/>
                <w:sz w:val="20"/>
                <w:szCs w:val="20"/>
                <w:b w:val="1"/>
                <w:bCs w:val="1"/>
                <w:color w:val="auto"/>
                <w:w w:val="85"/>
              </w:rPr>
              <w:t>transacción</w:t>
            </w:r>
          </w:p>
        </w:tc>
        <w:tc>
          <w:tcPr>
            <w:tcW w:w="5660" w:type="dxa"/>
            <w:vAlign w:val="bottom"/>
          </w:tcPr>
          <w:p>
            <w:pPr>
              <w:ind w:left="260"/>
              <w:spacing w:after="0" w:line="227" w:lineRule="exact"/>
              <w:rPr>
                <w:sz w:val="20"/>
                <w:szCs w:val="20"/>
                <w:color w:val="auto"/>
              </w:rPr>
            </w:pPr>
            <w:r>
              <w:rPr>
                <w:rFonts w:ascii="Arial" w:cs="Arial" w:eastAsia="Arial" w:hAnsi="Arial"/>
                <w:sz w:val="20"/>
                <w:szCs w:val="20"/>
                <w:color w:val="auto"/>
              </w:rPr>
              <w:t>exponentially in March 2020 due to:</w:t>
            </w:r>
          </w:p>
        </w:tc>
        <w:tc>
          <w:tcPr>
            <w:tcW w:w="0" w:type="dxa"/>
            <w:vAlign w:val="bottom"/>
          </w:tcPr>
          <w:p>
            <w:pPr>
              <w:spacing w:after="0"/>
              <w:rPr>
                <w:sz w:val="1"/>
                <w:szCs w:val="1"/>
                <w:color w:val="auto"/>
              </w:rPr>
            </w:pPr>
          </w:p>
        </w:tc>
      </w:tr>
      <w:tr>
        <w:trPr>
          <w:trHeight w:val="249"/>
        </w:trPr>
        <w:tc>
          <w:tcPr>
            <w:tcW w:w="5500" w:type="dxa"/>
            <w:vAlign w:val="bottom"/>
          </w:tcPr>
          <w:p>
            <w:pPr>
              <w:jc w:val="center"/>
              <w:ind w:right="162"/>
              <w:spacing w:after="0"/>
              <w:rPr>
                <w:sz w:val="20"/>
                <w:szCs w:val="20"/>
                <w:color w:val="auto"/>
              </w:rPr>
            </w:pPr>
            <w:r>
              <w:rPr>
                <w:rFonts w:ascii="Arial" w:cs="Arial" w:eastAsia="Arial" w:hAnsi="Arial"/>
                <w:sz w:val="20"/>
                <w:szCs w:val="20"/>
                <w:color w:val="auto"/>
                <w:w w:val="87"/>
              </w:rPr>
              <w:t>Volumen expresado en millones de soles</w:t>
            </w:r>
          </w:p>
        </w:tc>
        <w:tc>
          <w:tcPr>
            <w:tcW w:w="5660" w:type="dxa"/>
            <w:vAlign w:val="bottom"/>
            <w:vMerge w:val="restart"/>
          </w:tcPr>
          <w:p>
            <w:pPr>
              <w:ind w:left="260"/>
              <w:spacing w:after="0"/>
              <w:rPr>
                <w:sz w:val="20"/>
                <w:szCs w:val="20"/>
                <w:color w:val="auto"/>
              </w:rPr>
            </w:pPr>
            <w:r>
              <w:rPr>
                <w:rFonts w:ascii="Arial" w:cs="Arial" w:eastAsia="Arial" w:hAnsi="Arial"/>
                <w:sz w:val="16"/>
                <w:szCs w:val="16"/>
                <w:color w:val="auto"/>
              </w:rPr>
              <w:t>(i) Migration from using cash to using Yape.</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5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0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6"/>
                <w:szCs w:val="16"/>
                <w:color w:val="auto"/>
              </w:rPr>
              <w:t>(ii) The penetration of Yapecard in non-banked segments.</w:t>
            </w:r>
          </w:p>
        </w:tc>
        <w:tc>
          <w:tcPr>
            <w:tcW w:w="0" w:type="dxa"/>
            <w:vAlign w:val="bottom"/>
          </w:tcPr>
          <w:p>
            <w:pPr>
              <w:spacing w:after="0"/>
              <w:rPr>
                <w:sz w:val="1"/>
                <w:szCs w:val="1"/>
                <w:color w:val="auto"/>
              </w:rPr>
            </w:pPr>
          </w:p>
        </w:tc>
      </w:tr>
      <w:tr>
        <w:trPr>
          <w:trHeight w:val="424"/>
        </w:trPr>
        <w:tc>
          <w:tcPr>
            <w:tcW w:w="550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20"/>
                <w:szCs w:val="20"/>
                <w:color w:val="auto"/>
                <w:w w:val="90"/>
              </w:rPr>
              <w:t>The average ticket per transaction was S/66 this past year, which is</w:t>
            </w:r>
          </w:p>
        </w:tc>
        <w:tc>
          <w:tcPr>
            <w:tcW w:w="0" w:type="dxa"/>
            <w:vAlign w:val="bottom"/>
          </w:tcPr>
          <w:p>
            <w:pPr>
              <w:spacing w:after="0"/>
              <w:rPr>
                <w:sz w:val="1"/>
                <w:szCs w:val="1"/>
                <w:color w:val="auto"/>
              </w:rPr>
            </w:pPr>
          </w:p>
        </w:tc>
      </w:tr>
      <w:tr>
        <w:trPr>
          <w:trHeight w:val="221"/>
        </w:trPr>
        <w:tc>
          <w:tcPr>
            <w:tcW w:w="5500" w:type="dxa"/>
            <w:vAlign w:val="bottom"/>
          </w:tcPr>
          <w:p>
            <w:pPr>
              <w:spacing w:after="0"/>
              <w:rPr>
                <w:sz w:val="19"/>
                <w:szCs w:val="19"/>
                <w:color w:val="auto"/>
              </w:rPr>
            </w:pPr>
          </w:p>
        </w:tc>
        <w:tc>
          <w:tcPr>
            <w:tcW w:w="5660" w:type="dxa"/>
            <w:vAlign w:val="bottom"/>
          </w:tcPr>
          <w:p>
            <w:pPr>
              <w:ind w:left="260"/>
              <w:spacing w:after="0" w:line="221" w:lineRule="exact"/>
              <w:rPr>
                <w:sz w:val="20"/>
                <w:szCs w:val="20"/>
                <w:color w:val="auto"/>
              </w:rPr>
            </w:pPr>
            <w:r>
              <w:rPr>
                <w:rFonts w:ascii="Arial" w:cs="Arial" w:eastAsia="Arial" w:hAnsi="Arial"/>
                <w:sz w:val="20"/>
                <w:szCs w:val="20"/>
                <w:color w:val="auto"/>
                <w:w w:val="93"/>
              </w:rPr>
              <w:t>evidence that Yape is basically used for small amounts. As such,</w:t>
            </w:r>
          </w:p>
        </w:tc>
        <w:tc>
          <w:tcPr>
            <w:tcW w:w="0" w:type="dxa"/>
            <w:vAlign w:val="bottom"/>
          </w:tcPr>
          <w:p>
            <w:pPr>
              <w:spacing w:after="0"/>
              <w:rPr>
                <w:sz w:val="1"/>
                <w:szCs w:val="1"/>
                <w:color w:val="auto"/>
              </w:rPr>
            </w:pPr>
          </w:p>
        </w:tc>
      </w:tr>
      <w:tr>
        <w:trPr>
          <w:trHeight w:val="221"/>
        </w:trPr>
        <w:tc>
          <w:tcPr>
            <w:tcW w:w="5500" w:type="dxa"/>
            <w:vAlign w:val="bottom"/>
          </w:tcPr>
          <w:p>
            <w:pPr>
              <w:spacing w:after="0"/>
              <w:rPr>
                <w:sz w:val="19"/>
                <w:szCs w:val="19"/>
                <w:color w:val="auto"/>
              </w:rPr>
            </w:pPr>
          </w:p>
        </w:tc>
        <w:tc>
          <w:tcPr>
            <w:tcW w:w="5660" w:type="dxa"/>
            <w:vAlign w:val="bottom"/>
          </w:tcPr>
          <w:p>
            <w:pPr>
              <w:ind w:left="260"/>
              <w:spacing w:after="0" w:line="221" w:lineRule="exact"/>
              <w:rPr>
                <w:sz w:val="20"/>
                <w:szCs w:val="20"/>
                <w:color w:val="auto"/>
              </w:rPr>
            </w:pPr>
            <w:r>
              <w:rPr>
                <w:rFonts w:ascii="Arial" w:cs="Arial" w:eastAsia="Arial" w:hAnsi="Arial"/>
                <w:sz w:val="20"/>
                <w:szCs w:val="20"/>
                <w:color w:val="auto"/>
                <w:w w:val="97"/>
              </w:rPr>
              <w:t>Yape directly competes with cash and not with mobile banking</w:t>
            </w:r>
          </w:p>
        </w:tc>
        <w:tc>
          <w:tcPr>
            <w:tcW w:w="0" w:type="dxa"/>
            <w:vAlign w:val="bottom"/>
          </w:tcPr>
          <w:p>
            <w:pPr>
              <w:spacing w:after="0"/>
              <w:rPr>
                <w:sz w:val="1"/>
                <w:szCs w:val="1"/>
                <w:color w:val="auto"/>
              </w:rPr>
            </w:pPr>
          </w:p>
        </w:tc>
      </w:tr>
      <w:tr>
        <w:trPr>
          <w:trHeight w:val="221"/>
        </w:trPr>
        <w:tc>
          <w:tcPr>
            <w:tcW w:w="5500" w:type="dxa"/>
            <w:vAlign w:val="bottom"/>
          </w:tcPr>
          <w:p>
            <w:pPr>
              <w:spacing w:after="0"/>
              <w:rPr>
                <w:sz w:val="19"/>
                <w:szCs w:val="19"/>
                <w:color w:val="auto"/>
              </w:rPr>
            </w:pPr>
          </w:p>
        </w:tc>
        <w:tc>
          <w:tcPr>
            <w:tcW w:w="5660" w:type="dxa"/>
            <w:vAlign w:val="bottom"/>
          </w:tcPr>
          <w:p>
            <w:pPr>
              <w:ind w:left="260"/>
              <w:spacing w:after="0" w:line="221" w:lineRule="exact"/>
              <w:rPr>
                <w:sz w:val="20"/>
                <w:szCs w:val="20"/>
                <w:color w:val="auto"/>
              </w:rPr>
            </w:pPr>
            <w:r>
              <w:rPr>
                <w:rFonts w:ascii="Arial" w:cs="Arial" w:eastAsia="Arial" w:hAnsi="Arial"/>
                <w:sz w:val="20"/>
                <w:szCs w:val="20"/>
                <w:color w:val="auto"/>
                <w:w w:val="95"/>
              </w:rPr>
              <w:t>applications from financial institutions, which are used for larger</w:t>
            </w:r>
          </w:p>
        </w:tc>
        <w:tc>
          <w:tcPr>
            <w:tcW w:w="0" w:type="dxa"/>
            <w:vAlign w:val="bottom"/>
          </w:tcPr>
          <w:p>
            <w:pPr>
              <w:spacing w:after="0"/>
              <w:rPr>
                <w:sz w:val="1"/>
                <w:szCs w:val="1"/>
                <w:color w:val="auto"/>
              </w:rPr>
            </w:pPr>
          </w:p>
        </w:tc>
      </w:tr>
      <w:tr>
        <w:trPr>
          <w:trHeight w:val="249"/>
        </w:trPr>
        <w:tc>
          <w:tcPr>
            <w:tcW w:w="550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Arial" w:cs="Arial" w:eastAsia="Arial" w:hAnsi="Arial"/>
                <w:sz w:val="20"/>
                <w:szCs w:val="20"/>
                <w:color w:val="auto"/>
              </w:rPr>
              <w:t>transactions.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-955675</wp:posOffset>
            </wp:positionV>
            <wp:extent cx="2844165" cy="13169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44165" cy="131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10.2 Mibanco’s Hybrid Model</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10.2.1 Disbursements generated through leads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200"/>
        </w:trPr>
        <w:tc>
          <w:tcPr>
            <w:tcW w:w="4140" w:type="dxa"/>
            <w:vAlign w:val="bottom"/>
          </w:tcPr>
          <w:p>
            <w:pPr>
              <w:jc w:val="center"/>
              <w:ind w:right="418"/>
              <w:spacing w:after="0"/>
              <w:rPr>
                <w:sz w:val="20"/>
                <w:szCs w:val="20"/>
                <w:color w:val="auto"/>
              </w:rPr>
            </w:pPr>
            <w:r>
              <w:rPr>
                <w:rFonts w:ascii="Arial" w:cs="Arial" w:eastAsia="Arial" w:hAnsi="Arial"/>
                <w:sz w:val="16"/>
                <w:szCs w:val="16"/>
                <w:b w:val="1"/>
                <w:bCs w:val="1"/>
                <w:color w:val="auto"/>
                <w:w w:val="90"/>
              </w:rPr>
              <w:t>Evolution of disbursements generated through leads</w:t>
            </w:r>
          </w:p>
        </w:tc>
        <w:tc>
          <w:tcPr>
            <w:tcW w:w="6100" w:type="dxa"/>
            <w:vAlign w:val="bottom"/>
          </w:tcPr>
          <w:p>
            <w:pPr>
              <w:ind w:left="500"/>
              <w:spacing w:after="0"/>
              <w:rPr>
                <w:sz w:val="20"/>
                <w:szCs w:val="20"/>
                <w:color w:val="auto"/>
              </w:rPr>
            </w:pPr>
            <w:r>
              <w:rPr>
                <w:rFonts w:ascii="Arial" w:cs="Arial" w:eastAsia="Arial" w:hAnsi="Arial"/>
                <w:sz w:val="16"/>
                <w:szCs w:val="16"/>
                <w:color w:val="auto"/>
                <w:w w:val="96"/>
              </w:rPr>
              <w:t>Mibanco’s hybrid model in based on the capacity to generate loans through leads.</w:t>
            </w:r>
          </w:p>
        </w:tc>
      </w:tr>
      <w:tr>
        <w:trPr>
          <w:trHeight w:val="196"/>
        </w:trPr>
        <w:tc>
          <w:tcPr>
            <w:tcW w:w="4140" w:type="dxa"/>
            <w:vAlign w:val="bottom"/>
          </w:tcPr>
          <w:p>
            <w:pPr>
              <w:jc w:val="center"/>
              <w:ind w:right="438"/>
              <w:spacing w:after="0"/>
              <w:rPr>
                <w:sz w:val="20"/>
                <w:szCs w:val="20"/>
                <w:color w:val="auto"/>
              </w:rPr>
            </w:pPr>
            <w:r>
              <w:rPr>
                <w:rFonts w:ascii="Arial" w:cs="Arial" w:eastAsia="Arial" w:hAnsi="Arial"/>
                <w:sz w:val="16"/>
                <w:szCs w:val="16"/>
                <w:color w:val="auto"/>
                <w:w w:val="93"/>
              </w:rPr>
              <w:t>Expressed on million of soles</w:t>
            </w:r>
          </w:p>
        </w:tc>
        <w:tc>
          <w:tcPr>
            <w:tcW w:w="6100" w:type="dxa"/>
            <w:vAlign w:val="bottom"/>
          </w:tcPr>
          <w:p>
            <w:pPr>
              <w:ind w:left="500"/>
              <w:spacing w:after="0"/>
              <w:rPr>
                <w:sz w:val="20"/>
                <w:szCs w:val="20"/>
                <w:color w:val="auto"/>
              </w:rPr>
            </w:pPr>
            <w:r>
              <w:rPr>
                <w:rFonts w:ascii="Arial" w:cs="Arial" w:eastAsia="Arial" w:hAnsi="Arial"/>
                <w:sz w:val="16"/>
                <w:szCs w:val="16"/>
                <w:color w:val="auto"/>
              </w:rPr>
              <w:t>Mibanco  initiated  efforts  to  use  client  data  analysis  before  the  pandemic.</w:t>
            </w:r>
          </w:p>
        </w:tc>
      </w:tr>
      <w:tr>
        <w:trPr>
          <w:trHeight w:val="196"/>
        </w:trPr>
        <w:tc>
          <w:tcPr>
            <w:tcW w:w="4140" w:type="dxa"/>
            <w:vAlign w:val="bottom"/>
          </w:tcPr>
          <w:p>
            <w:pPr>
              <w:spacing w:after="0"/>
              <w:rPr>
                <w:sz w:val="17"/>
                <w:szCs w:val="17"/>
                <w:color w:val="auto"/>
              </w:rPr>
            </w:pPr>
          </w:p>
        </w:tc>
        <w:tc>
          <w:tcPr>
            <w:tcW w:w="6100" w:type="dxa"/>
            <w:vAlign w:val="bottom"/>
          </w:tcPr>
          <w:p>
            <w:pPr>
              <w:ind w:left="500"/>
              <w:spacing w:after="0"/>
              <w:rPr>
                <w:sz w:val="20"/>
                <w:szCs w:val="20"/>
                <w:color w:val="auto"/>
              </w:rPr>
            </w:pPr>
            <w:r>
              <w:rPr>
                <w:rFonts w:ascii="Arial" w:cs="Arial" w:eastAsia="Arial" w:hAnsi="Arial"/>
                <w:sz w:val="16"/>
                <w:szCs w:val="16"/>
                <w:color w:val="auto"/>
                <w:w w:val="95"/>
              </w:rPr>
              <w:t>Nonetheless, it was not until post-2020 (initiation of economic reactivation) that the</w:t>
            </w:r>
          </w:p>
        </w:tc>
      </w:tr>
      <w:tr>
        <w:trPr>
          <w:trHeight w:val="208"/>
        </w:trPr>
        <w:tc>
          <w:tcPr>
            <w:tcW w:w="414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Arial" w:cs="Arial" w:eastAsia="Arial" w:hAnsi="Arial"/>
                <w:sz w:val="16"/>
                <w:szCs w:val="16"/>
                <w:color w:val="auto"/>
              </w:rPr>
              <w:t>lead process’s power to generate loans became fully evident.</w:t>
            </w:r>
          </w:p>
        </w:tc>
      </w:tr>
      <w:tr>
        <w:trPr>
          <w:trHeight w:val="381"/>
        </w:trPr>
        <w:tc>
          <w:tcPr>
            <w:tcW w:w="4140" w:type="dxa"/>
            <w:vAlign w:val="bottom"/>
          </w:tcPr>
          <w:p>
            <w:pPr>
              <w:spacing w:after="0"/>
              <w:rPr>
                <w:sz w:val="24"/>
                <w:szCs w:val="24"/>
                <w:color w:val="auto"/>
              </w:rPr>
            </w:pPr>
          </w:p>
        </w:tc>
        <w:tc>
          <w:tcPr>
            <w:tcW w:w="6100" w:type="dxa"/>
            <w:vAlign w:val="bottom"/>
          </w:tcPr>
          <w:p>
            <w:pPr>
              <w:ind w:left="500"/>
              <w:spacing w:after="0"/>
              <w:rPr>
                <w:sz w:val="20"/>
                <w:szCs w:val="20"/>
                <w:color w:val="auto"/>
              </w:rPr>
            </w:pPr>
            <w:r>
              <w:rPr>
                <w:rFonts w:ascii="Arial" w:cs="Arial" w:eastAsia="Arial" w:hAnsi="Arial"/>
                <w:sz w:val="16"/>
                <w:szCs w:val="16"/>
                <w:color w:val="auto"/>
                <w:w w:val="95"/>
              </w:rPr>
              <w:t>In  4Q21,  73%  of  disbursement  balances  were  generated  through  leads.  This</w:t>
            </w:r>
          </w:p>
        </w:tc>
      </w:tr>
      <w:tr>
        <w:trPr>
          <w:trHeight w:val="196"/>
        </w:trPr>
        <w:tc>
          <w:tcPr>
            <w:tcW w:w="4140" w:type="dxa"/>
            <w:vAlign w:val="bottom"/>
          </w:tcPr>
          <w:p>
            <w:pPr>
              <w:spacing w:after="0"/>
              <w:rPr>
                <w:sz w:val="17"/>
                <w:szCs w:val="17"/>
                <w:color w:val="auto"/>
              </w:rPr>
            </w:pPr>
          </w:p>
        </w:tc>
        <w:tc>
          <w:tcPr>
            <w:tcW w:w="6100" w:type="dxa"/>
            <w:vAlign w:val="bottom"/>
          </w:tcPr>
          <w:p>
            <w:pPr>
              <w:ind w:left="500"/>
              <w:spacing w:after="0"/>
              <w:rPr>
                <w:sz w:val="20"/>
                <w:szCs w:val="20"/>
                <w:color w:val="auto"/>
              </w:rPr>
            </w:pPr>
            <w:r>
              <w:rPr>
                <w:rFonts w:ascii="Arial" w:cs="Arial" w:eastAsia="Arial" w:hAnsi="Arial"/>
                <w:sz w:val="16"/>
                <w:szCs w:val="16"/>
                <w:color w:val="auto"/>
                <w:w w:val="95"/>
              </w:rPr>
              <w:t>represented growth of 4% with regard to the figure in 3Q21 and 22% with regard to</w:t>
            </w:r>
          </w:p>
        </w:tc>
      </w:tr>
      <w:tr>
        <w:trPr>
          <w:trHeight w:val="208"/>
        </w:trPr>
        <w:tc>
          <w:tcPr>
            <w:tcW w:w="414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Arial" w:cs="Arial" w:eastAsia="Arial" w:hAnsi="Arial"/>
                <w:sz w:val="16"/>
                <w:szCs w:val="16"/>
                <w:color w:val="auto"/>
              </w:rPr>
              <w:t>4Q20’s print.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-622300</wp:posOffset>
            </wp:positionV>
            <wp:extent cx="2804795" cy="1558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04795" cy="155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10.2.2 Disbursements through alternative channels</w:t>
      </w:r>
    </w:p>
    <w:p>
      <w:pPr>
        <w:spacing w:after="0" w:line="218"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In 2020, to better meet the needs of Mibanco’s clients, we began to make loan disbursements through alternative channels. This has allowed clients to receive disbursed amounts directly through internet home banking or via mobile banking, eliminating the need to visit a branch.</w:t>
      </w:r>
    </w:p>
    <w:p>
      <w:pPr>
        <w:spacing w:after="0" w:line="118" w:lineRule="exact"/>
        <w:rPr>
          <w:sz w:val="20"/>
          <w:szCs w:val="20"/>
          <w:color w:val="auto"/>
        </w:rPr>
      </w:pPr>
    </w:p>
    <w:tbl>
      <w:tblPr>
        <w:tblLayout w:type="fixed"/>
        <w:tblInd w:w="840" w:type="dxa"/>
        <w:tblCellMar>
          <w:top w:w="0" w:type="dxa"/>
          <w:left w:w="0" w:type="dxa"/>
          <w:bottom w:w="0" w:type="dxa"/>
          <w:right w:w="0" w:type="dxa"/>
        </w:tblCellMar>
      </w:tblPr>
      <w:tr>
        <w:trPr>
          <w:trHeight w:val="200"/>
        </w:trPr>
        <w:tc>
          <w:tcPr>
            <w:tcW w:w="4380" w:type="dxa"/>
            <w:vAlign w:val="bottom"/>
          </w:tcPr>
          <w:p>
            <w:pPr>
              <w:jc w:val="center"/>
              <w:ind w:right="338"/>
              <w:spacing w:after="0"/>
              <w:rPr>
                <w:sz w:val="20"/>
                <w:szCs w:val="20"/>
                <w:color w:val="auto"/>
              </w:rPr>
            </w:pPr>
            <w:r>
              <w:rPr>
                <w:rFonts w:ascii="Arial" w:cs="Arial" w:eastAsia="Arial" w:hAnsi="Arial"/>
                <w:sz w:val="16"/>
                <w:szCs w:val="16"/>
                <w:b w:val="1"/>
                <w:bCs w:val="1"/>
                <w:color w:val="auto"/>
                <w:w w:val="91"/>
              </w:rPr>
              <w:t>Evolution of disbursements through alternative channels</w:t>
            </w:r>
          </w:p>
        </w:tc>
        <w:tc>
          <w:tcPr>
            <w:tcW w:w="6020" w:type="dxa"/>
            <w:vAlign w:val="bottom"/>
          </w:tcPr>
          <w:p>
            <w:pPr>
              <w:ind w:left="420"/>
              <w:spacing w:after="0"/>
              <w:rPr>
                <w:sz w:val="20"/>
                <w:szCs w:val="20"/>
                <w:color w:val="auto"/>
              </w:rPr>
            </w:pPr>
            <w:r>
              <w:rPr>
                <w:rFonts w:ascii="Arial" w:cs="Arial" w:eastAsia="Arial" w:hAnsi="Arial"/>
                <w:sz w:val="16"/>
                <w:szCs w:val="16"/>
                <w:color w:val="auto"/>
                <w:w w:val="94"/>
              </w:rPr>
              <w:t>In the fourth quarter of 2020, loan disbursement through alternative channels began</w:t>
            </w:r>
          </w:p>
        </w:tc>
      </w:tr>
      <w:tr>
        <w:trPr>
          <w:trHeight w:val="208"/>
        </w:trPr>
        <w:tc>
          <w:tcPr>
            <w:tcW w:w="4380" w:type="dxa"/>
            <w:vAlign w:val="bottom"/>
          </w:tcPr>
          <w:p>
            <w:pPr>
              <w:jc w:val="center"/>
              <w:ind w:right="358"/>
              <w:spacing w:after="0"/>
              <w:rPr>
                <w:sz w:val="20"/>
                <w:szCs w:val="20"/>
                <w:color w:val="auto"/>
              </w:rPr>
            </w:pPr>
            <w:r>
              <w:rPr>
                <w:rFonts w:ascii="Arial" w:cs="Arial" w:eastAsia="Arial" w:hAnsi="Arial"/>
                <w:sz w:val="16"/>
                <w:szCs w:val="16"/>
                <w:color w:val="auto"/>
                <w:w w:val="90"/>
              </w:rPr>
              <w:t>Expressed on thousands of operations</w:t>
            </w:r>
          </w:p>
        </w:tc>
        <w:tc>
          <w:tcPr>
            <w:tcW w:w="6020" w:type="dxa"/>
            <w:vAlign w:val="bottom"/>
          </w:tcPr>
          <w:p>
            <w:pPr>
              <w:ind w:left="420"/>
              <w:spacing w:after="0"/>
              <w:rPr>
                <w:sz w:val="20"/>
                <w:szCs w:val="20"/>
                <w:color w:val="auto"/>
              </w:rPr>
            </w:pPr>
            <w:r>
              <w:rPr>
                <w:rFonts w:ascii="Arial" w:cs="Arial" w:eastAsia="Arial" w:hAnsi="Arial"/>
                <w:sz w:val="16"/>
                <w:szCs w:val="16"/>
                <w:color w:val="auto"/>
              </w:rPr>
              <w:t>to pick up, in line with an increase in total disbursements due to:</w:t>
            </w:r>
          </w:p>
        </w:tc>
      </w:tr>
      <w:tr>
        <w:trPr>
          <w:trHeight w:val="381"/>
        </w:trPr>
        <w:tc>
          <w:tcPr>
            <w:tcW w:w="4380" w:type="dxa"/>
            <w:vAlign w:val="bottom"/>
          </w:tcPr>
          <w:p>
            <w:pPr>
              <w:spacing w:after="0"/>
              <w:rPr>
                <w:sz w:val="24"/>
                <w:szCs w:val="24"/>
                <w:color w:val="auto"/>
              </w:rPr>
            </w:pPr>
          </w:p>
        </w:tc>
        <w:tc>
          <w:tcPr>
            <w:tcW w:w="6020" w:type="dxa"/>
            <w:vAlign w:val="bottom"/>
          </w:tcPr>
          <w:p>
            <w:pPr>
              <w:ind w:left="420"/>
              <w:spacing w:after="0"/>
              <w:rPr>
                <w:sz w:val="20"/>
                <w:szCs w:val="20"/>
                <w:color w:val="auto"/>
              </w:rPr>
            </w:pPr>
            <w:r>
              <w:rPr>
                <w:rFonts w:ascii="Arial" w:cs="Arial" w:eastAsia="Arial" w:hAnsi="Arial"/>
                <w:sz w:val="16"/>
                <w:szCs w:val="16"/>
                <w:color w:val="auto"/>
              </w:rPr>
              <w:t>(i)   The country’s economic reactivation</w:t>
            </w:r>
          </w:p>
        </w:tc>
      </w:tr>
      <w:tr>
        <w:trPr>
          <w:trHeight w:val="208"/>
        </w:trPr>
        <w:tc>
          <w:tcPr>
            <w:tcW w:w="438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6"/>
                <w:szCs w:val="16"/>
                <w:color w:val="auto"/>
              </w:rPr>
              <w:t>(ii)  The second Reactiva program, which focused on microbusinesses.</w:t>
            </w:r>
          </w:p>
        </w:tc>
      </w:tr>
      <w:tr>
        <w:trPr>
          <w:trHeight w:val="381"/>
        </w:trPr>
        <w:tc>
          <w:tcPr>
            <w:tcW w:w="4380" w:type="dxa"/>
            <w:vAlign w:val="bottom"/>
          </w:tcPr>
          <w:p>
            <w:pPr>
              <w:spacing w:after="0"/>
              <w:rPr>
                <w:sz w:val="24"/>
                <w:szCs w:val="24"/>
                <w:color w:val="auto"/>
              </w:rPr>
            </w:pPr>
          </w:p>
        </w:tc>
        <w:tc>
          <w:tcPr>
            <w:tcW w:w="6020" w:type="dxa"/>
            <w:vAlign w:val="bottom"/>
          </w:tcPr>
          <w:p>
            <w:pPr>
              <w:ind w:left="420"/>
              <w:spacing w:after="0"/>
              <w:rPr>
                <w:sz w:val="20"/>
                <w:szCs w:val="20"/>
                <w:color w:val="auto"/>
              </w:rPr>
            </w:pPr>
            <w:r>
              <w:rPr>
                <w:rFonts w:ascii="Arial" w:cs="Arial" w:eastAsia="Arial" w:hAnsi="Arial"/>
                <w:sz w:val="16"/>
                <w:szCs w:val="16"/>
                <w:color w:val="auto"/>
                <w:w w:val="98"/>
              </w:rPr>
              <w:t>In 4Q21, disbursements through alternative channels accounted for 41% of total</w:t>
            </w:r>
          </w:p>
        </w:tc>
      </w:tr>
      <w:tr>
        <w:trPr>
          <w:trHeight w:val="208"/>
        </w:trPr>
        <w:tc>
          <w:tcPr>
            <w:tcW w:w="438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6"/>
                <w:szCs w:val="16"/>
                <w:color w:val="auto"/>
                <w:w w:val="91"/>
              </w:rPr>
              <w:t>disbursements and represented 11.2% of the total amount disbursed over the quarter.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-746760</wp:posOffset>
            </wp:positionV>
            <wp:extent cx="2789555" cy="1565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89555" cy="156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4720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78550" cy="747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62" w:name="page63"/>
    <w:bookmarkEnd w:id="62"/>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11. Economic Outlook</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11.1. Peru: Economic Forecast</w:t>
      </w:r>
    </w:p>
    <w:p>
      <w:pPr>
        <w:spacing w:after="0" w:line="123" w:lineRule="exact"/>
        <w:rPr>
          <w:sz w:val="20"/>
          <w:szCs w:val="20"/>
          <w:color w:val="auto"/>
        </w:rPr>
      </w:pPr>
    </w:p>
    <w:tbl>
      <w:tblPr>
        <w:tblLayout w:type="fixed"/>
        <w:tblInd w:w="2" w:type="dxa"/>
        <w:tblCellMar>
          <w:top w:w="0" w:type="dxa"/>
          <w:left w:w="0" w:type="dxa"/>
          <w:bottom w:w="0" w:type="dxa"/>
          <w:right w:w="0" w:type="dxa"/>
        </w:tblCellMar>
      </w:tblPr>
      <w:tr>
        <w:trPr>
          <w:trHeight w:val="310"/>
        </w:trPr>
        <w:tc>
          <w:tcPr>
            <w:tcW w:w="3060" w:type="dxa"/>
            <w:vAlign w:val="bottom"/>
          </w:tcPr>
          <w:p>
            <w:pPr>
              <w:spacing w:after="0"/>
              <w:rPr>
                <w:sz w:val="20"/>
                <w:szCs w:val="20"/>
                <w:color w:val="auto"/>
              </w:rPr>
            </w:pPr>
            <w:r>
              <w:rPr>
                <w:rFonts w:ascii="Arial" w:cs="Arial" w:eastAsia="Arial" w:hAnsi="Arial"/>
                <w:sz w:val="16"/>
                <w:szCs w:val="16"/>
                <w:b w:val="1"/>
                <w:bCs w:val="1"/>
                <w:color w:val="auto"/>
              </w:rPr>
              <w:t>Peru</w:t>
            </w:r>
          </w:p>
        </w:tc>
        <w:tc>
          <w:tcPr>
            <w:tcW w:w="140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4"/>
                <w:szCs w:val="24"/>
                <w:color w:val="auto"/>
              </w:rPr>
            </w:pPr>
          </w:p>
        </w:tc>
        <w:tc>
          <w:tcPr>
            <w:tcW w:w="1180" w:type="dxa"/>
            <w:vAlign w:val="bottom"/>
          </w:tcPr>
          <w:p>
            <w:pPr>
              <w:jc w:val="right"/>
              <w:ind w:right="338"/>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4"/>
                <w:szCs w:val="24"/>
                <w:color w:val="auto"/>
              </w:rPr>
            </w:pPr>
          </w:p>
        </w:tc>
        <w:tc>
          <w:tcPr>
            <w:tcW w:w="1200" w:type="dxa"/>
            <w:vAlign w:val="bottom"/>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4"/>
                <w:szCs w:val="24"/>
                <w:color w:val="auto"/>
              </w:rPr>
            </w:pPr>
          </w:p>
        </w:tc>
        <w:tc>
          <w:tcPr>
            <w:tcW w:w="1200" w:type="dxa"/>
            <w:vAlign w:val="bottom"/>
          </w:tcPr>
          <w:p>
            <w:pPr>
              <w:jc w:val="right"/>
              <w:ind w:right="258"/>
              <w:spacing w:after="0"/>
              <w:rPr>
                <w:sz w:val="20"/>
                <w:szCs w:val="20"/>
                <w:color w:val="auto"/>
              </w:rPr>
            </w:pPr>
            <w:r>
              <w:rPr>
                <w:rFonts w:ascii="Arial" w:cs="Arial" w:eastAsia="Arial" w:hAnsi="Arial"/>
                <w:sz w:val="16"/>
                <w:szCs w:val="16"/>
                <w:b w:val="1"/>
                <w:bCs w:val="1"/>
                <w:color w:val="auto"/>
              </w:rPr>
              <w:t xml:space="preserve">2021 </w:t>
            </w:r>
            <w:r>
              <w:rPr>
                <w:rFonts w:ascii="Arial" w:cs="Arial" w:eastAsia="Arial" w:hAnsi="Arial"/>
                <w:sz w:val="27"/>
                <w:szCs w:val="27"/>
                <w:b w:val="1"/>
                <w:bCs w:val="1"/>
                <w:color w:val="auto"/>
                <w:vertAlign w:val="superscript"/>
              </w:rPr>
              <w:t>(3)</w:t>
            </w:r>
          </w:p>
        </w:tc>
        <w:tc>
          <w:tcPr>
            <w:tcW w:w="440" w:type="dxa"/>
            <w:vAlign w:val="bottom"/>
          </w:tcPr>
          <w:p>
            <w:pPr>
              <w:spacing w:after="0"/>
              <w:rPr>
                <w:sz w:val="24"/>
                <w:szCs w:val="24"/>
                <w:color w:val="auto"/>
              </w:rPr>
            </w:pPr>
          </w:p>
        </w:tc>
        <w:tc>
          <w:tcPr>
            <w:tcW w:w="1220" w:type="dxa"/>
            <w:vAlign w:val="bottom"/>
          </w:tcPr>
          <w:p>
            <w:pPr>
              <w:jc w:val="right"/>
              <w:ind w:right="278"/>
              <w:spacing w:after="0"/>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27"/>
                <w:szCs w:val="27"/>
                <w:b w:val="1"/>
                <w:bCs w:val="1"/>
                <w:color w:val="auto"/>
                <w:vertAlign w:val="superscript"/>
              </w:rPr>
              <w:t>(3)</w:t>
            </w:r>
          </w:p>
        </w:tc>
        <w:tc>
          <w:tcPr>
            <w:tcW w:w="220" w:type="dxa"/>
            <w:vAlign w:val="bottom"/>
          </w:tcPr>
          <w:p>
            <w:pPr>
              <w:spacing w:after="0"/>
              <w:rPr>
                <w:sz w:val="24"/>
                <w:szCs w:val="24"/>
                <w:color w:val="auto"/>
              </w:rPr>
            </w:pPr>
          </w:p>
        </w:tc>
      </w:tr>
      <w:tr>
        <w:trPr>
          <w:trHeight w:val="189"/>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GDP (US$ Millions)</w:t>
            </w: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225,430</w:t>
            </w:r>
          </w:p>
        </w:tc>
        <w:tc>
          <w:tcPr>
            <w:tcW w:w="44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230,966</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205,188</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222,001</w:t>
            </w:r>
          </w:p>
        </w:tc>
        <w:tc>
          <w:tcPr>
            <w:tcW w:w="4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227,655</w:t>
            </w:r>
          </w:p>
        </w:tc>
        <w:tc>
          <w:tcPr>
            <w:tcW w:w="220" w:type="dxa"/>
            <w:vAlign w:val="bottom"/>
            <w:shd w:val="clear" w:color="auto" w:fill="CCEEFF"/>
          </w:tcPr>
          <w:p>
            <w:pPr>
              <w:spacing w:after="0"/>
              <w:rPr>
                <w:sz w:val="16"/>
                <w:szCs w:val="16"/>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Real GDP (% change)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2.2</w:t>
            </w:r>
          </w:p>
        </w:tc>
        <w:tc>
          <w:tcPr>
            <w:tcW w:w="1200" w:type="dxa"/>
            <w:vAlign w:val="bottom"/>
          </w:tcPr>
          <w:p>
            <w:pPr>
              <w:jc w:val="right"/>
              <w:spacing w:after="0"/>
              <w:rPr>
                <w:sz w:val="20"/>
                <w:szCs w:val="20"/>
                <w:color w:val="auto"/>
              </w:rPr>
            </w:pPr>
            <w:r>
              <w:rPr>
                <w:rFonts w:ascii="Arial" w:cs="Arial" w:eastAsia="Arial" w:hAnsi="Arial"/>
                <w:sz w:val="16"/>
                <w:szCs w:val="16"/>
                <w:color w:val="auto"/>
              </w:rPr>
              <w:t>-11.0</w:t>
            </w:r>
          </w:p>
        </w:tc>
        <w:tc>
          <w:tcPr>
            <w:tcW w:w="440" w:type="dxa"/>
            <w:vAlign w:val="bottom"/>
          </w:tcPr>
          <w:p>
            <w:pPr>
              <w:spacing w:after="0"/>
              <w:rPr>
                <w:sz w:val="17"/>
                <w:szCs w:val="17"/>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13.0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GDP per capita (US$)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7,001</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7,107</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6,289</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6,730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6,835</w:t>
            </w: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Domestic demand (% change)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2.3</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-9.4</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14.6</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Total consumption (% change)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2.9</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3.0</w:t>
            </w: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Private Consumption (% change)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3.0</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3.0</w:t>
            </w: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Gross fixed investment (as % GDP)</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21.1</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18.7</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20.9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w:t>
            </w: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Private Investment (% change)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4.0</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0.0-2.0</w:t>
            </w: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Public Investment (% change)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w:t>
            </w: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6"/>
        </w:trPr>
        <w:tc>
          <w:tcPr>
            <w:tcW w:w="3060" w:type="dxa"/>
            <w:vAlign w:val="bottom"/>
          </w:tcPr>
          <w:p>
            <w:pPr>
              <w:spacing w:after="0" w:line="197" w:lineRule="exact"/>
              <w:rPr>
                <w:sz w:val="20"/>
                <w:szCs w:val="20"/>
                <w:color w:val="auto"/>
              </w:rPr>
            </w:pPr>
            <w:r>
              <w:rPr>
                <w:rFonts w:ascii="Arial" w:cs="Arial" w:eastAsia="Arial" w:hAnsi="Arial"/>
                <w:sz w:val="14"/>
                <w:szCs w:val="14"/>
                <w:color w:val="auto"/>
              </w:rPr>
              <w:t>System loan growth (% change)</w:t>
            </w:r>
            <w:r>
              <w:rPr>
                <w:rFonts w:ascii="Arial" w:cs="Arial" w:eastAsia="Arial" w:hAnsi="Arial"/>
                <w:sz w:val="22"/>
                <w:szCs w:val="22"/>
                <w:color w:val="auto"/>
                <w:vertAlign w:val="superscript"/>
              </w:rPr>
              <w:t>(1)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6.4</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12.9</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6.5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189"/>
        </w:trPr>
        <w:tc>
          <w:tcPr>
            <w:tcW w:w="30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3"/>
                <w:szCs w:val="13"/>
                <w:color w:val="auto"/>
              </w:rPr>
              <w:t>Inflation</w:t>
            </w:r>
            <w:r>
              <w:rPr>
                <w:rFonts w:ascii="Arial" w:cs="Arial" w:eastAsia="Arial" w:hAnsi="Arial"/>
                <w:sz w:val="21"/>
                <w:szCs w:val="21"/>
                <w:color w:val="auto"/>
                <w:vertAlign w:val="superscript"/>
              </w:rPr>
              <w:t>(2)</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4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CEEFF"/>
            </w:tcBorders>
            <w:shd w:val="clear" w:color="auto" w:fill="CCEEFF"/>
          </w:tcPr>
          <w:p>
            <w:pPr>
              <w:spacing w:after="0"/>
              <w:rPr>
                <w:sz w:val="16"/>
                <w:szCs w:val="16"/>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auto"/>
              </w:rPr>
              <w:t>Reference Rate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440" w:type="dxa"/>
            <w:vAlign w:val="bottom"/>
          </w:tcPr>
          <w:p>
            <w:pPr>
              <w:spacing w:after="0"/>
              <w:rPr>
                <w:sz w:val="16"/>
                <w:szCs w:val="16"/>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2.25</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0.25</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2.50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4.50</w:t>
            </w:r>
          </w:p>
        </w:tc>
      </w:tr>
      <w:tr>
        <w:trPr>
          <w:trHeight w:val="189"/>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Exchange rate, end of period</w:t>
            </w: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44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20" w:type="dxa"/>
            <w:vAlign w:val="bottom"/>
            <w:shd w:val="clear" w:color="auto" w:fill="CCEEFF"/>
          </w:tcPr>
          <w:p>
            <w:pPr>
              <w:spacing w:after="0"/>
              <w:rPr>
                <w:sz w:val="16"/>
                <w:szCs w:val="16"/>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Exchange rate, (% change)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0.0</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0.0</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0.1</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r>
      <w:tr>
        <w:trPr>
          <w:trHeight w:val="189"/>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Fiscal balance (% GDP)</w:t>
            </w: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4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6"/>
                <w:szCs w:val="16"/>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Public Debt (as % GDP)</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26.8</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34.7</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35.7</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37.5</w:t>
            </w:r>
          </w:p>
        </w:tc>
      </w:tr>
      <w:tr>
        <w:trPr>
          <w:trHeight w:val="189"/>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Trade balance (US$ Millions)</w:t>
            </w: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7,197</w:t>
            </w:r>
          </w:p>
        </w:tc>
        <w:tc>
          <w:tcPr>
            <w:tcW w:w="44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7,750</w:t>
            </w:r>
          </w:p>
        </w:tc>
        <w:tc>
          <w:tcPr>
            <w:tcW w:w="44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220" w:type="dxa"/>
            <w:vAlign w:val="bottom"/>
            <w:shd w:val="clear" w:color="auto" w:fill="CCEEFF"/>
          </w:tcPr>
          <w:p>
            <w:pPr>
              <w:spacing w:after="0"/>
              <w:rPr>
                <w:sz w:val="16"/>
                <w:szCs w:val="16"/>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(As % GDP)</w:t>
            </w:r>
          </w:p>
        </w:tc>
        <w:tc>
          <w:tcPr>
            <w:tcW w:w="1840" w:type="dxa"/>
            <w:vAlign w:val="bottom"/>
            <w:gridSpan w:val="3"/>
          </w:tcPr>
          <w:p>
            <w:pPr>
              <w:jc w:val="right"/>
              <w:ind w:right="300"/>
              <w:spacing w:after="0"/>
              <w:rPr>
                <w:sz w:val="20"/>
                <w:szCs w:val="20"/>
                <w:color w:val="auto"/>
              </w:rPr>
            </w:pPr>
            <w:r>
              <w:rPr>
                <w:rFonts w:ascii="Arial" w:cs="Arial" w:eastAsia="Arial" w:hAnsi="Arial"/>
                <w:sz w:val="16"/>
                <w:szCs w:val="16"/>
                <w:color w:val="auto"/>
              </w:rPr>
              <w:t>3.2%</w:t>
            </w: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2.9%</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3.8%</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6.8%</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Exports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49,066</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47,688</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42,413</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61,000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63,000</w:t>
            </w: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Imports</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41,870</w:t>
            </w:r>
          </w:p>
        </w:tc>
        <w:tc>
          <w:tcPr>
            <w:tcW w:w="440" w:type="dxa"/>
            <w:vAlign w:val="bottom"/>
          </w:tcPr>
          <w:p>
            <w:pPr>
              <w:spacing w:after="0"/>
              <w:rPr>
                <w:sz w:val="17"/>
                <w:szCs w:val="17"/>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41,074</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34,663</w:t>
            </w: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46,000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46,000</w:t>
            </w: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Current account balance (US$ Millions)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-2,397</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1,321</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-4,325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-4,625</w:t>
            </w:r>
          </w:p>
        </w:tc>
      </w:tr>
      <w:tr>
        <w:trPr>
          <w:trHeight w:val="196"/>
        </w:trPr>
        <w:tc>
          <w:tcPr>
            <w:tcW w:w="3060" w:type="dxa"/>
            <w:vAlign w:val="bottom"/>
          </w:tcPr>
          <w:p>
            <w:pPr>
              <w:spacing w:after="0"/>
              <w:rPr>
                <w:sz w:val="20"/>
                <w:szCs w:val="20"/>
                <w:color w:val="auto"/>
              </w:rPr>
            </w:pPr>
            <w:r>
              <w:rPr>
                <w:rFonts w:ascii="Arial" w:cs="Arial" w:eastAsia="Arial" w:hAnsi="Arial"/>
                <w:sz w:val="16"/>
                <w:szCs w:val="16"/>
                <w:color w:val="auto"/>
              </w:rPr>
              <w:t>Current account balance (As % GDP)</w:t>
            </w:r>
          </w:p>
        </w:tc>
        <w:tc>
          <w:tcPr>
            <w:tcW w:w="1840" w:type="dxa"/>
            <w:vAlign w:val="bottom"/>
            <w:gridSpan w:val="3"/>
          </w:tcPr>
          <w:p>
            <w:pPr>
              <w:jc w:val="right"/>
              <w:ind w:right="300"/>
              <w:spacing w:after="0"/>
              <w:rPr>
                <w:sz w:val="20"/>
                <w:szCs w:val="20"/>
                <w:color w:val="auto"/>
              </w:rPr>
            </w:pPr>
            <w:r>
              <w:rPr>
                <w:rFonts w:ascii="Arial" w:cs="Arial" w:eastAsia="Arial" w:hAnsi="Arial"/>
                <w:sz w:val="16"/>
                <w:szCs w:val="16"/>
                <w:color w:val="auto"/>
              </w:rPr>
              <w:t>-1.7%</w:t>
            </w: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-1.5%</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0.5%</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-1.9%</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Net international reserves (US$ Millions)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60,121</w:t>
            </w: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68,316</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74,707</w:t>
            </w: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78,495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78,500</w:t>
            </w:r>
          </w:p>
        </w:tc>
      </w:tr>
      <w:tr>
        <w:trPr>
          <w:trHeight w:val="184"/>
        </w:trPr>
        <w:tc>
          <w:tcPr>
            <w:tcW w:w="3060" w:type="dxa"/>
            <w:vAlign w:val="bottom"/>
          </w:tcPr>
          <w:p>
            <w:pPr>
              <w:spacing w:after="0"/>
              <w:rPr>
                <w:sz w:val="20"/>
                <w:szCs w:val="20"/>
                <w:color w:val="auto"/>
              </w:rPr>
            </w:pPr>
            <w:r>
              <w:rPr>
                <w:rFonts w:ascii="Arial" w:cs="Arial" w:eastAsia="Arial" w:hAnsi="Arial"/>
                <w:sz w:val="16"/>
                <w:szCs w:val="16"/>
                <w:color w:val="auto"/>
              </w:rPr>
              <w:t>(As % GDP)</w:t>
            </w:r>
          </w:p>
        </w:tc>
        <w:tc>
          <w:tcPr>
            <w:tcW w:w="1840" w:type="dxa"/>
            <w:vAlign w:val="bottom"/>
            <w:gridSpan w:val="3"/>
          </w:tcPr>
          <w:p>
            <w:pPr>
              <w:jc w:val="right"/>
              <w:ind w:right="300"/>
              <w:spacing w:after="0"/>
              <w:rPr>
                <w:sz w:val="20"/>
                <w:szCs w:val="20"/>
                <w:color w:val="auto"/>
              </w:rPr>
            </w:pPr>
            <w:r>
              <w:rPr>
                <w:rFonts w:ascii="Arial" w:cs="Arial" w:eastAsia="Arial" w:hAnsi="Arial"/>
                <w:sz w:val="16"/>
                <w:szCs w:val="16"/>
                <w:color w:val="auto"/>
              </w:rPr>
              <w:t>26.7%</w:t>
            </w:r>
          </w:p>
        </w:tc>
        <w:tc>
          <w:tcPr>
            <w:tcW w:w="1620" w:type="dxa"/>
            <w:vAlign w:val="bottom"/>
            <w:gridSpan w:val="2"/>
          </w:tcPr>
          <w:p>
            <w:pPr>
              <w:jc w:val="right"/>
              <w:ind w:right="300"/>
              <w:spacing w:after="0"/>
              <w:rPr>
                <w:sz w:val="20"/>
                <w:szCs w:val="20"/>
                <w:color w:val="auto"/>
              </w:rPr>
            </w:pPr>
            <w:r>
              <w:rPr>
                <w:rFonts w:ascii="Arial" w:cs="Arial" w:eastAsia="Arial" w:hAnsi="Arial"/>
                <w:sz w:val="16"/>
                <w:szCs w:val="16"/>
                <w:color w:val="auto"/>
              </w:rPr>
              <w:t>29.6%</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36.4%</w:t>
            </w: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35.4%</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34.5%</w:t>
            </w:r>
          </w:p>
        </w:tc>
      </w:tr>
      <w:tr>
        <w:trPr>
          <w:trHeight w:val="208"/>
        </w:trPr>
        <w:tc>
          <w:tcPr>
            <w:tcW w:w="3060" w:type="dxa"/>
            <w:vAlign w:val="bottom"/>
          </w:tcPr>
          <w:p>
            <w:pPr>
              <w:spacing w:after="0"/>
              <w:rPr>
                <w:sz w:val="20"/>
                <w:szCs w:val="20"/>
                <w:color w:val="auto"/>
              </w:rPr>
            </w:pPr>
            <w:r>
              <w:rPr>
                <w:rFonts w:ascii="Arial" w:cs="Arial" w:eastAsia="Arial" w:hAnsi="Arial"/>
                <w:sz w:val="16"/>
                <w:szCs w:val="16"/>
                <w:color w:val="auto"/>
              </w:rPr>
              <w:t>(As months of imports)</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6"/>
                <w:szCs w:val="16"/>
                <w:color w:val="auto"/>
              </w:rPr>
              <w:t>20</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5020" cy="132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5020" cy="132715"/>
                    </a:xfrm>
                    <a:prstGeom prst="rect">
                      <a:avLst/>
                    </a:prstGeom>
                    <a:noFill/>
                  </pic:spPr>
                </pic:pic>
              </a:graphicData>
            </a:graphic>
          </wp:anchor>
        </w:drawing>
      </w:r>
    </w:p>
    <w:p>
      <w:pPr>
        <w:ind w:left="2"/>
        <w:spacing w:after="0"/>
        <w:rPr>
          <w:sz w:val="20"/>
          <w:szCs w:val="20"/>
          <w:color w:val="auto"/>
        </w:rPr>
      </w:pPr>
      <w:r>
        <w:rPr>
          <w:rFonts w:ascii="Arial" w:cs="Arial" w:eastAsia="Arial" w:hAnsi="Arial"/>
          <w:sz w:val="20"/>
          <w:szCs w:val="20"/>
          <w:i w:val="1"/>
          <w:iCs w:val="1"/>
          <w:color w:val="auto"/>
        </w:rPr>
        <w:t>Source: INEI, BCRP, and SBS.</w:t>
      </w:r>
    </w:p>
    <w:p>
      <w:pPr>
        <w:ind w:left="282" w:hanging="282"/>
        <w:spacing w:after="0" w:line="231" w:lineRule="auto"/>
        <w:tabs>
          <w:tab w:leader="none" w:pos="282"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Financial System, Current Exchange Rate.</w:t>
      </w:r>
    </w:p>
    <w:p>
      <w:pPr>
        <w:ind w:left="282" w:hanging="282"/>
        <w:spacing w:after="0" w:line="230" w:lineRule="auto"/>
        <w:tabs>
          <w:tab w:leader="none" w:pos="282"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Inflation target: 1% - 3%.</w:t>
      </w:r>
    </w:p>
    <w:p>
      <w:pPr>
        <w:ind w:left="282" w:hanging="282"/>
        <w:spacing w:after="0"/>
        <w:tabs>
          <w:tab w:leader="none" w:pos="282"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Estimates by BCP Economic Research as of December 2021.</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11.2. Main Macroeconomic Variables</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Gross Domestic Product</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(Annual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-3175</wp:posOffset>
            </wp:positionV>
            <wp:extent cx="3209925" cy="12312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09925" cy="123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
        <w:spacing w:after="0"/>
        <w:rPr>
          <w:sz w:val="20"/>
          <w:szCs w:val="20"/>
          <w:color w:val="auto"/>
        </w:rPr>
      </w:pPr>
      <w:r>
        <w:rPr>
          <w:rFonts w:ascii="Arial" w:cs="Arial" w:eastAsia="Arial" w:hAnsi="Arial"/>
          <w:sz w:val="20"/>
          <w:szCs w:val="20"/>
          <w:color w:val="auto"/>
        </w:rPr>
        <w:t>Source: BCRP</w:t>
      </w:r>
    </w:p>
    <w:p>
      <w:pPr>
        <w:spacing w:after="0" w:line="7" w:lineRule="exact"/>
        <w:rPr>
          <w:sz w:val="20"/>
          <w:szCs w:val="20"/>
          <w:color w:val="auto"/>
        </w:rPr>
      </w:pPr>
    </w:p>
    <w:p>
      <w:pPr>
        <w:ind w:left="2"/>
        <w:spacing w:after="0"/>
        <w:rPr>
          <w:sz w:val="20"/>
          <w:szCs w:val="20"/>
          <w:color w:val="auto"/>
        </w:rPr>
      </w:pPr>
      <w:r>
        <w:rPr>
          <w:rFonts w:ascii="Arial" w:cs="Arial" w:eastAsia="Arial" w:hAnsi="Arial"/>
          <w:sz w:val="20"/>
          <w:szCs w:val="20"/>
          <w:i w:val="1"/>
          <w:iCs w:val="1"/>
          <w:color w:val="auto"/>
        </w:rPr>
        <w:t>*Estimate: BCP</w:t>
      </w:r>
    </w:p>
    <w:p>
      <w:pPr>
        <w:spacing w:after="0" w:line="196" w:lineRule="exact"/>
        <w:rPr>
          <w:sz w:val="20"/>
          <w:szCs w:val="20"/>
          <w:color w:val="auto"/>
        </w:rPr>
      </w:pPr>
    </w:p>
    <w:p>
      <w:pPr>
        <w:jc w:val="both"/>
        <w:ind w:left="2"/>
        <w:spacing w:after="0" w:line="237" w:lineRule="auto"/>
        <w:rPr>
          <w:sz w:val="20"/>
          <w:szCs w:val="20"/>
          <w:color w:val="auto"/>
        </w:rPr>
      </w:pPr>
      <w:r>
        <w:rPr>
          <w:rFonts w:ascii="Arial" w:cs="Arial" w:eastAsia="Arial" w:hAnsi="Arial"/>
          <w:sz w:val="20"/>
          <w:szCs w:val="20"/>
          <w:color w:val="auto"/>
        </w:rPr>
        <w:t>In 4Q21, the Peruvian economy is expected to have grown 3.3% YoY (3Q21 11.4%), and 13% in year 2021. For 2022, growth expectations are around 2.5%. The rebound in activity in 2021 is attributable to the reopening of the economy, broad monetary and fiscal stimulus, availability of funds from Administrators of Private Pension Funds (AFP in Spanish) and Severance indemnity accounts (CTS in Spanish), as well as favorable prices of export commodities.</w:t>
      </w:r>
    </w:p>
    <w:p>
      <w:pPr>
        <w:spacing w:after="0" w:line="200" w:lineRule="exact"/>
        <w:rPr>
          <w:sz w:val="20"/>
          <w:szCs w:val="20"/>
          <w:color w:val="auto"/>
        </w:rPr>
      </w:pPr>
    </w:p>
    <w:p>
      <w:pPr>
        <w:spacing w:after="0" w:line="232"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Inflation and Monetary Policy Rate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5640"/>
        <w:spacing w:after="0" w:line="271" w:lineRule="auto"/>
        <w:rPr>
          <w:sz w:val="20"/>
          <w:szCs w:val="20"/>
          <w:color w:val="auto"/>
        </w:rPr>
      </w:pPr>
      <w:r>
        <w:rPr>
          <w:rFonts w:ascii="Arial" w:cs="Arial" w:eastAsia="Arial" w:hAnsi="Arial"/>
          <w:sz w:val="16"/>
          <w:szCs w:val="16"/>
          <w:color w:val="auto"/>
        </w:rPr>
        <w:t>The annual inflation rate closed 4Q21 at 6.4% YoY (3Q21: 5.2%). This print, which represents the highest increase in 13 years, exceeded the upper limit of the BCRP's target range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-387350</wp:posOffset>
            </wp:positionV>
            <wp:extent cx="2961005" cy="16363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61005" cy="1636395"/>
                    </a:xfrm>
                    <a:prstGeom prst="rect">
                      <a:avLst/>
                    </a:prstGeom>
                    <a:noFill/>
                  </pic:spPr>
                </pic:pic>
              </a:graphicData>
            </a:graphic>
          </wp:anchor>
        </w:drawing>
      </w:r>
    </w:p>
    <w:p>
      <w:pPr>
        <w:spacing w:after="0" w:line="142" w:lineRule="exact"/>
        <w:rPr>
          <w:sz w:val="20"/>
          <w:szCs w:val="20"/>
          <w:color w:val="auto"/>
        </w:rPr>
      </w:pPr>
    </w:p>
    <w:p>
      <w:pPr>
        <w:jc w:val="both"/>
        <w:ind w:left="5640"/>
        <w:spacing w:after="0" w:line="266" w:lineRule="auto"/>
        <w:rPr>
          <w:sz w:val="20"/>
          <w:szCs w:val="20"/>
          <w:color w:val="auto"/>
        </w:rPr>
      </w:pPr>
      <w:r>
        <w:rPr>
          <w:rFonts w:ascii="Arial" w:cs="Arial" w:eastAsia="Arial" w:hAnsi="Arial"/>
          <w:sz w:val="16"/>
          <w:szCs w:val="16"/>
          <w:color w:val="auto"/>
        </w:rPr>
        <w:t>The acceleration of inflation in 4Q21 was mainly driven by food and energy, in a context marked by: (i) an increase in international price for oil and agricultural products (in 4Q21 compared to 4Q20, corn prices rose 23%, and wheat 20%) and (ii) the 11% depreciation of the Peruvian sol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Sources: BCRP e INEI</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Inflation excluding food and energy, closed at 3.2% YoY (3Q21: 2.9%).</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Since August, the Central Reserve Bank has responded to increases in inflation and price expectations by raising its reference rate, which went from 0.25% to 2.50% at the end of 2021. Through these measures, the monetary authority hopes to bring inflation expectations back to the target range (1% to 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Fiscal Result and Current Account Balance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of GDP, Quarter)</w:t>
      </w:r>
    </w:p>
    <w:p>
      <w:pPr>
        <w:spacing w:after="0" w:line="202" w:lineRule="exact"/>
        <w:rPr>
          <w:sz w:val="20"/>
          <w:szCs w:val="20"/>
          <w:color w:val="auto"/>
        </w:rPr>
      </w:pPr>
    </w:p>
    <w:p>
      <w:pPr>
        <w:jc w:val="both"/>
        <w:ind w:left="5640"/>
        <w:spacing w:after="0" w:line="266" w:lineRule="auto"/>
        <w:rPr>
          <w:sz w:val="20"/>
          <w:szCs w:val="20"/>
          <w:color w:val="auto"/>
        </w:rPr>
      </w:pPr>
      <w:r>
        <w:rPr>
          <w:rFonts w:ascii="Arial" w:cs="Arial" w:eastAsia="Arial" w:hAnsi="Arial"/>
          <w:sz w:val="16"/>
          <w:szCs w:val="16"/>
          <w:color w:val="auto"/>
        </w:rPr>
        <w:t>The annualized fiscal balance closed 4Q21 at -2.6% of GDP compared to -4.8% in 3Q21 and -8.9% in 4Q20. The notable reduction in the fiscal deficit is mainly attributable to the increase in fiscal revenues, spurred by economic rebound and favorable export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-509270</wp:posOffset>
            </wp:positionV>
            <wp:extent cx="2992120" cy="1667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92120" cy="1667510"/>
                    </a:xfrm>
                    <a:prstGeom prst="rect">
                      <a:avLst/>
                    </a:prstGeom>
                    <a:noFill/>
                  </pic:spPr>
                </pic:pic>
              </a:graphicData>
            </a:graphic>
          </wp:anchor>
        </w:drawing>
      </w:r>
    </w:p>
    <w:p>
      <w:pPr>
        <w:spacing w:after="0" w:line="146" w:lineRule="exact"/>
        <w:rPr>
          <w:sz w:val="20"/>
          <w:szCs w:val="20"/>
          <w:color w:val="auto"/>
        </w:rPr>
      </w:pPr>
    </w:p>
    <w:p>
      <w:pPr>
        <w:jc w:val="both"/>
        <w:ind w:left="5640"/>
        <w:spacing w:after="0" w:line="266" w:lineRule="auto"/>
        <w:rPr>
          <w:sz w:val="20"/>
          <w:szCs w:val="20"/>
          <w:color w:val="auto"/>
        </w:rPr>
      </w:pPr>
      <w:r>
        <w:rPr>
          <w:rFonts w:ascii="Arial" w:cs="Arial" w:eastAsia="Arial" w:hAnsi="Arial"/>
          <w:sz w:val="16"/>
          <w:szCs w:val="16"/>
          <w:color w:val="auto"/>
        </w:rPr>
        <w:t>The copper price at the end of 2021 stood at US$ 4.42/lb, which was 20% higher than the print in 2020 and 58% above the figure registered in 2019. In yearly averages, copper prices rose from US$ 2.80/lb in 2020 to US$ 4.23 in 2021, an increase of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Source: BCRP</w:t>
      </w:r>
    </w:p>
    <w:p>
      <w:pPr>
        <w:spacing w:after="0"/>
        <w:rPr>
          <w:sz w:val="20"/>
          <w:szCs w:val="20"/>
          <w:color w:val="auto"/>
        </w:rPr>
      </w:pPr>
      <w:r>
        <w:rPr>
          <w:rFonts w:ascii="Arial" w:cs="Arial" w:eastAsia="Arial" w:hAnsi="Arial"/>
          <w:sz w:val="13"/>
          <w:szCs w:val="13"/>
          <w:i w:val="1"/>
          <w:iCs w:val="1"/>
          <w:color w:val="auto"/>
        </w:rPr>
        <w:t>*Estimate: BCP</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YoY terms, current revenues at the general government level increased 43.3% in 2021 versus the figure in 2020 (20.6% compared to 2019).</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In this context, the fiscal revenue ratio, expressed as a percentage of GDP, increased to 21.1%, versus 19.7% in 2019 and 17.8% in 2020.</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Non-financial expenses at the general government level increased 9.4% YoY in 2021, (25.7% compared to 2019). This was primarily attributable to spending on gross capital formation (36.1%) and on goods and services (18.7%) to respond to the health emergency, and partially offset by a decrease in transfers to households (-12.7%). The non-financial expenses ratio represented 22.3% of GDP 2021 (2020: 24.7% but still higher than 2019: 20.0%).</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4Q21, the Public Treasury made successful a global bond issuance in USD for 4 billion and in Euros, for 1 billion. These issuances, coupled with issuance of nearly USD 5 billion in 1Q21, brought the total issuance amount in 2021 to USD 10 billion.</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With regard to Credit Rating for Peru´s Long-Run Foreign Currency Debt, in September 2021 the rating agency Moody's Investor lowered Peru's rating to Baa1 from A3 and changed the outlook to Stable from Negative. In October, the rating agency Standard and Poor's maintained Peru's credit rating at BBB+, but lowered the outlook from stable to negative. In October, Fitch Rating downgraded Peru's rating from BBB+ to BBB with a stable outlook.</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terms of external accounts, the current account deficit is expected to stand -1.9% of GDP in 2021 (compared to 0.6% in 2020). Exports are at historic highs: total for January-November 2021 stood at USD 61.8 billion, up +45% compared to 2020 and +30% compared to 2019. Imports totaled USD 47.4 billion; up +38% compared to 2020, and +16% compared to 2019. The terms of trade January-November 2021 rose 13% YoY compared to 2020 and are close to historic highs (June 2021).</w:t>
      </w:r>
    </w:p>
    <w:p>
      <w:pPr>
        <w:spacing w:after="0" w:line="200" w:lineRule="exact"/>
        <w:rPr>
          <w:sz w:val="20"/>
          <w:szCs w:val="20"/>
          <w:color w:val="auto"/>
        </w:rPr>
      </w:pPr>
    </w:p>
    <w:p>
      <w:pPr>
        <w:spacing w:after="0" w:line="232"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ind w:left="50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Exchange Rate</w:t>
      </w:r>
    </w:p>
    <w:p>
      <w:pPr>
        <w:spacing w:after="0" w:line="13"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(PEN per USD)</w:t>
      </w:r>
    </w:p>
    <w:p>
      <w:pPr>
        <w:spacing w:after="0" w:line="202" w:lineRule="exact"/>
        <w:rPr>
          <w:sz w:val="20"/>
          <w:szCs w:val="20"/>
          <w:color w:val="auto"/>
        </w:rPr>
      </w:pPr>
    </w:p>
    <w:p>
      <w:pPr>
        <w:ind w:left="5640" w:right="200"/>
        <w:spacing w:after="0" w:line="266" w:lineRule="auto"/>
        <w:rPr>
          <w:sz w:val="20"/>
          <w:szCs w:val="20"/>
          <w:color w:val="auto"/>
        </w:rPr>
      </w:pPr>
      <w:r>
        <w:rPr>
          <w:rFonts w:ascii="Arial" w:cs="Arial" w:eastAsia="Arial" w:hAnsi="Arial"/>
          <w:sz w:val="16"/>
          <w:szCs w:val="16"/>
          <w:color w:val="auto"/>
        </w:rPr>
        <w:t>The exchange rate closed at USDPEN 3.99 in 4Q21, which represented an appreciation of 3.3% compared to the figure at the end of 3Q21 (USDPEN 4.1345, historic maximum) and a depreciation of 11% compared to the print at the end of 2020 (USDPEN 3.6180).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-509270</wp:posOffset>
            </wp:positionV>
            <wp:extent cx="2906395" cy="1675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06395" cy="1675130"/>
                    </a:xfrm>
                    <a:prstGeom prst="rect">
                      <a:avLst/>
                    </a:prstGeom>
                    <a:noFill/>
                  </pic:spPr>
                </pic:pic>
              </a:graphicData>
            </a:graphic>
          </wp:anchor>
        </w:drawing>
      </w:r>
    </w:p>
    <w:p>
      <w:pPr>
        <w:spacing w:after="0" w:line="146" w:lineRule="exact"/>
        <w:rPr>
          <w:sz w:val="20"/>
          <w:szCs w:val="20"/>
          <w:color w:val="auto"/>
        </w:rPr>
      </w:pPr>
    </w:p>
    <w:p>
      <w:pPr>
        <w:ind w:left="5640" w:right="80"/>
        <w:spacing w:after="0" w:line="266" w:lineRule="auto"/>
        <w:rPr>
          <w:sz w:val="20"/>
          <w:szCs w:val="20"/>
          <w:color w:val="auto"/>
        </w:rPr>
      </w:pPr>
      <w:r>
        <w:rPr>
          <w:rFonts w:ascii="Arial" w:cs="Arial" w:eastAsia="Arial" w:hAnsi="Arial"/>
          <w:sz w:val="16"/>
          <w:szCs w:val="16"/>
          <w:color w:val="auto"/>
        </w:rPr>
        <w:t>It is important to highlight that in the region, the only currency that followed the same trend in 4Q21 was the Mexican Peso, which appreciated (0.5%); the rest in the region’s currencies depreciated as follows: the Brazilian Real (2.4%), the Chilean Peso (5.1%) and the Colombian Peso (6.7%).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Source: SBS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4Q21, the Central Bank made net sales in the spot foreign exchange market for US$2,552 million and accumulated sales for US$11,626 million in 2021. The entity continued to use a set of foreign exchange instruments to mitigate pressures on the exchange rate: at the end of 4Q21, the balance of CDR BCRP stood at PEN 1.4 billion (3Q21: PEN 3.9 billion) while the balance of Foreign Exchange Swaps (sale) was PEN 37.8 billion (3Q21: PEN 29.4 billion).</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Net International Reserves closed 4Q21 US$ 78.5 billion, which topped the level registered in 3Q21 (US$ 76.0 billion) and also surpassed the level reported at the end of 2020 (US$ 74.7 billion). The Central Banks's foreign exchange position stood at US$ 57.3 billion, which represented an increase of US$ 1.4 billion compared to the figure at the end of 3Q21.</w:t>
      </w:r>
    </w:p>
    <w:p>
      <w:pPr>
        <w:spacing w:after="0" w:line="200" w:lineRule="exact"/>
        <w:rPr>
          <w:sz w:val="20"/>
          <w:szCs w:val="20"/>
          <w:color w:val="auto"/>
        </w:rPr>
      </w:pPr>
    </w:p>
    <w:p>
      <w:pPr>
        <w:spacing w:after="0" w:line="230"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Safe Harbor for Forward-Looking Statements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200" w:lineRule="exact"/>
        <w:rPr>
          <w:sz w:val="20"/>
          <w:szCs w:val="20"/>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Economic conditions in Peru;</w:t>
      </w:r>
    </w:p>
    <w:p>
      <w:pPr>
        <w:spacing w:after="0" w:line="23"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occurrence of natural disasters or political or social instability in Peru;</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adequacy of the dividends that our subsidiaries are able to pay to us, which may affect our ability to pay dividends to shareholders and corporate expenses;</w:t>
      </w:r>
    </w:p>
    <w:p>
      <w:pPr>
        <w:spacing w:after="0" w:line="23" w:lineRule="exact"/>
        <w:rPr>
          <w:rFonts w:ascii="Arial" w:cs="Arial" w:eastAsia="Arial" w:hAnsi="Arial"/>
          <w:sz w:val="15"/>
          <w:szCs w:val="15"/>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Performance of, and volatility in, financial markets, including Latin-American and other markets;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frequency, severity and types of insured loss events;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Fluctuations in interest rate levels;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Foreign currency exchange rates, including the Sol/US Dollar exchange rate;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Deterioration in the quality of our loan portfolio;</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Increasing levels of competition in Peru and other markets in which we operate;</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Developments and changes in laws and regulations affecting the financial sector and adoption of new international guidelines;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Changes in the policies of central banks and/or foreign governments;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Effectiveness of our risk management policies and of our operational and security systems;</w:t>
      </w:r>
    </w:p>
    <w:p>
      <w:pPr>
        <w:spacing w:after="0" w:line="12" w:lineRule="exact"/>
        <w:rPr>
          <w:rFonts w:ascii="Arial" w:cs="Arial" w:eastAsia="Arial" w:hAnsi="Arial"/>
          <w:sz w:val="16"/>
          <w:szCs w:val="16"/>
          <w:color w:val="auto"/>
        </w:rPr>
      </w:pP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Losses associated with counterparty exposures;</w:t>
      </w:r>
    </w:p>
    <w:p>
      <w:pPr>
        <w:spacing w:after="0" w:line="12" w:lineRule="exact"/>
        <w:rPr>
          <w:rFonts w:ascii="Arial" w:cs="Arial" w:eastAsia="Arial" w:hAnsi="Arial"/>
          <w:sz w:val="16"/>
          <w:szCs w:val="16"/>
          <w:color w:val="auto"/>
        </w:rPr>
      </w:pPr>
    </w:p>
    <w:p>
      <w:pPr>
        <w:ind w:left="580" w:hanging="287"/>
        <w:spacing w:after="0" w:line="256"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scope of the coronavirus (“COVID-19”) outbreak, actions taken to contain the COVID-19 and related economic effects from such actions and our ability to maintain adequate staffing; and</w:t>
      </w:r>
    </w:p>
    <w:p>
      <w:pPr>
        <w:ind w:left="580" w:hanging="287"/>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Changes in Bermuda laws and regulations applicable to so-called non-resident entities.</w:t>
      </w:r>
    </w:p>
    <w:p>
      <w:pPr>
        <w:spacing w:after="0" w:line="215"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See “Item 3. Key Information—3.D Risk Factors” and “Item 5. Operating and Financial Review and Prospects” in our most recent Annual Report on Form 20-F filed with the U.S. Securities and Exchange Commission for additional information and other such factors.</w:t>
      </w:r>
    </w:p>
    <w:p>
      <w:pPr>
        <w:spacing w:after="0" w:line="11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200" w:lineRule="exact"/>
        <w:rPr>
          <w:sz w:val="20"/>
          <w:szCs w:val="20"/>
          <w:color w:val="auto"/>
        </w:rPr>
      </w:pPr>
    </w:p>
    <w:p>
      <w:pPr>
        <w:spacing w:after="0" w:line="231"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74720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78550" cy="747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20"/>
        <w:spacing w:after="0"/>
        <w:rPr>
          <w:sz w:val="20"/>
          <w:szCs w:val="20"/>
          <w:color w:val="auto"/>
        </w:rPr>
      </w:pPr>
      <w:r>
        <w:rPr>
          <w:rFonts w:ascii="Arial" w:cs="Arial" w:eastAsia="Arial" w:hAnsi="Arial"/>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669925</wp:posOffset>
            </wp:positionV>
            <wp:extent cx="7145020"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22860</wp:posOffset>
            </wp:positionV>
            <wp:extent cx="381635" cy="5842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1440" w:right="111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12.1. Credicorp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CREDICORP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FINANCIAL POSITION</w:t>
      </w:r>
    </w:p>
    <w:p>
      <w:pPr>
        <w:jc w:val="center"/>
        <w:spacing w:after="0"/>
        <w:rPr>
          <w:sz w:val="20"/>
          <w:szCs w:val="20"/>
          <w:color w:val="auto"/>
        </w:rPr>
      </w:pPr>
      <w:r>
        <w:rPr>
          <w:rFonts w:ascii="Arial" w:cs="Arial" w:eastAsia="Arial" w:hAnsi="Arial"/>
          <w:sz w:val="20"/>
          <w:szCs w:val="20"/>
          <w:b w:val="1"/>
          <w:bCs w:val="1"/>
          <w:color w:val="auto"/>
        </w:rPr>
        <w:t>(In S/ thousands, IFRS)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change</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8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2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Dec 2020</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Set 2021</w:t>
            </w:r>
          </w:p>
        </w:tc>
        <w:tc>
          <w:tcPr>
            <w:tcW w:w="1080" w:type="dxa"/>
            <w:vAlign w:val="bottom"/>
          </w:tcPr>
          <w:p>
            <w:pPr>
              <w:ind w:left="220"/>
              <w:spacing w:after="0"/>
              <w:rPr>
                <w:sz w:val="20"/>
                <w:szCs w:val="20"/>
                <w:color w:val="auto"/>
              </w:rPr>
            </w:pPr>
            <w:r>
              <w:rPr>
                <w:rFonts w:ascii="Arial" w:cs="Arial" w:eastAsia="Arial" w:hAnsi="Arial"/>
                <w:sz w:val="16"/>
                <w:szCs w:val="16"/>
                <w:b w:val="1"/>
                <w:bCs w:val="1"/>
                <w:color w:val="auto"/>
              </w:rPr>
              <w:t>Dec 2021</w:t>
            </w:r>
          </w:p>
        </w:tc>
        <w:tc>
          <w:tcPr>
            <w:tcW w:w="220" w:type="dxa"/>
            <w:vAlign w:val="bottom"/>
          </w:tcPr>
          <w:p>
            <w:pPr>
              <w:spacing w:after="0"/>
              <w:rPr>
                <w:sz w:val="16"/>
                <w:szCs w:val="16"/>
                <w:color w:val="auto"/>
              </w:rPr>
            </w:pPr>
          </w:p>
        </w:tc>
        <w:tc>
          <w:tcPr>
            <w:tcW w:w="1640" w:type="dxa"/>
            <w:vAlign w:val="bottom"/>
            <w:gridSpan w:val="3"/>
          </w:tcPr>
          <w:p>
            <w:pPr>
              <w:ind w:left="360"/>
              <w:spacing w:after="0"/>
              <w:rPr>
                <w:sz w:val="20"/>
                <w:szCs w:val="20"/>
                <w:color w:val="auto"/>
              </w:rPr>
            </w:pPr>
            <w:r>
              <w:rPr>
                <w:rFonts w:ascii="Arial" w:cs="Arial" w:eastAsia="Arial" w:hAnsi="Arial"/>
                <w:sz w:val="16"/>
                <w:szCs w:val="16"/>
                <w:b w:val="1"/>
                <w:bCs w:val="1"/>
                <w:color w:val="auto"/>
              </w:rPr>
              <w:t>QoQ</w:t>
            </w:r>
          </w:p>
        </w:tc>
        <w:tc>
          <w:tcPr>
            <w:tcW w:w="760" w:type="dxa"/>
            <w:vAlign w:val="bottom"/>
          </w:tcPr>
          <w:p>
            <w:pPr>
              <w:ind w:left="8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00" w:type="dxa"/>
            <w:vAlign w:val="bottom"/>
            <w:vMerge w:val="continue"/>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0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8,176,612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8,360,631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6,925,332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6"/>
        </w:trPr>
        <w:tc>
          <w:tcPr>
            <w:tcW w:w="480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28,576,382</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36,147,225</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32,395,408</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jc w:val="center"/>
              <w:spacing w:after="0"/>
              <w:rPr>
                <w:sz w:val="20"/>
                <w:szCs w:val="20"/>
                <w:color w:val="auto"/>
              </w:rPr>
            </w:pPr>
            <w:r>
              <w:rPr>
                <w:rFonts w:ascii="Arial" w:cs="Arial" w:eastAsia="Arial" w:hAnsi="Arial"/>
                <w:sz w:val="16"/>
                <w:szCs w:val="16"/>
                <w:b w:val="1"/>
                <w:bCs w:val="1"/>
                <w:color w:val="auto"/>
                <w:w w:val="91"/>
              </w:rPr>
              <w:t>Total cash and due from banks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36,752,994</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44,507,856</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39,320,740</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-11.7%</w:t>
            </w: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w w:val="92"/>
              </w:rPr>
              <w:t>Cash collateral, reverse repurchase agreements and securities borrowing</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2,394,302</w:t>
            </w:r>
          </w:p>
        </w:tc>
        <w:tc>
          <w:tcPr>
            <w:tcW w:w="1080" w:type="dxa"/>
            <w:vAlign w:val="bottom"/>
          </w:tcPr>
          <w:p>
            <w:pPr>
              <w:jc w:val="right"/>
              <w:spacing w:after="0"/>
              <w:rPr>
                <w:sz w:val="20"/>
                <w:szCs w:val="20"/>
                <w:color w:val="auto"/>
              </w:rPr>
            </w:pPr>
            <w:r>
              <w:rPr>
                <w:rFonts w:ascii="Arial" w:cs="Arial" w:eastAsia="Arial" w:hAnsi="Arial"/>
                <w:sz w:val="16"/>
                <w:szCs w:val="16"/>
                <w:color w:val="auto"/>
              </w:rPr>
              <w:t>2,555,337</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1,766,948</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-30.9%</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Fair value through profit or loss investments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6,467,471</w:t>
            </w:r>
          </w:p>
        </w:tc>
        <w:tc>
          <w:tcPr>
            <w:tcW w:w="1080" w:type="dxa"/>
            <w:vAlign w:val="bottom"/>
          </w:tcPr>
          <w:p>
            <w:pPr>
              <w:jc w:val="right"/>
              <w:spacing w:after="0"/>
              <w:rPr>
                <w:sz w:val="20"/>
                <w:szCs w:val="20"/>
                <w:color w:val="auto"/>
              </w:rPr>
            </w:pPr>
            <w:r>
              <w:rPr>
                <w:rFonts w:ascii="Arial" w:cs="Arial" w:eastAsia="Arial" w:hAnsi="Arial"/>
                <w:sz w:val="16"/>
                <w:szCs w:val="16"/>
                <w:color w:val="auto"/>
              </w:rPr>
              <w:t>6,661,600</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5,928,497</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-11.0%</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Fair value through other comprehensive income investments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43,743,889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33,261,505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34,758,443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Amortized cost investments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4,962,382</w:t>
            </w:r>
          </w:p>
        </w:tc>
        <w:tc>
          <w:tcPr>
            <w:tcW w:w="1080" w:type="dxa"/>
            <w:vAlign w:val="bottom"/>
          </w:tcPr>
          <w:p>
            <w:pPr>
              <w:jc w:val="right"/>
              <w:spacing w:after="0"/>
              <w:rPr>
                <w:sz w:val="20"/>
                <w:szCs w:val="20"/>
                <w:color w:val="auto"/>
              </w:rPr>
            </w:pPr>
            <w:r>
              <w:rPr>
                <w:rFonts w:ascii="Arial" w:cs="Arial" w:eastAsia="Arial" w:hAnsi="Arial"/>
                <w:sz w:val="16"/>
                <w:szCs w:val="16"/>
                <w:color w:val="auto"/>
              </w:rPr>
              <w:t>8,187,351</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8,265,559</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Loans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137,659,885</w:t>
            </w:r>
          </w:p>
        </w:tc>
        <w:tc>
          <w:tcPr>
            <w:tcW w:w="1080" w:type="dxa"/>
            <w:vAlign w:val="bottom"/>
          </w:tcPr>
          <w:p>
            <w:pPr>
              <w:jc w:val="right"/>
              <w:spacing w:after="0"/>
              <w:rPr>
                <w:sz w:val="20"/>
                <w:szCs w:val="20"/>
                <w:color w:val="auto"/>
              </w:rPr>
            </w:pPr>
            <w:r>
              <w:rPr>
                <w:rFonts w:ascii="Arial" w:cs="Arial" w:eastAsia="Arial" w:hAnsi="Arial"/>
                <w:sz w:val="16"/>
                <w:szCs w:val="16"/>
                <w:color w:val="auto"/>
              </w:rPr>
              <w:t>146,551,226</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147,597,412</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132,984,154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141,077,541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142,046,154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6"/>
        </w:trPr>
        <w:tc>
          <w:tcPr>
            <w:tcW w:w="4800" w:type="dxa"/>
            <w:vAlign w:val="bottom"/>
          </w:tcPr>
          <w:p>
            <w:pPr>
              <w:ind w:left="140"/>
              <w:spacing w:after="0"/>
              <w:rPr>
                <w:sz w:val="20"/>
                <w:szCs w:val="20"/>
                <w:color w:val="auto"/>
              </w:rPr>
            </w:pPr>
            <w:r>
              <w:rPr>
                <w:rFonts w:ascii="Arial" w:cs="Arial" w:eastAsia="Arial" w:hAnsi="Arial"/>
                <w:sz w:val="16"/>
                <w:szCs w:val="16"/>
                <w:color w:val="auto"/>
              </w:rPr>
              <w:t>Internal overdue loans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4,675,731</w:t>
            </w:r>
          </w:p>
        </w:tc>
        <w:tc>
          <w:tcPr>
            <w:tcW w:w="1080" w:type="dxa"/>
            <w:vAlign w:val="bottom"/>
          </w:tcPr>
          <w:p>
            <w:pPr>
              <w:jc w:val="right"/>
              <w:spacing w:after="0"/>
              <w:rPr>
                <w:sz w:val="20"/>
                <w:szCs w:val="20"/>
                <w:color w:val="auto"/>
              </w:rPr>
            </w:pPr>
            <w:r>
              <w:rPr>
                <w:rFonts w:ascii="Arial" w:cs="Arial" w:eastAsia="Arial" w:hAnsi="Arial"/>
                <w:sz w:val="16"/>
                <w:szCs w:val="16"/>
                <w:color w:val="auto"/>
              </w:rPr>
              <w:t>5,473,685</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5,551,258</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 allowance for loan losses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(9,898,760)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(9,077,449)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(8,477,308)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Loans, net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127,761,125</w:t>
            </w:r>
          </w:p>
        </w:tc>
        <w:tc>
          <w:tcPr>
            <w:tcW w:w="1080" w:type="dxa"/>
            <w:vAlign w:val="bottom"/>
          </w:tcPr>
          <w:p>
            <w:pPr>
              <w:jc w:val="right"/>
              <w:spacing w:after="0"/>
              <w:rPr>
                <w:sz w:val="20"/>
                <w:szCs w:val="20"/>
                <w:color w:val="auto"/>
              </w:rPr>
            </w:pPr>
            <w:r>
              <w:rPr>
                <w:rFonts w:ascii="Arial" w:cs="Arial" w:eastAsia="Arial" w:hAnsi="Arial"/>
                <w:sz w:val="16"/>
                <w:szCs w:val="16"/>
                <w:color w:val="auto"/>
              </w:rPr>
              <w:t>137,473,777</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139,120,104</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Financial assets designated at fair value through profit or loss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823,270</w:t>
            </w:r>
          </w:p>
        </w:tc>
        <w:tc>
          <w:tcPr>
            <w:tcW w:w="1080" w:type="dxa"/>
            <w:vAlign w:val="bottom"/>
          </w:tcPr>
          <w:p>
            <w:pPr>
              <w:jc w:val="right"/>
              <w:spacing w:after="0"/>
              <w:rPr>
                <w:sz w:val="20"/>
                <w:szCs w:val="20"/>
                <w:color w:val="auto"/>
              </w:rPr>
            </w:pPr>
            <w:r>
              <w:rPr>
                <w:rFonts w:ascii="Arial" w:cs="Arial" w:eastAsia="Arial" w:hAnsi="Arial"/>
                <w:sz w:val="16"/>
                <w:szCs w:val="16"/>
                <w:color w:val="auto"/>
              </w:rPr>
              <w:t>981,508</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974,664</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from reinsurers and coinsurers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919,419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1,097,493</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1,198,379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Premiums and other policyholder receivables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937,223</w:t>
            </w:r>
          </w:p>
        </w:tc>
        <w:tc>
          <w:tcPr>
            <w:tcW w:w="1080" w:type="dxa"/>
            <w:vAlign w:val="bottom"/>
          </w:tcPr>
          <w:p>
            <w:pPr>
              <w:jc w:val="right"/>
              <w:spacing w:after="0"/>
              <w:rPr>
                <w:sz w:val="20"/>
                <w:szCs w:val="20"/>
                <w:color w:val="auto"/>
              </w:rPr>
            </w:pPr>
            <w:r>
              <w:rPr>
                <w:rFonts w:ascii="Arial" w:cs="Arial" w:eastAsia="Arial" w:hAnsi="Arial"/>
                <w:sz w:val="16"/>
                <w:szCs w:val="16"/>
                <w:color w:val="auto"/>
              </w:rPr>
              <w:t>801,531</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921,103</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14.9%</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2,077,803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1,911,478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1,895,196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Due from customers on acceptances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455,343</w:t>
            </w:r>
          </w:p>
        </w:tc>
        <w:tc>
          <w:tcPr>
            <w:tcW w:w="1080" w:type="dxa"/>
            <w:vAlign w:val="bottom"/>
          </w:tcPr>
          <w:p>
            <w:pPr>
              <w:jc w:val="right"/>
              <w:spacing w:after="0"/>
              <w:rPr>
                <w:sz w:val="20"/>
                <w:szCs w:val="20"/>
                <w:color w:val="auto"/>
              </w:rPr>
            </w:pPr>
            <w:r>
              <w:rPr>
                <w:rFonts w:ascii="Arial" w:cs="Arial" w:eastAsia="Arial" w:hAnsi="Arial"/>
                <w:sz w:val="16"/>
                <w:szCs w:val="16"/>
                <w:color w:val="auto"/>
              </w:rPr>
              <w:t>776,863</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532,404</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-31.5%</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associates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645,886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648,041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658,697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Intangible assets and goodwill, net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2,639,297</w:t>
            </w:r>
          </w:p>
        </w:tc>
        <w:tc>
          <w:tcPr>
            <w:tcW w:w="1080" w:type="dxa"/>
            <w:vAlign w:val="bottom"/>
          </w:tcPr>
          <w:p>
            <w:pPr>
              <w:jc w:val="right"/>
              <w:spacing w:after="0"/>
              <w:rPr>
                <w:sz w:val="20"/>
                <w:szCs w:val="20"/>
                <w:color w:val="auto"/>
              </w:rPr>
            </w:pPr>
            <w:r>
              <w:rPr>
                <w:rFonts w:ascii="Arial" w:cs="Arial" w:eastAsia="Arial" w:hAnsi="Arial"/>
                <w:sz w:val="16"/>
                <w:szCs w:val="16"/>
                <w:color w:val="auto"/>
              </w:rPr>
              <w:t>2,682,216</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2,710,080</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Other assets </w:t>
            </w:r>
            <w:r>
              <w:rPr>
                <w:rFonts w:ascii="Arial" w:cs="Arial" w:eastAsia="Arial" w:hAnsi="Arial"/>
                <w:sz w:val="22"/>
                <w:szCs w:val="22"/>
                <w:color w:val="auto"/>
                <w:vertAlign w:val="superscript"/>
              </w:rPr>
              <w:t>(1)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6,825,759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9,995,835</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6,771,170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-32.3%</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Total Assets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237,406,163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251,542,391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244,821,984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b w:val="1"/>
                <w:bCs w:val="1"/>
                <w:color w:val="auto"/>
              </w:rPr>
              <w:t>Deposits and obligations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47,623,119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54,546,530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51,851,206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6"/>
        </w:trPr>
        <w:tc>
          <w:tcPr>
            <w:tcW w:w="480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94,742,383</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98,001,838</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98,489,656</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deposits and obligations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142,365,502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152,548,368</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150,340,862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27,923,617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23,363,030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22,013,866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6"/>
        </w:trPr>
        <w:tc>
          <w:tcPr>
            <w:tcW w:w="4800" w:type="dxa"/>
            <w:vAlign w:val="bottom"/>
          </w:tcPr>
          <w:p>
            <w:pPr>
              <w:ind w:left="140"/>
              <w:spacing w:after="0"/>
              <w:rPr>
                <w:sz w:val="20"/>
                <w:szCs w:val="20"/>
                <w:color w:val="auto"/>
              </w:rPr>
            </w:pPr>
            <w:r>
              <w:rPr>
                <w:rFonts w:ascii="Arial" w:cs="Arial" w:eastAsia="Arial" w:hAnsi="Arial"/>
                <w:sz w:val="16"/>
                <w:szCs w:val="16"/>
                <w:color w:val="auto"/>
              </w:rPr>
              <w:t>BCRP instruments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25,734,963</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20,746,109</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19,692,474</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1,072,920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1,330,811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1,296,277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6"/>
        </w:trPr>
        <w:tc>
          <w:tcPr>
            <w:tcW w:w="4800" w:type="dxa"/>
            <w:vAlign w:val="bottom"/>
          </w:tcPr>
          <w:p>
            <w:pPr>
              <w:ind w:left="140"/>
              <w:spacing w:after="0"/>
              <w:rPr>
                <w:sz w:val="20"/>
                <w:szCs w:val="20"/>
                <w:color w:val="auto"/>
              </w:rPr>
            </w:pPr>
            <w:r>
              <w:rPr>
                <w:rFonts w:ascii="Arial" w:cs="Arial" w:eastAsia="Arial" w:hAnsi="Arial"/>
                <w:sz w:val="16"/>
                <w:szCs w:val="16"/>
                <w:color w:val="auto"/>
              </w:rPr>
              <w:t>Repurchase agreements with customers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1,115,734</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1,286,110</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1,025,115</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-20.3%</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Due to banks and correspondents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5,978,257</w:t>
            </w:r>
          </w:p>
        </w:tc>
        <w:tc>
          <w:tcPr>
            <w:tcW w:w="1080" w:type="dxa"/>
            <w:vAlign w:val="bottom"/>
          </w:tcPr>
          <w:p>
            <w:pPr>
              <w:jc w:val="right"/>
              <w:spacing w:after="0"/>
              <w:rPr>
                <w:sz w:val="20"/>
                <w:szCs w:val="20"/>
                <w:color w:val="auto"/>
              </w:rPr>
            </w:pPr>
            <w:r>
              <w:rPr>
                <w:rFonts w:ascii="Arial" w:cs="Arial" w:eastAsia="Arial" w:hAnsi="Arial"/>
                <w:sz w:val="16"/>
                <w:szCs w:val="16"/>
                <w:color w:val="auto"/>
              </w:rPr>
              <w:t>7,466,434</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7,212,946</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Bonds and notes issued</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16,319,407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17,577,630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17,078,829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Banker’s acceptances outstanding</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455,343</w:t>
            </w:r>
          </w:p>
        </w:tc>
        <w:tc>
          <w:tcPr>
            <w:tcW w:w="1080" w:type="dxa"/>
            <w:vAlign w:val="bottom"/>
          </w:tcPr>
          <w:p>
            <w:pPr>
              <w:jc w:val="right"/>
              <w:spacing w:after="0"/>
              <w:rPr>
                <w:sz w:val="20"/>
                <w:szCs w:val="20"/>
                <w:color w:val="auto"/>
              </w:rPr>
            </w:pPr>
            <w:r>
              <w:rPr>
                <w:rFonts w:ascii="Arial" w:cs="Arial" w:eastAsia="Arial" w:hAnsi="Arial"/>
                <w:sz w:val="16"/>
                <w:szCs w:val="16"/>
                <w:color w:val="auto"/>
              </w:rPr>
              <w:t>776,863</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532,404</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-31.5%</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Reserves for property and casualty claims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2,050,474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2,583,777</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2,555,580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Reserve for unearned premiums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9,624,602</w:t>
            </w:r>
          </w:p>
        </w:tc>
        <w:tc>
          <w:tcPr>
            <w:tcW w:w="1080" w:type="dxa"/>
            <w:vAlign w:val="bottom"/>
          </w:tcPr>
          <w:p>
            <w:pPr>
              <w:jc w:val="right"/>
              <w:spacing w:after="0"/>
              <w:rPr>
                <w:sz w:val="20"/>
                <w:szCs w:val="20"/>
                <w:color w:val="auto"/>
              </w:rPr>
            </w:pPr>
            <w:r>
              <w:rPr>
                <w:rFonts w:ascii="Arial" w:cs="Arial" w:eastAsia="Arial" w:hAnsi="Arial"/>
                <w:sz w:val="16"/>
                <w:szCs w:val="16"/>
                <w:color w:val="auto"/>
              </w:rPr>
              <w:t>9,928,912</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9,978,931</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to reinsurers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338,446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278,220</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463,825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Financial liabilities at fair value through profit or loss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561,602</w:t>
            </w:r>
          </w:p>
        </w:tc>
        <w:tc>
          <w:tcPr>
            <w:tcW w:w="1080" w:type="dxa"/>
            <w:vAlign w:val="bottom"/>
          </w:tcPr>
          <w:p>
            <w:pPr>
              <w:jc w:val="right"/>
              <w:spacing w:after="0"/>
              <w:rPr>
                <w:sz w:val="20"/>
                <w:szCs w:val="20"/>
                <w:color w:val="auto"/>
              </w:rPr>
            </w:pPr>
            <w:r>
              <w:rPr>
                <w:rFonts w:ascii="Arial" w:cs="Arial" w:eastAsia="Arial" w:hAnsi="Arial"/>
                <w:sz w:val="16"/>
                <w:szCs w:val="16"/>
                <w:color w:val="auto"/>
              </w:rPr>
              <w:t>879,177</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325,571</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-63.0%</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6,343,266</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10,434,536</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7,281,731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Total Liabilities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211,960,516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225,836,947</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217,784,545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-3.6%</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24,945,870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25,192,569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26,496,767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Capital stock</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1,318,993</w:t>
            </w:r>
          </w:p>
        </w:tc>
        <w:tc>
          <w:tcPr>
            <w:tcW w:w="1080" w:type="dxa"/>
            <w:vAlign w:val="bottom"/>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1,318,993</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Treasury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(208,433)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(207,745)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(207,534)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Capital surplus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192,625</w:t>
            </w:r>
          </w:p>
        </w:tc>
        <w:tc>
          <w:tcPr>
            <w:tcW w:w="1080" w:type="dxa"/>
            <w:vAlign w:val="bottom"/>
          </w:tcPr>
          <w:p>
            <w:pPr>
              <w:jc w:val="right"/>
              <w:spacing w:after="0"/>
              <w:rPr>
                <w:sz w:val="20"/>
                <w:szCs w:val="20"/>
                <w:color w:val="auto"/>
              </w:rPr>
            </w:pPr>
            <w:r>
              <w:rPr>
                <w:rFonts w:ascii="Arial" w:cs="Arial" w:eastAsia="Arial" w:hAnsi="Arial"/>
                <w:sz w:val="16"/>
                <w:szCs w:val="16"/>
                <w:color w:val="auto"/>
              </w:rPr>
              <w:t>215,071</w:t>
            </w:r>
          </w:p>
        </w:tc>
        <w:tc>
          <w:tcPr>
            <w:tcW w:w="22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228,853</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21,429,635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21,350,150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21,364,272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Unrealized gains and losses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1,865,898</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19,435</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235,902</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1113.8%</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347,152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2,496,665</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3,556,281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42.4%</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924.4%</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499,777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512,875</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540,672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5"/>
              </w:rPr>
              <w:t>Total Net Equity</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25,445,647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25,705,444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27,037,439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237,406,163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251,542,391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244,821,984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Off-balance sheet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133,568,004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154,907,974</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151,136,879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-2.4%</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Total performance bonds, stand-by and L/Cs.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20,973,810</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22,665,879</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22,914,343</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Undrawn credit lines, advised but not committed</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86,074,859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94,165,966</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88,382,322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0"/>
        </w:trPr>
        <w:tc>
          <w:tcPr>
            <w:tcW w:w="480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26,519,335</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38,076,129</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39,840,214</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(1) The amounts differ from those previously reported in 2020 period due to reclassifications.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0460"/>
          </w:cols>
          <w:pgMar w:left="320" w:top="120" w:right="111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CREDICORP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INCOME</w:t>
      </w:r>
    </w:p>
    <w:p>
      <w:pPr>
        <w:jc w:val="center"/>
        <w:spacing w:after="0"/>
        <w:rPr>
          <w:sz w:val="20"/>
          <w:szCs w:val="20"/>
          <w:color w:val="auto"/>
        </w:rPr>
      </w:pPr>
      <w:r>
        <w:rPr>
          <w:rFonts w:ascii="Arial" w:cs="Arial" w:eastAsia="Arial" w:hAnsi="Arial"/>
          <w:sz w:val="20"/>
          <w:szCs w:val="20"/>
          <w:b w:val="1"/>
          <w:bCs w:val="1"/>
          <w:color w:val="auto"/>
        </w:rPr>
        <w:t>(In S/ thousands, IFRS)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Quarter</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 change</w:t>
            </w:r>
          </w:p>
        </w:tc>
        <w:tc>
          <w:tcPr>
            <w:tcW w:w="1140" w:type="dxa"/>
            <w:vAlign w:val="bottom"/>
            <w:gridSpan w:val="3"/>
          </w:tcPr>
          <w:p>
            <w:pPr>
              <w:ind w:left="780"/>
              <w:spacing w:after="0"/>
              <w:rPr>
                <w:sz w:val="20"/>
                <w:szCs w:val="20"/>
                <w:color w:val="auto"/>
              </w:rPr>
            </w:pPr>
            <w:r>
              <w:rPr>
                <w:rFonts w:ascii="Arial" w:cs="Arial" w:eastAsia="Arial" w:hAnsi="Arial"/>
                <w:sz w:val="16"/>
                <w:szCs w:val="16"/>
                <w:b w:val="1"/>
                <w:bCs w:val="1"/>
                <w:color w:val="auto"/>
                <w:w w:val="97"/>
              </w:rPr>
              <w:t>Year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rPr>
              <w:t>Interest income and expense</w:t>
            </w:r>
          </w:p>
        </w:tc>
        <w:tc>
          <w:tcPr>
            <w:tcW w:w="9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4Q20</w:t>
            </w:r>
          </w:p>
        </w:tc>
        <w:tc>
          <w:tcPr>
            <w:tcW w:w="9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3Q21</w:t>
            </w: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4Q21</w:t>
            </w:r>
          </w:p>
        </w:tc>
        <w:tc>
          <w:tcPr>
            <w:tcW w:w="18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QoQ</w:t>
            </w:r>
          </w:p>
        </w:tc>
        <w:tc>
          <w:tcPr>
            <w:tcW w:w="66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6"/>
                <w:szCs w:val="16"/>
                <w:color w:val="auto"/>
              </w:rPr>
            </w:pPr>
          </w:p>
        </w:tc>
        <w:tc>
          <w:tcPr>
            <w:tcW w:w="86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dividend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2,703,100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3,051,000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3,091,754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11,547,648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2"/>
              </w:rPr>
              <w:t>11,850,406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2"/>
                <w:szCs w:val="22"/>
                <w:color w:val="auto"/>
                <w:vertAlign w:val="superscript"/>
              </w:rPr>
              <w:t>(1)</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(634,540)</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(599,292)</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(613,907)</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(2,976,306)</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(2,488,426)</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interest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2,068,560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2,451,708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2,477,847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8,571,342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9,361,980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5"/>
              </w:rPr>
              <w:t>Gross provision for credit losses on loan portfolio</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(785,194)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(265,158)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(229,804)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(6,080,289)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(1,558,951)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52,529</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100,744</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103,022</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96.1%</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159,781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346,728</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w w:val="98"/>
              </w:rPr>
              <w:t>Provision for credit losses on loan portfolio,</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of recoveries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(732,665)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(164,414)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(126,782)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(5,920,508)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7"/>
              </w:rPr>
              <w:t>(1,212,223)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-79.5%</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Risk-adjusted net interest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1,335,895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2,287,294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2,351,065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76.0%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2,650,834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8,149,757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207.4%</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income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Fee income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873,156</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876,391</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924,161</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860" w:type="dxa"/>
            <w:vAlign w:val="bottom"/>
          </w:tcPr>
          <w:p>
            <w:pPr>
              <w:jc w:val="right"/>
              <w:spacing w:after="0"/>
              <w:rPr>
                <w:sz w:val="20"/>
                <w:szCs w:val="20"/>
                <w:color w:val="auto"/>
              </w:rPr>
            </w:pPr>
            <w:r>
              <w:rPr>
                <w:rFonts w:ascii="Arial" w:cs="Arial" w:eastAsia="Arial" w:hAnsi="Arial"/>
                <w:sz w:val="16"/>
                <w:szCs w:val="16"/>
                <w:color w:val="auto"/>
              </w:rPr>
              <w:t>2,912,778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3,493,734</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foreign exchange transactions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151,464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238,886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269,354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77.8%</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622,783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920,797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Net gain on sales of securities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162,523</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5,739</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2,550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-55.6%</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-98.4%</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458,410</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(45,371)</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from associates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19,296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19,090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13,224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64,672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74,021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Net gain on derivatives held for trading</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18,298</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43,086</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27,049</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-37.2%</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40,789</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185,271</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from exchange differences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10,278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(8,923)</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n.a.</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19,804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34,698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Other non-financial income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94,518</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52,258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74,544</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42.6%</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-21.1%</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286,981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263,716</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non-financial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1,329,533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1,238,683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1,301,959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4,406,217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4,926,866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Insurance underwriting result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Net earned premiums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652,670</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675,571</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712,087</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860" w:type="dxa"/>
            <w:vAlign w:val="bottom"/>
          </w:tcPr>
          <w:p>
            <w:pPr>
              <w:jc w:val="right"/>
              <w:spacing w:after="0"/>
              <w:rPr>
                <w:sz w:val="20"/>
                <w:szCs w:val="20"/>
                <w:color w:val="auto"/>
              </w:rPr>
            </w:pPr>
            <w:r>
              <w:rPr>
                <w:rFonts w:ascii="Arial" w:cs="Arial" w:eastAsia="Arial" w:hAnsi="Arial"/>
                <w:sz w:val="16"/>
                <w:szCs w:val="16"/>
                <w:color w:val="auto"/>
              </w:rPr>
              <w:t>2,428,060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2,671,530</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claims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(492,737)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(517,951)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(509,278)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(1,708,113)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(2,341,917)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Acquisition cost (1)</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(75,066)</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(87,416)</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(75,152)</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(361,814)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(333,334)</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insurance underwriting result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84,867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70,204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127,657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81.8%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50.4%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358,133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-101.0%</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expenses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Salaries and employee benefits</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(792,336)</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(915,564)</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(1,013,176)</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(3,312,954)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(3,668,476)</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general and tax expenses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(742,098)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(803,156)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(899,290)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(2,386,108)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(2,956,093)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(164,541)</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(170,960)</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(181,660)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(669,915)</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(683,254)</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loss on goodwill</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(63,978)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Association in participation</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(17,079)</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(10,426)</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(13,965)</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33.9%</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-18.2%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(52,019)</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(47,176)</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(265,256)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(77,688)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(113,483)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(706,049)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(385,087)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b w:val="1"/>
                <w:bCs w:val="1"/>
                <w:color w:val="auto"/>
              </w:rPr>
              <w:t>Total expenses</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(1,981,310)</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(1,977,794)</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(2,221,574)</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12.3%</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(7,191,023)</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7"/>
              </w:rPr>
              <w:t>(7,740,086)</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6"/>
                <w:szCs w:val="16"/>
                <w:b w:val="1"/>
                <w:bCs w:val="1"/>
                <w:color w:val="auto"/>
              </w:rPr>
              <w:t>Profit before income tax</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768,985</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1,618,387</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1,559,107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-3.7%</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102.7%</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224,161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5,332,816</w:t>
            </w: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2279.0%</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(103,174)</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(428,037)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(471,860)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357.3%</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109,977</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(1,660,987)</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6"/>
                <w:szCs w:val="16"/>
                <w:b w:val="1"/>
                <w:bCs w:val="1"/>
                <w:color w:val="auto"/>
              </w:rPr>
              <w:t>Net profit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665,811</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1,190,350</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1,087,247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-8.7%</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63.3%</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334,138</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3,671,829</w:t>
            </w: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998.9%</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12,407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26,651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26,631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(12,756)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87,247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3320" w:type="dxa"/>
            <w:vAlign w:val="bottom"/>
          </w:tcPr>
          <w:p>
            <w:pPr>
              <w:spacing w:after="0"/>
              <w:rPr>
                <w:sz w:val="20"/>
                <w:szCs w:val="20"/>
                <w:color w:val="auto"/>
              </w:rPr>
            </w:pPr>
            <w:r>
              <w:rPr>
                <w:rFonts w:ascii="Arial" w:cs="Arial" w:eastAsia="Arial" w:hAnsi="Arial"/>
                <w:sz w:val="16"/>
                <w:szCs w:val="16"/>
                <w:b w:val="1"/>
                <w:bCs w:val="1"/>
                <w:color w:val="auto"/>
              </w:rPr>
              <w:t>Net profit attributable to Credicorp</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653,404</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1,163,699</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1,060,616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-8.9%</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62.3%</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346,894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3,584,582</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933.3%</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(1) The acquisition cost of Pacifico includes net fees and underwriting expenses.</w:t>
      </w:r>
    </w:p>
    <w:p>
      <w:pPr>
        <w:spacing w:after="0" w:line="200" w:lineRule="exact"/>
        <w:rPr>
          <w:sz w:val="20"/>
          <w:szCs w:val="20"/>
          <w:color w:val="auto"/>
        </w:rPr>
      </w:pPr>
    </w:p>
    <w:p>
      <w:pPr>
        <w:spacing w:after="0" w:line="248"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Regulatory Capital and Capital Adequary Ratios</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 Change</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Dec 20</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Sep 21</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Dec 21</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QoQ</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6"/>
                <w:szCs w:val="16"/>
                <w:color w:val="auto"/>
              </w:rPr>
              <w:t>Treasury Stocks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(208,433)</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(207,745)</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(207,538)</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Capital Surplus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215,071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228,857</w:t>
            </w: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6.4%</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6"/>
        </w:trPr>
        <w:tc>
          <w:tcPr>
            <w:tcW w:w="5220" w:type="dxa"/>
            <w:vAlign w:val="bottom"/>
          </w:tcPr>
          <w:p>
            <w:pPr>
              <w:spacing w:after="0" w:line="197" w:lineRule="exact"/>
              <w:rPr>
                <w:sz w:val="20"/>
                <w:szCs w:val="20"/>
                <w:color w:val="auto"/>
              </w:rPr>
            </w:pPr>
            <w:r>
              <w:rPr>
                <w:rFonts w:ascii="Arial" w:cs="Arial" w:eastAsia="Arial" w:hAnsi="Arial"/>
                <w:sz w:val="14"/>
                <w:szCs w:val="14"/>
                <w:color w:val="auto"/>
              </w:rPr>
              <w:t xml:space="preserve">Legal and Other capital reserves </w:t>
            </w:r>
            <w:r>
              <w:rPr>
                <w:rFonts w:ascii="Arial" w:cs="Arial" w:eastAsia="Arial" w:hAnsi="Arial"/>
                <w:sz w:val="22"/>
                <w:szCs w:val="22"/>
                <w:color w:val="auto"/>
                <w:vertAlign w:val="superscript"/>
              </w:rPr>
              <w:t>(1)</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21,429,635</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21,350,150</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21,364,272</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Minority interest </w:t>
            </w:r>
            <w:r>
              <w:rPr>
                <w:rFonts w:ascii="Arial" w:cs="Arial" w:eastAsia="Arial" w:hAnsi="Arial"/>
                <w:sz w:val="22"/>
                <w:szCs w:val="22"/>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443,402</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423,897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420,062</w:t>
            </w: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-0.9%</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6"/>
        </w:trPr>
        <w:tc>
          <w:tcPr>
            <w:tcW w:w="5220" w:type="dxa"/>
            <w:vAlign w:val="bottom"/>
          </w:tcPr>
          <w:p>
            <w:pPr>
              <w:spacing w:after="0" w:line="197" w:lineRule="exact"/>
              <w:rPr>
                <w:sz w:val="20"/>
                <w:szCs w:val="20"/>
                <w:color w:val="auto"/>
              </w:rPr>
            </w:pPr>
            <w:r>
              <w:rPr>
                <w:rFonts w:ascii="Arial" w:cs="Arial" w:eastAsia="Arial" w:hAnsi="Arial"/>
                <w:sz w:val="14"/>
                <w:szCs w:val="14"/>
                <w:color w:val="auto"/>
              </w:rPr>
              <w:t xml:space="preserve">Loan loss reserves </w:t>
            </w:r>
            <w:r>
              <w:rPr>
                <w:rFonts w:ascii="Arial" w:cs="Arial" w:eastAsia="Arial" w:hAnsi="Arial"/>
                <w:sz w:val="22"/>
                <w:szCs w:val="22"/>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1,838,145</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1,993,306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2,001,065</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6"/>
                <w:szCs w:val="16"/>
                <w:color w:val="auto"/>
              </w:rPr>
              <w:t>Subordinated Debt</w:t>
            </w:r>
          </w:p>
        </w:tc>
        <w:tc>
          <w:tcPr>
            <w:tcW w:w="1020" w:type="dxa"/>
            <w:vAlign w:val="bottom"/>
          </w:tcPr>
          <w:p>
            <w:pPr>
              <w:jc w:val="right"/>
              <w:spacing w:after="0"/>
              <w:rPr>
                <w:sz w:val="20"/>
                <w:szCs w:val="20"/>
                <w:color w:val="auto"/>
              </w:rPr>
            </w:pPr>
            <w:r>
              <w:rPr>
                <w:rFonts w:ascii="Arial" w:cs="Arial" w:eastAsia="Arial" w:hAnsi="Arial"/>
                <w:sz w:val="16"/>
                <w:szCs w:val="16"/>
                <w:color w:val="auto"/>
              </w:rPr>
              <w:t>5,491,480</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6,393,706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6,173,159</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4"/>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equity and subordinated debt of financial and insurance</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companies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(715,614)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(727,585)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(712,518)</w:t>
            </w: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6"/>
                <w:szCs w:val="16"/>
                <w:color w:val="auto"/>
              </w:rPr>
              <w:t>Goodwill</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(820,899)</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(826,196)</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(796,859)</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Current year 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line="197" w:lineRule="exact"/>
              <w:rPr>
                <w:sz w:val="20"/>
                <w:szCs w:val="20"/>
                <w:color w:val="auto"/>
              </w:rPr>
            </w:pPr>
            <w:r>
              <w:rPr>
                <w:rFonts w:ascii="Arial" w:cs="Arial" w:eastAsia="Arial" w:hAnsi="Arial"/>
                <w:sz w:val="14"/>
                <w:szCs w:val="14"/>
                <w:color w:val="auto"/>
              </w:rPr>
              <w:t xml:space="preserve">Deduction for subordinated debt limit (50% of Tier I excluding deductions) </w:t>
            </w:r>
            <w:r>
              <w:rPr>
                <w:rFonts w:ascii="Arial" w:cs="Arial" w:eastAsia="Arial" w:hAnsi="Arial"/>
                <w:sz w:val="22"/>
                <w:szCs w:val="22"/>
                <w:color w:val="auto"/>
                <w:vertAlign w:val="superscript"/>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CEEFF"/>
          </w:tcPr>
          <w:p>
            <w:pPr>
              <w:spacing w:after="0" w:line="221" w:lineRule="exact"/>
              <w:rPr>
                <w:sz w:val="20"/>
                <w:szCs w:val="20"/>
                <w:color w:val="auto"/>
              </w:rPr>
            </w:pPr>
            <w:r>
              <w:rPr>
                <w:rFonts w:ascii="Arial" w:cs="Arial" w:eastAsia="Arial" w:hAnsi="Arial"/>
                <w:sz w:val="15"/>
                <w:szCs w:val="15"/>
                <w:color w:val="auto"/>
              </w:rPr>
              <w:t xml:space="preserve">Deduction for Tier I Limit (50% of Regulatory capital) </w:t>
            </w:r>
            <w:r>
              <w:rPr>
                <w:rFonts w:ascii="Arial" w:cs="Arial" w:eastAsia="Arial" w:hAnsi="Arial"/>
                <w:sz w:val="25"/>
                <w:szCs w:val="25"/>
                <w:color w:val="auto"/>
                <w:vertAlign w:val="superscript"/>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6"/>
                <w:szCs w:val="16"/>
                <w:b w:val="1"/>
                <w:bCs w:val="1"/>
                <w:color w:val="auto"/>
              </w:rPr>
              <w:t>Regulatory Capital (A)</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28,969,333</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29,933,596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29,789,493</w:t>
            </w:r>
          </w:p>
        </w:tc>
        <w:tc>
          <w:tcPr>
            <w:tcW w:w="122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-0.5%</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line="197" w:lineRule="exact"/>
              <w:rPr>
                <w:sz w:val="20"/>
                <w:szCs w:val="20"/>
                <w:color w:val="auto"/>
              </w:rPr>
            </w:pPr>
            <w:r>
              <w:rPr>
                <w:rFonts w:ascii="Arial" w:cs="Arial" w:eastAsia="Arial" w:hAnsi="Arial"/>
                <w:sz w:val="14"/>
                <w:szCs w:val="14"/>
                <w:color w:val="auto"/>
              </w:rPr>
              <w:t xml:space="preserve">Tier 1 </w:t>
            </w:r>
            <w:r>
              <w:rPr>
                <w:rFonts w:ascii="Arial" w:cs="Arial" w:eastAsia="Arial" w:hAnsi="Arial"/>
                <w:sz w:val="22"/>
                <w:szCs w:val="22"/>
                <w:color w:val="auto"/>
                <w:vertAlign w:val="superscript"/>
              </w:rPr>
              <w:t>(5)</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15,312,787</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15,305,134</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15,353,163</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47"/>
        </w:trPr>
        <w:tc>
          <w:tcPr>
            <w:tcW w:w="52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 xml:space="preserve">Tier 2 </w:t>
            </w:r>
            <w:r>
              <w:rPr>
                <w:rFonts w:ascii="Arial" w:cs="Arial" w:eastAsia="Arial" w:hAnsi="Arial"/>
                <w:sz w:val="17"/>
                <w:szCs w:val="17"/>
                <w:color w:val="auto"/>
                <w:vertAlign w:val="superscript"/>
              </w:rPr>
              <w:t>(6)</w:t>
            </w:r>
            <w:r>
              <w:rPr>
                <w:rFonts w:ascii="Arial" w:cs="Arial" w:eastAsia="Arial" w:hAnsi="Arial"/>
                <w:sz w:val="11"/>
                <w:szCs w:val="11"/>
                <w:color w:val="auto"/>
              </w:rPr>
              <w:t xml:space="preserve"> + Tier 3 </w:t>
            </w:r>
            <w:r>
              <w:rPr>
                <w:rFonts w:ascii="Arial" w:cs="Arial" w:eastAsia="Arial" w:hAnsi="Arial"/>
                <w:sz w:val="17"/>
                <w:szCs w:val="17"/>
                <w:color w:val="auto"/>
                <w:vertAlign w:val="superscript"/>
              </w:rPr>
              <w:t>(7)</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13,656,546</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14,628,462</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14,436,330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6"/>
                <w:szCs w:val="16"/>
                <w:color w:val="auto"/>
                <w:w w:val="84"/>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52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gridSpan w:val="2"/>
            <w:shd w:val="clear" w:color="auto" w:fill="CCEEFF"/>
          </w:tcPr>
          <w:p>
            <w:pPr>
              <w:jc w:val="right"/>
              <w:ind w:right="160"/>
              <w:spacing w:after="0" w:line="74" w:lineRule="exact"/>
              <w:rPr>
                <w:sz w:val="20"/>
                <w:szCs w:val="20"/>
                <w:color w:val="auto"/>
              </w:rPr>
            </w:pPr>
            <w:r>
              <w:rPr>
                <w:rFonts w:ascii="Arial" w:cs="Arial" w:eastAsia="Arial" w:hAnsi="Arial"/>
                <w:sz w:val="8"/>
                <w:szCs w:val="8"/>
                <w:color w:val="auto"/>
              </w:rPr>
              <w:t>5.7</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Financial Consolidated Group (FCG) Regulatory Capital Requirements </w:t>
            </w:r>
            <w:r>
              <w:rPr>
                <w:rFonts w:ascii="Arial" w:cs="Arial" w:eastAsia="Arial" w:hAnsi="Arial"/>
                <w:sz w:val="22"/>
                <w:szCs w:val="22"/>
                <w:color w:val="auto"/>
                <w:vertAlign w:val="superscript"/>
              </w:rPr>
              <w:t>(8)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20,136,258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18,710,799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18,530,113</w:t>
            </w: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6"/>
        </w:trPr>
        <w:tc>
          <w:tcPr>
            <w:tcW w:w="5220" w:type="dxa"/>
            <w:vAlign w:val="bottom"/>
          </w:tcPr>
          <w:p>
            <w:pPr>
              <w:spacing w:after="0" w:line="197" w:lineRule="exact"/>
              <w:rPr>
                <w:sz w:val="20"/>
                <w:szCs w:val="20"/>
                <w:color w:val="auto"/>
              </w:rPr>
            </w:pPr>
            <w:r>
              <w:rPr>
                <w:rFonts w:ascii="Arial" w:cs="Arial" w:eastAsia="Arial" w:hAnsi="Arial"/>
                <w:sz w:val="14"/>
                <w:szCs w:val="14"/>
                <w:color w:val="auto"/>
              </w:rPr>
              <w:t xml:space="preserve">Insurance Consolidated Group (ICG) Capital Requirements </w:t>
            </w:r>
            <w:r>
              <w:rPr>
                <w:rFonts w:ascii="Arial" w:cs="Arial" w:eastAsia="Arial" w:hAnsi="Arial"/>
                <w:sz w:val="22"/>
                <w:szCs w:val="22"/>
                <w:color w:val="auto"/>
                <w:vertAlign w:val="superscript"/>
              </w:rPr>
              <w:t>(9)</w:t>
            </w:r>
          </w:p>
        </w:tc>
        <w:tc>
          <w:tcPr>
            <w:tcW w:w="1020" w:type="dxa"/>
            <w:vAlign w:val="bottom"/>
          </w:tcPr>
          <w:p>
            <w:pPr>
              <w:jc w:val="right"/>
              <w:spacing w:after="0"/>
              <w:rPr>
                <w:sz w:val="20"/>
                <w:szCs w:val="20"/>
                <w:color w:val="auto"/>
              </w:rPr>
            </w:pPr>
            <w:r>
              <w:rPr>
                <w:rFonts w:ascii="Arial" w:cs="Arial" w:eastAsia="Arial" w:hAnsi="Arial"/>
                <w:sz w:val="16"/>
                <w:szCs w:val="16"/>
                <w:color w:val="auto"/>
              </w:rPr>
              <w:t>1,304,266</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1,418,922</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1,430,567</w:t>
            </w:r>
          </w:p>
        </w:tc>
        <w:tc>
          <w:tcPr>
            <w:tcW w:w="1220" w:type="dxa"/>
            <w:vAlign w:val="bottom"/>
            <w:gridSpan w:val="2"/>
          </w:tcPr>
          <w:p>
            <w:pPr>
              <w:jc w:val="right"/>
              <w:ind w:right="58"/>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FCG Capital Requirements related to operations with ICG</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(467,303)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(503,809)</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(513,262)</w:t>
            </w: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6"/>
                <w:szCs w:val="16"/>
                <w:color w:val="auto"/>
              </w:rPr>
              <w:t>ICG Capital Requirements related to operations with FCG</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Regulatory Capital Requirements (B)</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20,973,221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19,625,912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19,447,419</w:t>
            </w:r>
          </w:p>
        </w:tc>
        <w:tc>
          <w:tcPr>
            <w:tcW w:w="12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-0.9%</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Regulatory Capital Ratio (A) / (B)</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1.38</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1.53</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1.53</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FFFFFF"/>
              </w:rPr>
              <w:t>0.01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FFFFFF"/>
              </w:rPr>
              <w:t>0.15</w:t>
            </w:r>
          </w:p>
        </w:tc>
        <w:tc>
          <w:tcPr>
            <w:tcW w:w="0" w:type="dxa"/>
            <w:vAlign w:val="bottom"/>
          </w:tcPr>
          <w:p>
            <w:pPr>
              <w:spacing w:after="0"/>
              <w:rPr>
                <w:sz w:val="1"/>
                <w:szCs w:val="1"/>
                <w:color w:val="auto"/>
              </w:rPr>
            </w:pPr>
          </w:p>
        </w:tc>
      </w:tr>
      <w:tr>
        <w:trPr>
          <w:trHeight w:val="243"/>
        </w:trPr>
        <w:tc>
          <w:tcPr>
            <w:tcW w:w="5220" w:type="dxa"/>
            <w:vAlign w:val="bottom"/>
          </w:tcPr>
          <w:p>
            <w:pPr>
              <w:spacing w:after="0" w:line="242" w:lineRule="exact"/>
              <w:rPr>
                <w:sz w:val="20"/>
                <w:szCs w:val="20"/>
                <w:color w:val="auto"/>
              </w:rPr>
            </w:pPr>
            <w:r>
              <w:rPr>
                <w:rFonts w:ascii="Arial" w:cs="Arial" w:eastAsia="Arial" w:hAnsi="Arial"/>
                <w:sz w:val="16"/>
                <w:szCs w:val="16"/>
                <w:b w:val="1"/>
                <w:bCs w:val="1"/>
                <w:color w:val="auto"/>
              </w:rPr>
              <w:t xml:space="preserve">Required Regulatory Capital Ratio </w:t>
            </w:r>
            <w:r>
              <w:rPr>
                <w:rFonts w:ascii="Arial" w:cs="Arial" w:eastAsia="Arial" w:hAnsi="Arial"/>
                <w:sz w:val="27"/>
                <w:szCs w:val="27"/>
                <w:b w:val="1"/>
                <w:bCs w:val="1"/>
                <w:color w:val="auto"/>
                <w:vertAlign w:val="superscript"/>
              </w:rPr>
              <w:t>(10)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1.00</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1.00</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1.00</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5020" cy="1403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ind w:left="2" w:hanging="2"/>
        <w:spacing w:after="0" w:line="230" w:lineRule="auto"/>
        <w:tabs>
          <w:tab w:leader="none" w:pos="316"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Legal and other capital reserves include restricted capital reserves (PEN 14,745 million) and optional capital reserves (PEN 6,661 million).</w:t>
      </w:r>
    </w:p>
    <w:p>
      <w:pPr>
        <w:ind w:left="282" w:hanging="282"/>
        <w:spacing w:after="0" w:line="230" w:lineRule="auto"/>
        <w:tabs>
          <w:tab w:leader="none" w:pos="28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Minority interest includes Tier I (PEN 421 million)</w:t>
      </w:r>
    </w:p>
    <w:p>
      <w:pPr>
        <w:ind w:left="2" w:hanging="2"/>
        <w:spacing w:after="0" w:line="230" w:lineRule="auto"/>
        <w:tabs>
          <w:tab w:leader="none" w:pos="30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Up to 1.25% of total risk-weighted assets of Banco de Credito del Perú, Solución Empresa Administradora Hipotecaria, Mibanco and Atlantic Security Bank.</w:t>
      </w:r>
    </w:p>
    <w:p>
      <w:pPr>
        <w:ind w:left="282" w:hanging="282"/>
        <w:spacing w:after="0" w:line="230" w:lineRule="auto"/>
        <w:tabs>
          <w:tab w:leader="none" w:pos="28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Tier II + Tier III can not be more than 50% of total regulatory capital.</w:t>
      </w:r>
    </w:p>
    <w:p>
      <w:pPr>
        <w:ind w:left="2" w:hanging="2"/>
        <w:spacing w:after="0" w:line="230" w:lineRule="auto"/>
        <w:tabs>
          <w:tab w:leader="none" w:pos="295"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Tier I = capital + restricted capital reserves + Tier I minority interest - goodwill - (0.5 x investment in equity and subordinated debt of financial and insurance companies)+ perpetual subordinated debt.</w:t>
      </w:r>
    </w:p>
    <w:p>
      <w:pPr>
        <w:ind w:left="2" w:hanging="2"/>
        <w:spacing w:after="0" w:line="230" w:lineRule="auto"/>
        <w:tabs>
          <w:tab w:leader="none" w:pos="30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Tier II = subordinated debt + TierII minority interest tier + loan loss reserves - (0.5 x investment in equity and subordinated debt of financial and insurance companies).</w:t>
      </w:r>
    </w:p>
    <w:p>
      <w:pPr>
        <w:ind w:left="282" w:hanging="282"/>
        <w:spacing w:after="0" w:line="230" w:lineRule="auto"/>
        <w:tabs>
          <w:tab w:leader="none" w:pos="28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Tier III = Subordinated debt covering market risk only.</w:t>
      </w:r>
    </w:p>
    <w:p>
      <w:pPr>
        <w:ind w:left="282" w:hanging="282"/>
        <w:spacing w:after="0" w:line="230" w:lineRule="auto"/>
        <w:tabs>
          <w:tab w:leader="none" w:pos="28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Includes regulatory capital requirements of the financial consolidated group.</w:t>
      </w:r>
    </w:p>
    <w:p>
      <w:pPr>
        <w:ind w:left="282" w:hanging="282"/>
        <w:spacing w:after="0" w:line="230" w:lineRule="auto"/>
        <w:tabs>
          <w:tab w:leader="none" w:pos="28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Includes regulatory capital requirements of the insurance consolidated group.</w:t>
      </w:r>
    </w:p>
    <w:p>
      <w:pPr>
        <w:ind w:left="382" w:hanging="382"/>
        <w:spacing w:after="0"/>
        <w:tabs>
          <w:tab w:leader="none" w:pos="382" w:val="left"/>
        </w:tabs>
        <w:numPr>
          <w:ilvl w:val="0"/>
          <w:numId w:val="75"/>
        </w:numPr>
        <w:rPr>
          <w:rFonts w:ascii="Arial" w:cs="Arial" w:eastAsia="Arial" w:hAnsi="Arial"/>
          <w:sz w:val="20"/>
          <w:szCs w:val="20"/>
          <w:i w:val="1"/>
          <w:iCs w:val="1"/>
          <w:color w:val="auto"/>
        </w:rPr>
      </w:pPr>
      <w:r>
        <w:rPr>
          <w:rFonts w:ascii="Arial" w:cs="Arial" w:eastAsia="Arial" w:hAnsi="Arial"/>
          <w:sz w:val="20"/>
          <w:szCs w:val="20"/>
          <w:i w:val="1"/>
          <w:iCs w:val="1"/>
          <w:color w:val="auto"/>
        </w:rPr>
        <w:t>Regulatory Capital / Total Regulatory Capital Requirements (legal minimum = 1.00).</w:t>
      </w:r>
    </w:p>
    <w:p>
      <w:pPr>
        <w:spacing w:after="0" w:line="200" w:lineRule="exact"/>
        <w:rPr>
          <w:sz w:val="20"/>
          <w:szCs w:val="20"/>
          <w:color w:val="auto"/>
        </w:rPr>
      </w:pPr>
    </w:p>
    <w:p>
      <w:pPr>
        <w:spacing w:after="0" w:line="232"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12.2. Credicorp Stand-alone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Credicorp Ltd.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Separate Statement of Financal Position</w:t>
      </w:r>
    </w:p>
    <w:p>
      <w:pPr>
        <w:jc w:val="center"/>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 change</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3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 20</w:t>
            </w:r>
          </w:p>
        </w:tc>
        <w:tc>
          <w:tcPr>
            <w:tcW w:w="13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Sep 21</w:t>
            </w:r>
          </w:p>
        </w:tc>
        <w:tc>
          <w:tcPr>
            <w:tcW w:w="1120" w:type="dxa"/>
            <w:vAlign w:val="bottom"/>
          </w:tcPr>
          <w:p>
            <w:pPr>
              <w:jc w:val="right"/>
              <w:ind w:right="238"/>
              <w:spacing w:after="0"/>
              <w:rPr>
                <w:sz w:val="20"/>
                <w:szCs w:val="20"/>
                <w:color w:val="auto"/>
              </w:rPr>
            </w:pPr>
            <w:r>
              <w:rPr>
                <w:rFonts w:ascii="Arial" w:cs="Arial" w:eastAsia="Arial" w:hAnsi="Arial"/>
                <w:sz w:val="16"/>
                <w:szCs w:val="16"/>
                <w:b w:val="1"/>
                <w:bCs w:val="1"/>
                <w:color w:val="auto"/>
              </w:rPr>
              <w:t>Dec 21</w:t>
            </w:r>
          </w:p>
        </w:tc>
        <w:tc>
          <w:tcPr>
            <w:tcW w:w="220" w:type="dxa"/>
            <w:vAlign w:val="bottom"/>
          </w:tcPr>
          <w:p>
            <w:pPr>
              <w:spacing w:after="0"/>
              <w:rPr>
                <w:sz w:val="16"/>
                <w:szCs w:val="16"/>
                <w:color w:val="auto"/>
              </w:rPr>
            </w:pPr>
          </w:p>
        </w:tc>
        <w:tc>
          <w:tcPr>
            <w:tcW w:w="1700" w:type="dxa"/>
            <w:vAlign w:val="bottom"/>
            <w:gridSpan w:val="3"/>
          </w:tcPr>
          <w:p>
            <w:pPr>
              <w:ind w:left="400"/>
              <w:spacing w:after="0"/>
              <w:rPr>
                <w:sz w:val="20"/>
                <w:szCs w:val="20"/>
                <w:color w:val="auto"/>
              </w:rPr>
            </w:pPr>
            <w:r>
              <w:rPr>
                <w:rFonts w:ascii="Arial" w:cs="Arial" w:eastAsia="Arial" w:hAnsi="Arial"/>
                <w:sz w:val="16"/>
                <w:szCs w:val="16"/>
                <w:b w:val="1"/>
                <w:bCs w:val="1"/>
                <w:color w:val="auto"/>
              </w:rPr>
              <w:t>QoQ</w:t>
            </w:r>
          </w:p>
        </w:tc>
        <w:tc>
          <w:tcPr>
            <w:tcW w:w="820" w:type="dxa"/>
            <w:vAlign w:val="bottom"/>
          </w:tcPr>
          <w:p>
            <w:pPr>
              <w:jc w:val="right"/>
              <w:ind w:right="338"/>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1,114,167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598,770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179,104</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-70.1%</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At fair value through profit or loss</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234,825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1,091,138</w:t>
            </w:r>
          </w:p>
        </w:tc>
        <w:tc>
          <w:tcPr>
            <w:tcW w:w="1120" w:type="dxa"/>
            <w:vAlign w:val="bottom"/>
          </w:tcPr>
          <w:p>
            <w:pPr>
              <w:jc w:val="right"/>
              <w:spacing w:after="0"/>
              <w:rPr>
                <w:sz w:val="20"/>
                <w:szCs w:val="20"/>
                <w:color w:val="auto"/>
              </w:rPr>
            </w:pPr>
            <w:r>
              <w:rPr>
                <w:rFonts w:ascii="Arial" w:cs="Arial" w:eastAsia="Arial" w:hAnsi="Arial"/>
                <w:sz w:val="16"/>
                <w:szCs w:val="16"/>
                <w:color w:val="auto"/>
              </w:rPr>
              <w:t>1,050,218</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7"/>
                <w:szCs w:val="17"/>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Fair value through other comprehensive income investments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463,421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342,485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346,979</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In subsidiaries and associates investments</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29,118,425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29,862,234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31,168,827</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Loans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Other assets</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191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322</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ind w:left="1800"/>
              <w:spacing w:after="0"/>
              <w:rPr>
                <w:sz w:val="20"/>
                <w:szCs w:val="20"/>
                <w:color w:val="auto"/>
              </w:rPr>
            </w:pPr>
            <w:r>
              <w:rPr>
                <w:rFonts w:ascii="Arial" w:cs="Arial" w:eastAsia="Arial" w:hAnsi="Arial"/>
                <w:sz w:val="16"/>
                <w:szCs w:val="16"/>
                <w:b w:val="1"/>
                <w:bCs w:val="1"/>
                <w:color w:val="auto"/>
              </w:rPr>
              <w:t>Total Assets</w:t>
            </w:r>
          </w:p>
        </w:tc>
        <w:tc>
          <w:tcPr>
            <w:tcW w:w="1020" w:type="dxa"/>
            <w:vAlign w:val="bottom"/>
          </w:tcPr>
          <w:p>
            <w:pPr>
              <w:jc w:val="right"/>
              <w:ind w:right="58"/>
              <w:spacing w:after="0"/>
              <w:rPr>
                <w:sz w:val="20"/>
                <w:szCs w:val="20"/>
                <w:color w:val="auto"/>
              </w:rPr>
            </w:pPr>
            <w:r>
              <w:rPr>
                <w:rFonts w:ascii="Arial" w:cs="Arial" w:eastAsia="Arial" w:hAnsi="Arial"/>
                <w:sz w:val="16"/>
                <w:szCs w:val="16"/>
                <w:b w:val="1"/>
                <w:bCs w:val="1"/>
                <w:color w:val="auto"/>
              </w:rPr>
              <w:t>30,931,029</w:t>
            </w:r>
          </w:p>
        </w:tc>
        <w:tc>
          <w:tcPr>
            <w:tcW w:w="280" w:type="dxa"/>
            <w:vAlign w:val="bottom"/>
          </w:tcPr>
          <w:p>
            <w:pPr>
              <w:spacing w:after="0"/>
              <w:rPr>
                <w:sz w:val="17"/>
                <w:szCs w:val="17"/>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b w:val="1"/>
                <w:bCs w:val="1"/>
                <w:color w:val="auto"/>
              </w:rPr>
              <w:t>31,894,955</w:t>
            </w:r>
          </w:p>
        </w:tc>
        <w:tc>
          <w:tcPr>
            <w:tcW w:w="280" w:type="dxa"/>
            <w:vAlign w:val="bottom"/>
          </w:tcPr>
          <w:p>
            <w:pPr>
              <w:spacing w:after="0"/>
              <w:rPr>
                <w:sz w:val="17"/>
                <w:szCs w:val="17"/>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32,745,450</w:t>
            </w:r>
          </w:p>
        </w:tc>
        <w:tc>
          <w:tcPr>
            <w:tcW w:w="2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Dividend Payable</w:t>
            </w: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471,912</w:t>
            </w:r>
          </w:p>
        </w:tc>
        <w:tc>
          <w:tcPr>
            <w:tcW w:w="280" w:type="dxa"/>
            <w:vAlign w:val="bottom"/>
          </w:tcPr>
          <w:p>
            <w:pPr>
              <w:spacing w:after="0"/>
              <w:rPr>
                <w:sz w:val="17"/>
                <w:szCs w:val="17"/>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540" w:type="dxa"/>
            <w:vAlign w:val="bottom"/>
            <w:gridSpan w:val="3"/>
          </w:tcPr>
          <w:p>
            <w:pPr>
              <w:ind w:left="240"/>
              <w:spacing w:after="0"/>
              <w:rPr>
                <w:sz w:val="20"/>
                <w:szCs w:val="20"/>
                <w:color w:val="auto"/>
              </w:rPr>
            </w:pPr>
            <w:r>
              <w:rPr>
                <w:rFonts w:ascii="Arial" w:cs="Arial" w:eastAsia="Arial" w:hAnsi="Arial"/>
                <w:sz w:val="16"/>
                <w:szCs w:val="16"/>
                <w:color w:val="auto"/>
              </w:rPr>
              <w:t>n.a.</w:t>
            </w:r>
          </w:p>
        </w:tc>
        <w:tc>
          <w:tcPr>
            <w:tcW w:w="940" w:type="dxa"/>
            <w:vAlign w:val="bottom"/>
            <w:gridSpan w:val="2"/>
          </w:tcPr>
          <w:p>
            <w:pPr>
              <w:jc w:val="right"/>
              <w:ind w:right="6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Bonds and notes issued</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1,794,879</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2,066,412</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1,980,311</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Other liabilities</w:t>
            </w: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110,827</w:t>
            </w:r>
          </w:p>
        </w:tc>
        <w:tc>
          <w:tcPr>
            <w:tcW w:w="280" w:type="dxa"/>
            <w:vAlign w:val="bottom"/>
          </w:tcPr>
          <w:p>
            <w:pPr>
              <w:spacing w:after="0"/>
              <w:rPr>
                <w:sz w:val="17"/>
                <w:szCs w:val="17"/>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143,382</w:t>
            </w:r>
          </w:p>
        </w:tc>
        <w:tc>
          <w:tcPr>
            <w:tcW w:w="280" w:type="dxa"/>
            <w:vAlign w:val="bottom"/>
          </w:tcPr>
          <w:p>
            <w:pPr>
              <w:spacing w:after="0"/>
              <w:rPr>
                <w:sz w:val="17"/>
                <w:szCs w:val="17"/>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color w:val="auto"/>
              </w:rPr>
              <w:t>159,403</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11.2%</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1680"/>
              <w:spacing w:after="0"/>
              <w:rPr>
                <w:sz w:val="20"/>
                <w:szCs w:val="20"/>
                <w:color w:val="auto"/>
              </w:rPr>
            </w:pPr>
            <w:r>
              <w:rPr>
                <w:rFonts w:ascii="Arial" w:cs="Arial" w:eastAsia="Arial" w:hAnsi="Arial"/>
                <w:sz w:val="16"/>
                <w:szCs w:val="16"/>
                <w:b w:val="1"/>
                <w:bCs w:val="1"/>
                <w:color w:val="auto"/>
              </w:rPr>
              <w:t>Total Liabilities</w:t>
            </w:r>
          </w:p>
        </w:tc>
        <w:tc>
          <w:tcPr>
            <w:tcW w:w="1020" w:type="dxa"/>
            <w:vAlign w:val="bottom"/>
          </w:tcPr>
          <w:p>
            <w:pPr>
              <w:jc w:val="right"/>
              <w:ind w:right="58"/>
              <w:spacing w:after="0"/>
              <w:rPr>
                <w:sz w:val="20"/>
                <w:szCs w:val="20"/>
                <w:color w:val="auto"/>
              </w:rPr>
            </w:pPr>
            <w:r>
              <w:rPr>
                <w:rFonts w:ascii="Arial" w:cs="Arial" w:eastAsia="Arial" w:hAnsi="Arial"/>
                <w:sz w:val="16"/>
                <w:szCs w:val="16"/>
                <w:b w:val="1"/>
                <w:bCs w:val="1"/>
                <w:color w:val="auto"/>
              </w:rPr>
              <w:t>1,905,706</w:t>
            </w:r>
          </w:p>
        </w:tc>
        <w:tc>
          <w:tcPr>
            <w:tcW w:w="280" w:type="dxa"/>
            <w:vAlign w:val="bottom"/>
          </w:tcPr>
          <w:p>
            <w:pPr>
              <w:spacing w:after="0"/>
              <w:rPr>
                <w:sz w:val="17"/>
                <w:szCs w:val="17"/>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b w:val="1"/>
                <w:bCs w:val="1"/>
                <w:color w:val="auto"/>
              </w:rPr>
              <w:t>2,681,706</w:t>
            </w:r>
          </w:p>
        </w:tc>
        <w:tc>
          <w:tcPr>
            <w:tcW w:w="280" w:type="dxa"/>
            <w:vAlign w:val="bottom"/>
          </w:tcPr>
          <w:p>
            <w:pPr>
              <w:spacing w:after="0"/>
              <w:rPr>
                <w:sz w:val="17"/>
                <w:szCs w:val="17"/>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b w:val="1"/>
                <w:bCs w:val="1"/>
                <w:color w:val="auto"/>
              </w:rPr>
              <w:t>2,139,714</w:t>
            </w:r>
          </w:p>
        </w:tc>
        <w:tc>
          <w:tcPr>
            <w:tcW w:w="2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1,318,993</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1,318,993</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1,318,993</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Capital Surplus</w:t>
            </w: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384,542</w:t>
            </w:r>
          </w:p>
        </w:tc>
        <w:tc>
          <w:tcPr>
            <w:tcW w:w="280" w:type="dxa"/>
            <w:vAlign w:val="bottom"/>
          </w:tcPr>
          <w:p>
            <w:pPr>
              <w:spacing w:after="0"/>
              <w:rPr>
                <w:sz w:val="17"/>
                <w:szCs w:val="17"/>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384,542</w:t>
            </w:r>
          </w:p>
        </w:tc>
        <w:tc>
          <w:tcPr>
            <w:tcW w:w="280" w:type="dxa"/>
            <w:vAlign w:val="bottom"/>
          </w:tcPr>
          <w:p>
            <w:pPr>
              <w:spacing w:after="0"/>
              <w:rPr>
                <w:sz w:val="17"/>
                <w:szCs w:val="17"/>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color w:val="auto"/>
              </w:rPr>
              <w:t>384,542</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Reserve</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21,070,409</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20,945,491</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20,945,491</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Unrealized results</w:t>
            </w:r>
          </w:p>
        </w:tc>
        <w:tc>
          <w:tcPr>
            <w:tcW w:w="1020" w:type="dxa"/>
            <w:vAlign w:val="bottom"/>
          </w:tcPr>
          <w:p>
            <w:pPr>
              <w:jc w:val="right"/>
              <w:ind w:right="58"/>
              <w:spacing w:after="0"/>
              <w:rPr>
                <w:sz w:val="20"/>
                <w:szCs w:val="20"/>
                <w:color w:val="auto"/>
              </w:rPr>
            </w:pPr>
            <w:r>
              <w:rPr>
                <w:rFonts w:ascii="Arial" w:cs="Arial" w:eastAsia="Arial" w:hAnsi="Arial"/>
                <w:sz w:val="16"/>
                <w:szCs w:val="16"/>
                <w:color w:val="auto"/>
              </w:rPr>
              <w:t>1,666,481</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(281,545)</w:t>
            </w:r>
          </w:p>
        </w:tc>
        <w:tc>
          <w:tcPr>
            <w:tcW w:w="280" w:type="dxa"/>
            <w:vAlign w:val="bottom"/>
          </w:tcPr>
          <w:p>
            <w:pPr>
              <w:spacing w:after="0"/>
              <w:rPr>
                <w:sz w:val="17"/>
                <w:szCs w:val="17"/>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color w:val="auto"/>
              </w:rPr>
              <w:t>62,163</w:t>
            </w:r>
          </w:p>
        </w:tc>
        <w:tc>
          <w:tcPr>
            <w:tcW w:w="280" w:type="dxa"/>
            <w:vAlign w:val="bottom"/>
          </w:tcPr>
          <w:p>
            <w:pPr>
              <w:spacing w:after="0"/>
              <w:rPr>
                <w:sz w:val="17"/>
                <w:szCs w:val="17"/>
                <w:color w:val="auto"/>
              </w:rPr>
            </w:pPr>
          </w:p>
        </w:tc>
        <w:tc>
          <w:tcPr>
            <w:tcW w:w="1540" w:type="dxa"/>
            <w:vAlign w:val="bottom"/>
            <w:gridSpan w:val="3"/>
          </w:tcPr>
          <w:p>
            <w:pPr>
              <w:ind w:left="240"/>
              <w:spacing w:after="0"/>
              <w:rPr>
                <w:sz w:val="20"/>
                <w:szCs w:val="20"/>
                <w:color w:val="auto"/>
              </w:rPr>
            </w:pPr>
            <w:r>
              <w:rPr>
                <w:rFonts w:ascii="Arial" w:cs="Arial" w:eastAsia="Arial" w:hAnsi="Arial"/>
                <w:sz w:val="16"/>
                <w:szCs w:val="16"/>
                <w:color w:val="auto"/>
              </w:rPr>
              <w:t>n.a.</w:t>
            </w:r>
          </w:p>
        </w:tc>
        <w:tc>
          <w:tcPr>
            <w:tcW w:w="940" w:type="dxa"/>
            <w:vAlign w:val="bottom"/>
            <w:gridSpan w:val="2"/>
          </w:tcPr>
          <w:p>
            <w:pPr>
              <w:jc w:val="right"/>
              <w:ind w:right="6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4,584,898</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6,845,768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7,894,547</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ind w:left="1680"/>
              <w:spacing w:after="0"/>
              <w:rPr>
                <w:sz w:val="20"/>
                <w:szCs w:val="20"/>
                <w:color w:val="auto"/>
              </w:rPr>
            </w:pPr>
            <w:r>
              <w:rPr>
                <w:rFonts w:ascii="Arial" w:cs="Arial" w:eastAsia="Arial" w:hAnsi="Arial"/>
                <w:sz w:val="16"/>
                <w:szCs w:val="16"/>
                <w:b w:val="1"/>
                <w:bCs w:val="1"/>
                <w:color w:val="auto"/>
              </w:rPr>
              <w:t>Total net equity</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29,025,323</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29,213,249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30,605,736</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4.8%</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30,931,029</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31,894,955</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32,745,450</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416"/>
        </w:trPr>
        <w:tc>
          <w:tcPr>
            <w:tcW w:w="47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Quarter</w:t>
            </w:r>
          </w:p>
        </w:tc>
        <w:tc>
          <w:tcPr>
            <w:tcW w:w="10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w w:val="93"/>
              </w:rPr>
              <w:t>% change</w:t>
            </w: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Interest income</w:t>
            </w:r>
          </w:p>
        </w:tc>
        <w:tc>
          <w:tcPr>
            <w:tcW w:w="13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4Q20</w:t>
            </w:r>
          </w:p>
        </w:tc>
        <w:tc>
          <w:tcPr>
            <w:tcW w:w="1320" w:type="dxa"/>
            <w:vAlign w:val="bottom"/>
            <w:gridSpan w:val="2"/>
          </w:tcPr>
          <w:p>
            <w:pPr>
              <w:ind w:left="380"/>
              <w:spacing w:after="0"/>
              <w:rPr>
                <w:sz w:val="20"/>
                <w:szCs w:val="20"/>
                <w:color w:val="auto"/>
              </w:rPr>
            </w:pPr>
            <w:r>
              <w:rPr>
                <w:rFonts w:ascii="Arial" w:cs="Arial" w:eastAsia="Arial" w:hAnsi="Arial"/>
                <w:sz w:val="16"/>
                <w:szCs w:val="16"/>
                <w:b w:val="1"/>
                <w:bCs w:val="1"/>
                <w:color w:val="auto"/>
              </w:rPr>
              <w:t>3Q21</w:t>
            </w:r>
          </w:p>
        </w:tc>
        <w:tc>
          <w:tcPr>
            <w:tcW w:w="1080" w:type="dxa"/>
            <w:vAlign w:val="bottom"/>
          </w:tcPr>
          <w:p>
            <w:pPr>
              <w:jc w:val="right"/>
              <w:ind w:right="218"/>
              <w:spacing w:after="0"/>
              <w:rPr>
                <w:sz w:val="20"/>
                <w:szCs w:val="20"/>
                <w:color w:val="auto"/>
              </w:rPr>
            </w:pPr>
            <w:r>
              <w:rPr>
                <w:rFonts w:ascii="Arial" w:cs="Arial" w:eastAsia="Arial" w:hAnsi="Arial"/>
                <w:sz w:val="16"/>
                <w:szCs w:val="16"/>
                <w:b w:val="1"/>
                <w:bCs w:val="1"/>
                <w:color w:val="auto"/>
              </w:rPr>
              <w:t>4Q21</w:t>
            </w:r>
          </w:p>
        </w:tc>
        <w:tc>
          <w:tcPr>
            <w:tcW w:w="280" w:type="dxa"/>
            <w:vAlign w:val="bottom"/>
          </w:tcPr>
          <w:p>
            <w:pPr>
              <w:spacing w:after="0"/>
              <w:rPr>
                <w:sz w:val="16"/>
                <w:szCs w:val="16"/>
                <w:color w:val="auto"/>
              </w:rPr>
            </w:pPr>
          </w:p>
        </w:tc>
        <w:tc>
          <w:tcPr>
            <w:tcW w:w="154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QoQ</w:t>
            </w:r>
          </w:p>
        </w:tc>
        <w:tc>
          <w:tcPr>
            <w:tcW w:w="80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YoY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80" w:type="dxa"/>
            <w:vAlign w:val="bottom"/>
            <w:vMerge w:val="continue"/>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w w:val="92"/>
              </w:rPr>
              <w:t>Net share of the income from investments in subsidiaries and associates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627,467</w:t>
            </w:r>
          </w:p>
        </w:tc>
        <w:tc>
          <w:tcPr>
            <w:tcW w:w="1040" w:type="dxa"/>
            <w:vAlign w:val="bottom"/>
            <w:shd w:val="clear" w:color="auto" w:fill="CCEEFF"/>
          </w:tcPr>
          <w:p>
            <w:pPr>
              <w:ind w:left="400"/>
              <w:spacing w:after="0"/>
              <w:rPr>
                <w:sz w:val="20"/>
                <w:szCs w:val="20"/>
                <w:color w:val="auto"/>
              </w:rPr>
            </w:pPr>
            <w:r>
              <w:rPr>
                <w:rFonts w:ascii="Arial" w:cs="Arial" w:eastAsia="Arial" w:hAnsi="Arial"/>
                <w:sz w:val="16"/>
                <w:szCs w:val="16"/>
                <w:color w:val="auto"/>
                <w:w w:val="87"/>
              </w:rPr>
              <w:t>1,256,878</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1,092,707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Interest and similar income</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2,881</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13,909</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-97.8%</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Net gain on financial assets at fair value through profit or loss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3,860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(2,258)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-158.5%</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Total income</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630,348</w:t>
            </w:r>
          </w:p>
        </w:tc>
        <w:tc>
          <w:tcPr>
            <w:tcW w:w="1040" w:type="dxa"/>
            <w:vAlign w:val="bottom"/>
          </w:tcPr>
          <w:p>
            <w:pPr>
              <w:ind w:left="400"/>
              <w:spacing w:after="0"/>
              <w:rPr>
                <w:sz w:val="20"/>
                <w:szCs w:val="20"/>
                <w:color w:val="auto"/>
              </w:rPr>
            </w:pPr>
            <w:r>
              <w:rPr>
                <w:rFonts w:ascii="Arial" w:cs="Arial" w:eastAsia="Arial" w:hAnsi="Arial"/>
                <w:sz w:val="16"/>
                <w:szCs w:val="16"/>
                <w:b w:val="1"/>
                <w:bCs w:val="1"/>
                <w:color w:val="auto"/>
                <w:w w:val="87"/>
              </w:rPr>
              <w:t>1,274,647</w:t>
            </w:r>
          </w:p>
        </w:tc>
        <w:tc>
          <w:tcPr>
            <w:tcW w:w="2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1,090,757</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Interest and similar expense</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(13,372)</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(15,161)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(15,018)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24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Administrative and general expenses</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(7,601)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74.1%</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(16,296)</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(19,528)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(22,619)</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614,052</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1,255,119</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1,068,138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-14.9%</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color w:val="auto"/>
              </w:rPr>
              <w:t>Exchange differences, net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(38)</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(415)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(142)</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-65.8%</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273.7%</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Other, net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33.3%</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(3,589)</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(421)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(150)</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-64.4%</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Profit before income tax</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615,208</w:t>
            </w:r>
          </w:p>
        </w:tc>
        <w:tc>
          <w:tcPr>
            <w:tcW w:w="1040" w:type="dxa"/>
            <w:vAlign w:val="bottom"/>
          </w:tcPr>
          <w:p>
            <w:pPr>
              <w:ind w:left="400"/>
              <w:spacing w:after="0"/>
              <w:rPr>
                <w:sz w:val="20"/>
                <w:szCs w:val="20"/>
                <w:color w:val="auto"/>
              </w:rPr>
            </w:pPr>
            <w:r>
              <w:rPr>
                <w:rFonts w:ascii="Arial" w:cs="Arial" w:eastAsia="Arial" w:hAnsi="Arial"/>
                <w:sz w:val="16"/>
                <w:szCs w:val="16"/>
                <w:b w:val="1"/>
                <w:bCs w:val="1"/>
                <w:color w:val="auto"/>
                <w:w w:val="87"/>
              </w:rPr>
              <w:t>1,254,698</w:t>
            </w:r>
          </w:p>
        </w:tc>
        <w:tc>
          <w:tcPr>
            <w:tcW w:w="2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1,067,988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-14.9%</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(19,228)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615,208</w:t>
            </w:r>
          </w:p>
        </w:tc>
        <w:tc>
          <w:tcPr>
            <w:tcW w:w="1040" w:type="dxa"/>
            <w:vAlign w:val="bottom"/>
          </w:tcPr>
          <w:p>
            <w:pPr>
              <w:ind w:left="400"/>
              <w:spacing w:after="0"/>
              <w:rPr>
                <w:sz w:val="20"/>
                <w:szCs w:val="20"/>
                <w:color w:val="auto"/>
              </w:rPr>
            </w:pPr>
            <w:r>
              <w:rPr>
                <w:rFonts w:ascii="Arial" w:cs="Arial" w:eastAsia="Arial" w:hAnsi="Arial"/>
                <w:sz w:val="16"/>
                <w:szCs w:val="16"/>
                <w:b w:val="1"/>
                <w:bCs w:val="1"/>
                <w:color w:val="auto"/>
                <w:w w:val="87"/>
              </w:rPr>
              <w:t>1,234,619</w:t>
            </w:r>
          </w:p>
        </w:tc>
        <w:tc>
          <w:tcPr>
            <w:tcW w:w="28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1,048,760</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1540" w:type="dxa"/>
            <w:vAlign w:val="bottom"/>
            <w:gridSpan w:val="3"/>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Arial" w:cs="Arial" w:eastAsia="Arial" w:hAnsi="Arial"/>
                <w:sz w:val="16"/>
                <w:szCs w:val="16"/>
                <w:b w:val="1"/>
                <w:bCs w:val="1"/>
                <w:color w:val="auto"/>
              </w:rPr>
              <w:t>Double Leverage Ratio</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100.32%</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102.22%</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101.84%</w:t>
            </w:r>
          </w:p>
        </w:tc>
        <w:tc>
          <w:tcPr>
            <w:tcW w:w="1540" w:type="dxa"/>
            <w:vAlign w:val="bottom"/>
            <w:gridSpan w:val="3"/>
          </w:tcPr>
          <w:p>
            <w:pPr>
              <w:jc w:val="center"/>
              <w:ind w:right="500"/>
              <w:spacing w:after="0"/>
              <w:rPr>
                <w:sz w:val="20"/>
                <w:szCs w:val="20"/>
                <w:color w:val="auto"/>
              </w:rPr>
            </w:pPr>
            <w:r>
              <w:rPr>
                <w:rFonts w:ascii="Arial" w:cs="Arial" w:eastAsia="Arial" w:hAnsi="Arial"/>
                <w:sz w:val="16"/>
                <w:szCs w:val="16"/>
                <w:color w:val="auto"/>
                <w:w w:val="89"/>
              </w:rPr>
              <w:t>-38bps</w:t>
            </w:r>
          </w:p>
        </w:tc>
        <w:tc>
          <w:tcPr>
            <w:tcW w:w="94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152bps</w:t>
            </w:r>
          </w:p>
        </w:tc>
        <w:tc>
          <w:tcPr>
            <w:tcW w:w="0" w:type="dxa"/>
            <w:vAlign w:val="bottom"/>
          </w:tcPr>
          <w:p>
            <w:pPr>
              <w:spacing w:after="0"/>
              <w:rPr>
                <w:sz w:val="1"/>
                <w:szCs w:val="1"/>
                <w:color w:val="auto"/>
              </w:rPr>
            </w:pPr>
          </w:p>
        </w:tc>
      </w:tr>
      <w:tr>
        <w:trPr>
          <w:trHeight w:val="587"/>
        </w:trPr>
        <w:tc>
          <w:tcPr>
            <w:tcW w:w="4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559"/>
              <w:spacing w:after="0"/>
              <w:rPr>
                <w:sz w:val="20"/>
                <w:szCs w:val="20"/>
                <w:color w:val="auto"/>
              </w:rPr>
            </w:pPr>
            <w:r>
              <w:rPr>
                <w:rFonts w:ascii="Arial" w:cs="Arial" w:eastAsia="Arial" w:hAnsi="Arial"/>
                <w:sz w:val="13"/>
                <w:szCs w:val="13"/>
                <w:color w:val="auto"/>
                <w:w w:val="96"/>
              </w:rPr>
              <w:t>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9"/>
        </w:trPr>
        <w:tc>
          <w:tcPr>
            <w:tcW w:w="4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6762115</wp:posOffset>
            </wp:positionH>
            <wp:positionV relativeFrom="paragraph">
              <wp:posOffset>-661670</wp:posOffset>
            </wp:positionV>
            <wp:extent cx="381635" cy="5842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12.3. BCP Consolidated</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BANCO DE CREDITO DEL PERU AND SUBSIDIARIES</w:t>
      </w:r>
    </w:p>
    <w:p>
      <w:pPr>
        <w:spacing w:after="0" w:line="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CONSOLIDATED STATEMENT OF FINANCIAL POSITION</w:t>
      </w:r>
    </w:p>
    <w:p>
      <w:pPr>
        <w:jc w:val="center"/>
        <w:ind w:right="-1"/>
        <w:spacing w:after="0"/>
        <w:rPr>
          <w:sz w:val="20"/>
          <w:szCs w:val="20"/>
          <w:color w:val="auto"/>
        </w:rPr>
      </w:pPr>
      <w:r>
        <w:rPr>
          <w:rFonts w:ascii="Arial" w:cs="Arial" w:eastAsia="Arial" w:hAnsi="Arial"/>
          <w:sz w:val="20"/>
          <w:szCs w:val="20"/>
          <w:b w:val="1"/>
          <w:bCs w:val="1"/>
          <w:color w:val="auto"/>
        </w:rPr>
        <w:t>(In S/ thousands, IFRS)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6"/>
              </w:rPr>
              <w:t>% change</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20</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Sep 21</w:t>
            </w:r>
          </w:p>
        </w:tc>
        <w:tc>
          <w:tcPr>
            <w:tcW w:w="1040" w:type="dxa"/>
            <w:vAlign w:val="bottom"/>
          </w:tcPr>
          <w:p>
            <w:pPr>
              <w:ind w:left="280"/>
              <w:spacing w:after="0"/>
              <w:rPr>
                <w:sz w:val="20"/>
                <w:szCs w:val="20"/>
                <w:color w:val="auto"/>
              </w:rPr>
            </w:pPr>
            <w:r>
              <w:rPr>
                <w:rFonts w:ascii="Arial" w:cs="Arial" w:eastAsia="Arial" w:hAnsi="Arial"/>
                <w:sz w:val="16"/>
                <w:szCs w:val="16"/>
                <w:b w:val="1"/>
                <w:bCs w:val="1"/>
                <w:color w:val="auto"/>
              </w:rPr>
              <w:t>Dec 21</w:t>
            </w:r>
          </w:p>
        </w:tc>
        <w:tc>
          <w:tcPr>
            <w:tcW w:w="200" w:type="dxa"/>
            <w:vAlign w:val="bottom"/>
          </w:tcPr>
          <w:p>
            <w:pPr>
              <w:spacing w:after="0"/>
              <w:rPr>
                <w:sz w:val="16"/>
                <w:szCs w:val="16"/>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QoQ</w:t>
            </w:r>
          </w:p>
        </w:tc>
        <w:tc>
          <w:tcPr>
            <w:tcW w:w="700" w:type="dxa"/>
            <w:vAlign w:val="bottom"/>
          </w:tcPr>
          <w:p>
            <w:pPr>
              <w:jc w:val="right"/>
              <w:ind w:right="258"/>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60" w:type="dxa"/>
            <w:vAlign w:val="bottom"/>
            <w:vMerge w:val="continue"/>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5,814,295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6,157,037</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4,895,726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27,257,699</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33,783,609</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30,481,516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33,071,994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39,940,646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35,377,242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Cash collateral, reverse repurchase agreements and securities borrowing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1,345,981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1,027,761</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344,460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-66.5%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-74.4%</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2,168,500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1,406,424</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1,261,896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Fair value through other comprehensive income investments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29,604,474</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18,191,125</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19,367,305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6.5%</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-34.6%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Amortized cost investments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4,933,333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7,597,755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7,677,804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55.6%</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125,716,877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133,369,027</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134,734,202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Current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121,179,978</w:t>
            </w:r>
          </w:p>
        </w:tc>
        <w:tc>
          <w:tcPr>
            <w:tcW w:w="1060" w:type="dxa"/>
            <w:vAlign w:val="bottom"/>
          </w:tcPr>
          <w:p>
            <w:pPr>
              <w:jc w:val="right"/>
              <w:spacing w:after="0"/>
              <w:rPr>
                <w:sz w:val="20"/>
                <w:szCs w:val="20"/>
                <w:color w:val="auto"/>
              </w:rPr>
            </w:pPr>
            <w:r>
              <w:rPr>
                <w:rFonts w:ascii="Arial" w:cs="Arial" w:eastAsia="Arial" w:hAnsi="Arial"/>
                <w:sz w:val="16"/>
                <w:szCs w:val="16"/>
                <w:color w:val="auto"/>
              </w:rPr>
              <w:t>128,090,680</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129,311,792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4,536,899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5,278,347</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5,422,410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Less - allowance for loan losses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(9,266,046)</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(8,474,947)</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(7,937,985)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 net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116,450,831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124,894,080</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126,796,217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7" w:lineRule="exact"/>
              <w:rPr>
                <w:sz w:val="20"/>
                <w:szCs w:val="20"/>
                <w:color w:val="auto"/>
              </w:rPr>
            </w:pPr>
            <w:r>
              <w:rPr>
                <w:rFonts w:ascii="Arial" w:cs="Arial" w:eastAsia="Arial" w:hAnsi="Arial"/>
                <w:sz w:val="14"/>
                <w:szCs w:val="14"/>
                <w:b w:val="1"/>
                <w:bCs w:val="1"/>
                <w:color w:val="auto"/>
              </w:rPr>
              <w:t xml:space="preserve">Property, furniture and equipment, net </w:t>
            </w:r>
            <w:r>
              <w:rPr>
                <w:rFonts w:ascii="Arial" w:cs="Arial" w:eastAsia="Arial" w:hAnsi="Arial"/>
                <w:sz w:val="22"/>
                <w:szCs w:val="22"/>
                <w:b w:val="1"/>
                <w:bCs w:val="1"/>
                <w:color w:val="auto"/>
                <w:vertAlign w:val="superscript"/>
              </w:rPr>
              <w:t>(1)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1,789,869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1,634,143</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1,628,645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776,863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532,404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-31.5%</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7" w:lineRule="exact"/>
              <w:rPr>
                <w:sz w:val="20"/>
                <w:szCs w:val="20"/>
                <w:color w:val="auto"/>
              </w:rPr>
            </w:pPr>
            <w:r>
              <w:rPr>
                <w:rFonts w:ascii="Arial" w:cs="Arial" w:eastAsia="Arial" w:hAnsi="Arial"/>
                <w:sz w:val="14"/>
                <w:szCs w:val="14"/>
                <w:b w:val="1"/>
                <w:bCs w:val="1"/>
                <w:color w:val="auto"/>
              </w:rPr>
              <w:t xml:space="preserve">Other assets </w:t>
            </w:r>
            <w:r>
              <w:rPr>
                <w:rFonts w:ascii="Arial" w:cs="Arial" w:eastAsia="Arial" w:hAnsi="Arial"/>
                <w:sz w:val="22"/>
                <w:szCs w:val="22"/>
                <w:b w:val="1"/>
                <w:bCs w:val="1"/>
                <w:color w:val="auto"/>
                <w:vertAlign w:val="superscript"/>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5,882,200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7,497,739</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6,321,863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-15.7%</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86"/>
              </w:rPr>
              <w:t>Total Assets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195,702,525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202,966,536</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199,307,836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Deposits and obligations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line="197" w:lineRule="exact"/>
              <w:rPr>
                <w:sz w:val="20"/>
                <w:szCs w:val="20"/>
                <w:color w:val="auto"/>
              </w:rPr>
            </w:pPr>
            <w:r>
              <w:rPr>
                <w:rFonts w:ascii="Arial" w:cs="Arial" w:eastAsia="Arial" w:hAnsi="Arial"/>
                <w:sz w:val="14"/>
                <w:szCs w:val="14"/>
                <w:color w:val="auto"/>
              </w:rPr>
              <w:t xml:space="preserve">Non-interest bearing </w:t>
            </w:r>
            <w:r>
              <w:rPr>
                <w:rFonts w:ascii="Arial" w:cs="Arial" w:eastAsia="Arial" w:hAnsi="Arial"/>
                <w:sz w:val="22"/>
                <w:szCs w:val="22"/>
                <w:color w:val="auto"/>
                <w:vertAlign w:val="superscript"/>
              </w:rPr>
              <w:t>(1)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43,740,097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47,262,689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44,598,038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Interest bearing </w:t>
            </w:r>
            <w:r>
              <w:rPr>
                <w:rFonts w:ascii="Arial" w:cs="Arial" w:eastAsia="Arial" w:hAnsi="Arial"/>
                <w:sz w:val="22"/>
                <w:szCs w:val="22"/>
                <w:color w:val="auto"/>
                <w:vertAlign w:val="superscript"/>
              </w:rPr>
              <w:t>(1)</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83,231,861</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86,404,649</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87,552,576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126,971,958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133,667,338</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132,150,614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26,267,587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21,308,690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20,250,739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BCRP instruments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25,734,963</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20,746,109</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19,692,474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532,624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562,581</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558,265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5,843,676</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6,973,909</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6,684,191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-4.2%</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Bonds and notes issued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13,811,673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14,838,736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14,482,984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Banker’s acceptances outstanding</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776,863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532,404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-31.5%</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205,898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484,531</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-100.0%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196"/>
        </w:trPr>
        <w:tc>
          <w:tcPr>
            <w:tcW w:w="5160" w:type="dxa"/>
            <w:vAlign w:val="bottom"/>
          </w:tcPr>
          <w:p>
            <w:pPr>
              <w:spacing w:after="0" w:line="197" w:lineRule="exact"/>
              <w:rPr>
                <w:sz w:val="20"/>
                <w:szCs w:val="20"/>
                <w:color w:val="auto"/>
              </w:rPr>
            </w:pPr>
            <w:r>
              <w:rPr>
                <w:rFonts w:ascii="Arial" w:cs="Arial" w:eastAsia="Arial" w:hAnsi="Arial"/>
                <w:sz w:val="14"/>
                <w:szCs w:val="14"/>
                <w:b w:val="1"/>
                <w:bCs w:val="1"/>
                <w:color w:val="auto"/>
              </w:rPr>
              <w:t xml:space="preserve">Other liabilities </w:t>
            </w:r>
            <w:r>
              <w:rPr>
                <w:rFonts w:ascii="Arial" w:cs="Arial" w:eastAsia="Arial" w:hAnsi="Arial"/>
                <w:sz w:val="22"/>
                <w:szCs w:val="22"/>
                <w:b w:val="1"/>
                <w:bCs w:val="1"/>
                <w:color w:val="auto"/>
                <w:vertAlign w:val="superscript"/>
              </w:rPr>
              <w:t>(3)</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3,811,752</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5,287,243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4,444,071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-15.9%</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4"/>
              </w:rPr>
              <w:t>Total Liabilities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177,367,887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183,337,310</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178,545,003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equity</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18,217,739</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19,505,851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20,633,464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Capital stock</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10,774,006</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11,024,006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11,024,006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Reserves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5,947,808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6,488,969</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6,488,969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Unrealized gains and losses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697,475</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(583,178)</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(495,371)</w:t>
            </w:r>
          </w:p>
        </w:tc>
        <w:tc>
          <w:tcPr>
            <w:tcW w:w="1500" w:type="dxa"/>
            <w:vAlign w:val="bottom"/>
            <w:gridSpan w:val="3"/>
          </w:tcPr>
          <w:p>
            <w:pPr>
              <w:jc w:val="center"/>
              <w:ind w:right="540"/>
              <w:spacing w:after="0"/>
              <w:rPr>
                <w:sz w:val="20"/>
                <w:szCs w:val="20"/>
                <w:color w:val="auto"/>
              </w:rPr>
            </w:pPr>
            <w:r>
              <w:rPr>
                <w:rFonts w:ascii="Arial" w:cs="Arial" w:eastAsia="Arial" w:hAnsi="Arial"/>
                <w:sz w:val="16"/>
                <w:szCs w:val="16"/>
                <w:color w:val="auto"/>
                <w:w w:val="89"/>
              </w:rPr>
              <w:t>n.a.</w:t>
            </w:r>
          </w:p>
        </w:tc>
        <w:tc>
          <w:tcPr>
            <w:tcW w:w="860" w:type="dxa"/>
            <w:vAlign w:val="bottom"/>
            <w:gridSpan w:val="2"/>
          </w:tcPr>
          <w:p>
            <w:pPr>
              <w:jc w:val="right"/>
              <w:ind w:right="5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798,450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2,576,054</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3,615,860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116,899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123,375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129,369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5"/>
              </w:rPr>
              <w:t>Total Net Equity</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18,334,638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19,629,226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20,762,833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195,702,525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202,966,536</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199,307,836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Off-balance sheet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114,520,519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139,250,038</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136,495,830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Total performance bonds, stand-by and L/Cs.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19,477,129</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20,761,917</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21,203,561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Undrawn credit lines, advised but not committed</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70,391,997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80,631,043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75,333,998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8"/>
        </w:trPr>
        <w:tc>
          <w:tcPr>
            <w:tcW w:w="516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24,651,393</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37,857,078</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39,958,271</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bl>
    <w:p>
      <w:pPr>
        <w:ind w:left="282" w:hanging="282"/>
        <w:spacing w:after="0" w:line="230" w:lineRule="auto"/>
        <w:tabs>
          <w:tab w:leader="none" w:pos="282" w:val="left"/>
        </w:tabs>
        <w:numPr>
          <w:ilvl w:val="0"/>
          <w:numId w:val="76"/>
        </w:numPr>
        <w:rPr>
          <w:rFonts w:ascii="Arial" w:cs="Arial" w:eastAsia="Arial" w:hAnsi="Arial"/>
          <w:sz w:val="20"/>
          <w:szCs w:val="20"/>
          <w:color w:val="auto"/>
        </w:rPr>
      </w:pPr>
      <w:r>
        <w:rPr>
          <w:rFonts w:ascii="Arial" w:cs="Arial" w:eastAsia="Arial" w:hAnsi="Arial"/>
          <w:sz w:val="20"/>
          <w:szCs w:val="20"/>
          <w:color w:val="auto"/>
        </w:rPr>
        <w:t>Right of use asset of lease contracts is included by application of IFRS 16.</w:t>
      </w:r>
    </w:p>
    <w:p>
      <w:pPr>
        <w:ind w:left="282" w:hanging="282"/>
        <w:spacing w:after="0" w:line="230" w:lineRule="auto"/>
        <w:tabs>
          <w:tab w:leader="none" w:pos="282" w:val="left"/>
        </w:tabs>
        <w:numPr>
          <w:ilvl w:val="0"/>
          <w:numId w:val="76"/>
        </w:numPr>
        <w:rPr>
          <w:rFonts w:ascii="Arial" w:cs="Arial" w:eastAsia="Arial" w:hAnsi="Arial"/>
          <w:sz w:val="20"/>
          <w:szCs w:val="20"/>
          <w:color w:val="auto"/>
        </w:rPr>
      </w:pPr>
      <w:r>
        <w:rPr>
          <w:rFonts w:ascii="Arial" w:cs="Arial" w:eastAsia="Arial" w:hAnsi="Arial"/>
          <w:sz w:val="20"/>
          <w:szCs w:val="20"/>
          <w:color w:val="auto"/>
        </w:rPr>
        <w:t>Mainly includes intangible assets, other receivable accounts and tax credit.</w:t>
      </w:r>
    </w:p>
    <w:p>
      <w:pPr>
        <w:ind w:left="282" w:hanging="282"/>
        <w:spacing w:after="0"/>
        <w:tabs>
          <w:tab w:leader="none" w:pos="282" w:val="left"/>
        </w:tabs>
        <w:numPr>
          <w:ilvl w:val="0"/>
          <w:numId w:val="76"/>
        </w:numPr>
        <w:rPr>
          <w:rFonts w:ascii="Arial" w:cs="Arial" w:eastAsia="Arial" w:hAnsi="Arial"/>
          <w:sz w:val="20"/>
          <w:szCs w:val="20"/>
          <w:color w:val="auto"/>
        </w:rPr>
      </w:pPr>
      <w:r>
        <w:rPr>
          <w:rFonts w:ascii="Arial" w:cs="Arial" w:eastAsia="Arial" w:hAnsi="Arial"/>
          <w:sz w:val="20"/>
          <w:szCs w:val="20"/>
          <w:color w:val="auto"/>
        </w:rPr>
        <w:t>Mainly includes other payable accounts.</w:t>
      </w:r>
    </w:p>
    <w:p>
      <w:pPr>
        <w:spacing w:after="0" w:line="200" w:lineRule="exact"/>
        <w:rPr>
          <w:sz w:val="20"/>
          <w:szCs w:val="20"/>
          <w:color w:val="auto"/>
        </w:rPr>
      </w:pPr>
    </w:p>
    <w:p>
      <w:pPr>
        <w:spacing w:after="0" w:line="232"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73" w:name="page74"/>
    <w:bookmarkEnd w:id="73"/>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BANCO DE CREDITO DEL PERU AND SUBSIDIARIES</w:t>
      </w:r>
    </w:p>
    <w:p>
      <w:pPr>
        <w:spacing w:after="0" w:line="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CONSOLIDATED STATEMENT OF INCOME</w:t>
      </w:r>
    </w:p>
    <w:p>
      <w:pPr>
        <w:jc w:val="center"/>
        <w:ind w:right="-1"/>
        <w:spacing w:after="0"/>
        <w:rPr>
          <w:sz w:val="20"/>
          <w:szCs w:val="20"/>
          <w:color w:val="auto"/>
        </w:rPr>
      </w:pPr>
      <w:r>
        <w:rPr>
          <w:rFonts w:ascii="Arial" w:cs="Arial" w:eastAsia="Arial" w:hAnsi="Arial"/>
          <w:sz w:val="20"/>
          <w:szCs w:val="20"/>
          <w:b w:val="1"/>
          <w:bCs w:val="1"/>
          <w:color w:val="auto"/>
        </w:rPr>
        <w:t>(In S/ thousands, IFRS)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58"/>
              <w:spacing w:after="0"/>
              <w:rPr>
                <w:sz w:val="20"/>
                <w:szCs w:val="20"/>
                <w:color w:val="auto"/>
              </w:rPr>
            </w:pPr>
            <w:r>
              <w:rPr>
                <w:rFonts w:ascii="Arial" w:cs="Arial" w:eastAsia="Arial" w:hAnsi="Arial"/>
                <w:sz w:val="16"/>
                <w:szCs w:val="16"/>
                <w:b w:val="1"/>
                <w:bCs w:val="1"/>
                <w:color w:val="auto"/>
              </w:rPr>
              <w:t>Quarter</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8"/>
          </w:tcPr>
          <w:p>
            <w:pPr>
              <w:jc w:val="right"/>
              <w:ind w:right="760"/>
              <w:spacing w:after="0"/>
              <w:rPr>
                <w:sz w:val="20"/>
                <w:szCs w:val="20"/>
                <w:color w:val="auto"/>
              </w:rPr>
            </w:pPr>
            <w:r>
              <w:rPr>
                <w:rFonts w:ascii="Arial" w:cs="Arial" w:eastAsia="Arial" w:hAnsi="Arial"/>
                <w:sz w:val="16"/>
                <w:szCs w:val="16"/>
                <w:b w:val="1"/>
                <w:bCs w:val="1"/>
                <w:color w:val="auto"/>
              </w:rPr>
              <w:t>% change</w:t>
            </w:r>
          </w:p>
        </w:tc>
        <w:tc>
          <w:tcPr>
            <w:tcW w:w="720" w:type="dxa"/>
            <w:vAlign w:val="bottom"/>
          </w:tcPr>
          <w:p>
            <w:pPr>
              <w:spacing w:after="0"/>
              <w:rPr>
                <w:sz w:val="18"/>
                <w:szCs w:val="18"/>
                <w:color w:val="auto"/>
              </w:rPr>
            </w:pPr>
          </w:p>
        </w:tc>
        <w:tc>
          <w:tcPr>
            <w:tcW w:w="42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Year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3140" w:type="dxa"/>
            <w:vAlign w:val="bottom"/>
            <w:vMerge w:val="restart"/>
          </w:tcPr>
          <w:p>
            <w:pPr>
              <w:spacing w:after="0"/>
              <w:rPr>
                <w:sz w:val="20"/>
                <w:szCs w:val="20"/>
                <w:color w:val="auto"/>
              </w:rPr>
            </w:pPr>
            <w:r>
              <w:rPr>
                <w:rFonts w:ascii="Arial" w:cs="Arial" w:eastAsia="Arial" w:hAnsi="Arial"/>
                <w:sz w:val="16"/>
                <w:szCs w:val="16"/>
                <w:b w:val="1"/>
                <w:bCs w:val="1"/>
                <w:color w:val="auto"/>
              </w:rPr>
              <w:t>Interest income and expense</w:t>
            </w:r>
          </w:p>
        </w:tc>
        <w:tc>
          <w:tcPr>
            <w:tcW w:w="9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4Q21</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right"/>
              <w:ind w:right="218"/>
              <w:spacing w:after="0"/>
              <w:rPr>
                <w:sz w:val="20"/>
                <w:szCs w:val="20"/>
                <w:color w:val="auto"/>
              </w:rPr>
            </w:pPr>
            <w:r>
              <w:rPr>
                <w:rFonts w:ascii="Arial" w:cs="Arial" w:eastAsia="Arial" w:hAnsi="Arial"/>
                <w:sz w:val="16"/>
                <w:szCs w:val="16"/>
                <w:b w:val="1"/>
                <w:bCs w:val="1"/>
                <w:color w:val="auto"/>
              </w:rPr>
              <w:t>3Q21</w:t>
            </w: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3"/>
          </w:tcPr>
          <w:p>
            <w:pPr>
              <w:jc w:val="center"/>
              <w:ind w:left="18"/>
              <w:spacing w:after="0"/>
              <w:rPr>
                <w:sz w:val="20"/>
                <w:szCs w:val="20"/>
                <w:color w:val="auto"/>
              </w:rPr>
            </w:pPr>
            <w:r>
              <w:rPr>
                <w:rFonts w:ascii="Arial" w:cs="Arial" w:eastAsia="Arial" w:hAnsi="Arial"/>
                <w:sz w:val="16"/>
                <w:szCs w:val="16"/>
                <w:b w:val="1"/>
                <w:bCs w:val="1"/>
                <w:color w:val="auto"/>
                <w:w w:val="96"/>
              </w:rPr>
              <w:t>4Q21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rPr>
              <w:t>QoQ</w:t>
            </w:r>
          </w:p>
        </w:tc>
        <w:tc>
          <w:tcPr>
            <w:tcW w:w="7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dividend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2,456,757</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color w:val="auto"/>
              </w:rPr>
              <w:t>2,542,011</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2,626,005</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10,099,154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2"/>
              </w:rPr>
              <w:t>10,022,744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2"/>
                <w:szCs w:val="22"/>
                <w:color w:val="auto"/>
                <w:vertAlign w:val="superscript"/>
              </w:rPr>
              <w:t>(1)</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(498,254)</w:t>
            </w:r>
          </w:p>
        </w:tc>
        <w:tc>
          <w:tcPr>
            <w:tcW w:w="1040" w:type="dxa"/>
            <w:vAlign w:val="bottom"/>
            <w:gridSpan w:val="5"/>
          </w:tcPr>
          <w:p>
            <w:pPr>
              <w:jc w:val="right"/>
              <w:spacing w:after="0"/>
              <w:rPr>
                <w:sz w:val="20"/>
                <w:szCs w:val="20"/>
                <w:color w:val="auto"/>
              </w:rPr>
            </w:pPr>
            <w:r>
              <w:rPr>
                <w:rFonts w:ascii="Arial" w:cs="Arial" w:eastAsia="Arial" w:hAnsi="Arial"/>
                <w:sz w:val="16"/>
                <w:szCs w:val="16"/>
                <w:color w:val="auto"/>
              </w:rPr>
              <w:t>(443,398)</w:t>
            </w:r>
          </w:p>
        </w:tc>
        <w:tc>
          <w:tcPr>
            <w:tcW w:w="1020" w:type="dxa"/>
            <w:vAlign w:val="bottom"/>
            <w:gridSpan w:val="5"/>
          </w:tcPr>
          <w:p>
            <w:pPr>
              <w:jc w:val="right"/>
              <w:ind w:right="60"/>
              <w:spacing w:after="0"/>
              <w:rPr>
                <w:sz w:val="20"/>
                <w:szCs w:val="20"/>
                <w:color w:val="auto"/>
              </w:rPr>
            </w:pPr>
            <w:r>
              <w:rPr>
                <w:rFonts w:ascii="Arial" w:cs="Arial" w:eastAsia="Arial" w:hAnsi="Arial"/>
                <w:sz w:val="16"/>
                <w:szCs w:val="16"/>
                <w:color w:val="auto"/>
              </w:rPr>
              <w:t>(459,334)</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(2,450,702)</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(1,896,683)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line="197"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2"/>
                <w:szCs w:val="22"/>
                <w:b w:val="1"/>
                <w:bCs w:val="1"/>
                <w:color w:val="auto"/>
                <w:vertAlign w:val="superscript"/>
              </w:rPr>
              <w:t>(1)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1,958,503</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2,098,613</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2,166,671</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3.2%</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10.6%</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7,648,452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8,126,061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(735,523)</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(249,273)</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(224,506)</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(5,752,462)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(1,539,152)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47,591</w:t>
            </w:r>
          </w:p>
        </w:tc>
        <w:tc>
          <w:tcPr>
            <w:tcW w:w="1040" w:type="dxa"/>
            <w:vAlign w:val="bottom"/>
            <w:gridSpan w:val="5"/>
          </w:tcPr>
          <w:p>
            <w:pPr>
              <w:jc w:val="right"/>
              <w:ind w:right="38"/>
              <w:spacing w:after="0"/>
              <w:rPr>
                <w:sz w:val="20"/>
                <w:szCs w:val="20"/>
                <w:color w:val="auto"/>
              </w:rPr>
            </w:pPr>
            <w:r>
              <w:rPr>
                <w:rFonts w:ascii="Arial" w:cs="Arial" w:eastAsia="Arial" w:hAnsi="Arial"/>
                <w:sz w:val="16"/>
                <w:szCs w:val="16"/>
                <w:color w:val="auto"/>
              </w:rPr>
              <w:t>93,671</w:t>
            </w:r>
          </w:p>
        </w:tc>
        <w:tc>
          <w:tcPr>
            <w:tcW w:w="1020" w:type="dxa"/>
            <w:vAlign w:val="bottom"/>
            <w:gridSpan w:val="5"/>
          </w:tcPr>
          <w:p>
            <w:pPr>
              <w:jc w:val="right"/>
              <w:ind w:right="120"/>
              <w:spacing w:after="0"/>
              <w:rPr>
                <w:sz w:val="20"/>
                <w:szCs w:val="20"/>
                <w:color w:val="auto"/>
              </w:rPr>
            </w:pPr>
            <w:r>
              <w:rPr>
                <w:rFonts w:ascii="Arial" w:cs="Arial" w:eastAsia="Arial" w:hAnsi="Arial"/>
                <w:sz w:val="16"/>
                <w:szCs w:val="16"/>
                <w:color w:val="auto"/>
              </w:rPr>
              <w:t>95,748</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2.2%</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147,854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323,538</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w w:val="92"/>
              </w:rPr>
              <w:t>Provision for credit losses on loan portfolio,</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of recoveries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(687,932)</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(155,602)</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(128,758)</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-17.3%</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-81.3%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(5,604,608)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7"/>
              </w:rPr>
              <w:t>(1,215,614)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-78.3%</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Risk-adjusted net interest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1,270,571</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1,943,011</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2,037,913</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4.9%</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60.4%</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2,043,844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6,910,447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238.1%</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income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rPr>
                <w:sz w:val="20"/>
                <w:szCs w:val="20"/>
                <w:color w:val="auto"/>
              </w:rPr>
            </w:pPr>
            <w:r>
              <w:rPr>
                <w:rFonts w:ascii="Arial" w:cs="Arial" w:eastAsia="Arial" w:hAnsi="Arial"/>
                <w:sz w:val="16"/>
                <w:szCs w:val="16"/>
                <w:color w:val="auto"/>
              </w:rPr>
              <w:t>Fee income</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694,348</w:t>
            </w:r>
          </w:p>
        </w:tc>
        <w:tc>
          <w:tcPr>
            <w:tcW w:w="80" w:type="dxa"/>
            <w:vAlign w:val="bottom"/>
          </w:tcPr>
          <w:p>
            <w:pPr>
              <w:spacing w:after="0"/>
              <w:rPr>
                <w:sz w:val="17"/>
                <w:szCs w:val="17"/>
                <w:color w:val="auto"/>
              </w:rPr>
            </w:pPr>
          </w:p>
        </w:tc>
        <w:tc>
          <w:tcPr>
            <w:tcW w:w="1040" w:type="dxa"/>
            <w:vAlign w:val="bottom"/>
            <w:gridSpan w:val="5"/>
          </w:tcPr>
          <w:p>
            <w:pPr>
              <w:jc w:val="right"/>
              <w:ind w:right="38"/>
              <w:spacing w:after="0"/>
              <w:rPr>
                <w:sz w:val="20"/>
                <w:szCs w:val="20"/>
                <w:color w:val="auto"/>
              </w:rPr>
            </w:pPr>
            <w:r>
              <w:rPr>
                <w:rFonts w:ascii="Arial" w:cs="Arial" w:eastAsia="Arial" w:hAnsi="Arial"/>
                <w:sz w:val="16"/>
                <w:szCs w:val="16"/>
                <w:color w:val="auto"/>
              </w:rPr>
              <w:t>688,357</w:t>
            </w:r>
          </w:p>
        </w:tc>
        <w:tc>
          <w:tcPr>
            <w:tcW w:w="1020" w:type="dxa"/>
            <w:vAlign w:val="bottom"/>
            <w:gridSpan w:val="5"/>
          </w:tcPr>
          <w:p>
            <w:pPr>
              <w:jc w:val="right"/>
              <w:ind w:right="120"/>
              <w:spacing w:after="0"/>
              <w:rPr>
                <w:sz w:val="20"/>
                <w:szCs w:val="20"/>
                <w:color w:val="auto"/>
              </w:rPr>
            </w:pPr>
            <w:r>
              <w:rPr>
                <w:rFonts w:ascii="Arial" w:cs="Arial" w:eastAsia="Arial" w:hAnsi="Arial"/>
                <w:sz w:val="16"/>
                <w:szCs w:val="16"/>
                <w:color w:val="auto"/>
              </w:rPr>
              <w:t>749,416</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8.9%</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2,248,910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2,718,531</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Net gain on foreign exchange transactions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180,363</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color w:val="auto"/>
              </w:rPr>
              <w:t>234,313</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239,930</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654,537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888,261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rPr>
                <w:sz w:val="20"/>
                <w:szCs w:val="20"/>
                <w:color w:val="auto"/>
              </w:rPr>
            </w:pPr>
            <w:r>
              <w:rPr>
                <w:rFonts w:ascii="Arial" w:cs="Arial" w:eastAsia="Arial" w:hAnsi="Arial"/>
                <w:sz w:val="16"/>
                <w:szCs w:val="16"/>
                <w:color w:val="auto"/>
              </w:rPr>
              <w:t>Net gain on securities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11,194</w:t>
            </w:r>
          </w:p>
        </w:tc>
        <w:tc>
          <w:tcPr>
            <w:tcW w:w="80" w:type="dxa"/>
            <w:vAlign w:val="bottom"/>
          </w:tcPr>
          <w:p>
            <w:pPr>
              <w:spacing w:after="0"/>
              <w:rPr>
                <w:sz w:val="17"/>
                <w:szCs w:val="17"/>
                <w:color w:val="auto"/>
              </w:rPr>
            </w:pPr>
          </w:p>
        </w:tc>
        <w:tc>
          <w:tcPr>
            <w:tcW w:w="1040" w:type="dxa"/>
            <w:vAlign w:val="bottom"/>
            <w:gridSpan w:val="5"/>
          </w:tcPr>
          <w:p>
            <w:pPr>
              <w:jc w:val="right"/>
              <w:spacing w:after="0"/>
              <w:rPr>
                <w:sz w:val="20"/>
                <w:szCs w:val="20"/>
                <w:color w:val="auto"/>
              </w:rPr>
            </w:pPr>
            <w:r>
              <w:rPr>
                <w:rFonts w:ascii="Arial" w:cs="Arial" w:eastAsia="Arial" w:hAnsi="Arial"/>
                <w:sz w:val="16"/>
                <w:szCs w:val="16"/>
                <w:color w:val="auto"/>
              </w:rPr>
              <w:t>(30,017)</w:t>
            </w:r>
          </w:p>
        </w:tc>
        <w:tc>
          <w:tcPr>
            <w:tcW w:w="1020" w:type="dxa"/>
            <w:vAlign w:val="bottom"/>
            <w:gridSpan w:val="5"/>
          </w:tcPr>
          <w:p>
            <w:pPr>
              <w:jc w:val="right"/>
              <w:ind w:right="60"/>
              <w:spacing w:after="0"/>
              <w:rPr>
                <w:sz w:val="20"/>
                <w:szCs w:val="20"/>
                <w:color w:val="auto"/>
              </w:rPr>
            </w:pPr>
            <w:r>
              <w:rPr>
                <w:rFonts w:ascii="Arial" w:cs="Arial" w:eastAsia="Arial" w:hAnsi="Arial"/>
                <w:sz w:val="16"/>
                <w:szCs w:val="16"/>
                <w:color w:val="auto"/>
              </w:rPr>
              <w:t>(7,511)</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-75.0%</w:t>
            </w:r>
          </w:p>
        </w:tc>
        <w:tc>
          <w:tcPr>
            <w:tcW w:w="960" w:type="dxa"/>
            <w:vAlign w:val="bottom"/>
            <w:gridSpan w:val="4"/>
          </w:tcPr>
          <w:p>
            <w:pPr>
              <w:jc w:val="right"/>
              <w:ind w:right="480"/>
              <w:spacing w:after="0"/>
              <w:rPr>
                <w:sz w:val="20"/>
                <w:szCs w:val="20"/>
                <w:color w:val="auto"/>
              </w:rPr>
            </w:pPr>
            <w:r>
              <w:rPr>
                <w:rFonts w:ascii="Arial" w:cs="Arial" w:eastAsia="Arial" w:hAnsi="Arial"/>
                <w:sz w:val="16"/>
                <w:szCs w:val="16"/>
                <w:color w:val="auto"/>
              </w:rPr>
              <w:t>n.a.</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125,383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(125,890)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derivatives held for trading</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color w:val="auto"/>
              </w:rPr>
              <w:t>462</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27,477</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5847.4%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396.2%</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52,451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72,103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Net gain from exchange differences </w:t>
            </w:r>
            <w:r>
              <w:rPr>
                <w:rFonts w:ascii="Arial" w:cs="Arial" w:eastAsia="Arial" w:hAnsi="Arial"/>
                <w:sz w:val="22"/>
                <w:szCs w:val="22"/>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3,996</w:t>
            </w:r>
          </w:p>
        </w:tc>
        <w:tc>
          <w:tcPr>
            <w:tcW w:w="80" w:type="dxa"/>
            <w:vAlign w:val="bottom"/>
          </w:tcPr>
          <w:p>
            <w:pPr>
              <w:spacing w:after="0"/>
              <w:rPr>
                <w:sz w:val="17"/>
                <w:szCs w:val="17"/>
                <w:color w:val="auto"/>
              </w:rPr>
            </w:pPr>
          </w:p>
        </w:tc>
        <w:tc>
          <w:tcPr>
            <w:tcW w:w="1040" w:type="dxa"/>
            <w:vAlign w:val="bottom"/>
            <w:gridSpan w:val="5"/>
          </w:tcPr>
          <w:p>
            <w:pPr>
              <w:jc w:val="right"/>
              <w:ind w:right="38"/>
              <w:spacing w:after="0"/>
              <w:rPr>
                <w:sz w:val="20"/>
                <w:szCs w:val="20"/>
                <w:color w:val="auto"/>
              </w:rPr>
            </w:pPr>
            <w:r>
              <w:rPr>
                <w:rFonts w:ascii="Arial" w:cs="Arial" w:eastAsia="Arial" w:hAnsi="Arial"/>
                <w:sz w:val="16"/>
                <w:szCs w:val="16"/>
                <w:color w:val="auto"/>
              </w:rPr>
              <w:t>11,037</w:t>
            </w:r>
          </w:p>
        </w:tc>
        <w:tc>
          <w:tcPr>
            <w:tcW w:w="1020" w:type="dxa"/>
            <w:vAlign w:val="bottom"/>
            <w:gridSpan w:val="5"/>
          </w:tcPr>
          <w:p>
            <w:pPr>
              <w:jc w:val="right"/>
              <w:ind w:right="60"/>
              <w:spacing w:after="0"/>
              <w:rPr>
                <w:sz w:val="20"/>
                <w:szCs w:val="20"/>
                <w:color w:val="auto"/>
              </w:rPr>
            </w:pPr>
            <w:r>
              <w:rPr>
                <w:rFonts w:ascii="Arial" w:cs="Arial" w:eastAsia="Arial" w:hAnsi="Arial"/>
                <w:sz w:val="16"/>
                <w:szCs w:val="16"/>
                <w:color w:val="auto"/>
              </w:rPr>
              <w:t>(4,593)</w:t>
            </w:r>
          </w:p>
        </w:tc>
        <w:tc>
          <w:tcPr>
            <w:tcW w:w="80" w:type="dxa"/>
            <w:vAlign w:val="bottom"/>
          </w:tcPr>
          <w:p>
            <w:pPr>
              <w:spacing w:after="0"/>
              <w:rPr>
                <w:sz w:val="17"/>
                <w:szCs w:val="17"/>
                <w:color w:val="auto"/>
              </w:rPr>
            </w:pPr>
          </w:p>
        </w:tc>
        <w:tc>
          <w:tcPr>
            <w:tcW w:w="980" w:type="dxa"/>
            <w:vAlign w:val="bottom"/>
            <w:gridSpan w:val="4"/>
          </w:tcPr>
          <w:p>
            <w:pPr>
              <w:jc w:val="right"/>
              <w:ind w:right="500"/>
              <w:spacing w:after="0"/>
              <w:rPr>
                <w:sz w:val="20"/>
                <w:szCs w:val="20"/>
                <w:color w:val="auto"/>
              </w:rPr>
            </w:pPr>
            <w:r>
              <w:rPr>
                <w:rFonts w:ascii="Arial" w:cs="Arial" w:eastAsia="Arial" w:hAnsi="Arial"/>
                <w:sz w:val="16"/>
                <w:szCs w:val="16"/>
                <w:color w:val="auto"/>
              </w:rPr>
              <w:t>n.a.</w:t>
            </w:r>
          </w:p>
        </w:tc>
        <w:tc>
          <w:tcPr>
            <w:tcW w:w="960" w:type="dxa"/>
            <w:vAlign w:val="bottom"/>
            <w:gridSpan w:val="4"/>
          </w:tcPr>
          <w:p>
            <w:pPr>
              <w:jc w:val="right"/>
              <w:ind w:right="480"/>
              <w:spacing w:after="0"/>
              <w:rPr>
                <w:sz w:val="20"/>
                <w:szCs w:val="20"/>
                <w:color w:val="auto"/>
              </w:rPr>
            </w:pPr>
            <w:r>
              <w:rPr>
                <w:rFonts w:ascii="Arial" w:cs="Arial" w:eastAsia="Arial" w:hAnsi="Arial"/>
                <w:sz w:val="16"/>
                <w:szCs w:val="16"/>
                <w:color w:val="auto"/>
              </w:rPr>
              <w:t>n.a.</w:t>
            </w: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(5,031)</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60,439</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29,187</w:t>
            </w: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color w:val="auto"/>
              </w:rPr>
              <w:t>31,437</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33,562</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179,816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165,125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line="197" w:lineRule="exact"/>
              <w:rPr>
                <w:sz w:val="20"/>
                <w:szCs w:val="20"/>
                <w:color w:val="auto"/>
              </w:rPr>
            </w:pPr>
            <w:r>
              <w:rPr>
                <w:rFonts w:ascii="Arial" w:cs="Arial" w:eastAsia="Arial" w:hAnsi="Arial"/>
                <w:sz w:val="14"/>
                <w:szCs w:val="14"/>
                <w:b w:val="1"/>
                <w:bCs w:val="1"/>
                <w:color w:val="auto"/>
              </w:rPr>
              <w:t xml:space="preserve">Total other income </w:t>
            </w:r>
            <w:r>
              <w:rPr>
                <w:rFonts w:ascii="Arial" w:cs="Arial" w:eastAsia="Arial" w:hAnsi="Arial"/>
                <w:sz w:val="22"/>
                <w:szCs w:val="22"/>
                <w:b w:val="1"/>
                <w:bCs w:val="1"/>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924,626</w:t>
            </w:r>
          </w:p>
        </w:tc>
        <w:tc>
          <w:tcPr>
            <w:tcW w:w="80" w:type="dxa"/>
            <w:vAlign w:val="bottom"/>
          </w:tcPr>
          <w:p>
            <w:pPr>
              <w:spacing w:after="0"/>
              <w:rPr>
                <w:sz w:val="17"/>
                <w:szCs w:val="17"/>
                <w:color w:val="auto"/>
              </w:rPr>
            </w:pPr>
          </w:p>
        </w:tc>
        <w:tc>
          <w:tcPr>
            <w:tcW w:w="1040" w:type="dxa"/>
            <w:vAlign w:val="bottom"/>
            <w:gridSpan w:val="5"/>
          </w:tcPr>
          <w:p>
            <w:pPr>
              <w:jc w:val="right"/>
              <w:ind w:right="38"/>
              <w:spacing w:after="0"/>
              <w:rPr>
                <w:sz w:val="20"/>
                <w:szCs w:val="20"/>
                <w:color w:val="auto"/>
              </w:rPr>
            </w:pPr>
            <w:r>
              <w:rPr>
                <w:rFonts w:ascii="Arial" w:cs="Arial" w:eastAsia="Arial" w:hAnsi="Arial"/>
                <w:sz w:val="16"/>
                <w:szCs w:val="16"/>
                <w:b w:val="1"/>
                <w:bCs w:val="1"/>
                <w:color w:val="auto"/>
              </w:rPr>
              <w:t>935,589</w:t>
            </w:r>
          </w:p>
        </w:tc>
        <w:tc>
          <w:tcPr>
            <w:tcW w:w="102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1,038,281</w:t>
            </w:r>
          </w:p>
        </w:tc>
        <w:tc>
          <w:tcPr>
            <w:tcW w:w="106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11.0%</w:t>
            </w:r>
          </w:p>
        </w:tc>
        <w:tc>
          <w:tcPr>
            <w:tcW w:w="9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12.3%</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3,256,066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3,778,569</w:t>
            </w: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16.0%</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Salaries and employee benefits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(534,217)</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(629,810)</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(715,877)</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(2,350,479)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(2,581,498)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Administrative expenses </w:t>
            </w:r>
            <w:r>
              <w:rPr>
                <w:rFonts w:ascii="Arial" w:cs="Arial" w:eastAsia="Arial" w:hAnsi="Arial"/>
                <w:sz w:val="22"/>
                <w:szCs w:val="22"/>
                <w:color w:val="auto"/>
                <w:vertAlign w:val="superscript"/>
              </w:rPr>
              <w:t>(1)</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(578,252)</w:t>
            </w:r>
          </w:p>
        </w:tc>
        <w:tc>
          <w:tcPr>
            <w:tcW w:w="1040" w:type="dxa"/>
            <w:vAlign w:val="bottom"/>
            <w:gridSpan w:val="5"/>
          </w:tcPr>
          <w:p>
            <w:pPr>
              <w:jc w:val="right"/>
              <w:spacing w:after="0"/>
              <w:rPr>
                <w:sz w:val="20"/>
                <w:szCs w:val="20"/>
                <w:color w:val="auto"/>
              </w:rPr>
            </w:pPr>
            <w:r>
              <w:rPr>
                <w:rFonts w:ascii="Arial" w:cs="Arial" w:eastAsia="Arial" w:hAnsi="Arial"/>
                <w:sz w:val="16"/>
                <w:szCs w:val="16"/>
                <w:color w:val="auto"/>
              </w:rPr>
              <w:t>(634,281)</w:t>
            </w:r>
          </w:p>
        </w:tc>
        <w:tc>
          <w:tcPr>
            <w:tcW w:w="1020" w:type="dxa"/>
            <w:vAlign w:val="bottom"/>
            <w:gridSpan w:val="5"/>
          </w:tcPr>
          <w:p>
            <w:pPr>
              <w:jc w:val="right"/>
              <w:ind w:right="60"/>
              <w:spacing w:after="0"/>
              <w:rPr>
                <w:sz w:val="20"/>
                <w:szCs w:val="20"/>
                <w:color w:val="auto"/>
              </w:rPr>
            </w:pPr>
            <w:r>
              <w:rPr>
                <w:rFonts w:ascii="Arial" w:cs="Arial" w:eastAsia="Arial" w:hAnsi="Arial"/>
                <w:sz w:val="16"/>
                <w:szCs w:val="16"/>
                <w:color w:val="auto"/>
              </w:rPr>
              <w:t>(694,702)</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9.5%</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(1,819,557)</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(2,279,368)</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line="197"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2"/>
                <w:szCs w:val="22"/>
                <w:color w:val="auto"/>
                <w:vertAlign w:val="superscript"/>
              </w:rPr>
              <w:t>(1)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(126,974)</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(131,420)</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(137,757)</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(518,149)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(522,347)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3140" w:type="dxa"/>
            <w:vAlign w:val="bottom"/>
          </w:tcPr>
          <w:p>
            <w:pPr>
              <w:ind w:left="140"/>
              <w:spacing w:after="0"/>
              <w:rPr>
                <w:sz w:val="20"/>
                <w:szCs w:val="20"/>
                <w:color w:val="auto"/>
              </w:rPr>
            </w:pPr>
            <w:r>
              <w:rPr>
                <w:rFonts w:ascii="Arial" w:cs="Arial" w:eastAsia="Arial" w:hAnsi="Arial"/>
                <w:sz w:val="16"/>
                <w:szCs w:val="16"/>
                <w:color w:val="auto"/>
              </w:rPr>
              <w:t>Other expenses</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(135,309)</w:t>
            </w:r>
          </w:p>
        </w:tc>
        <w:tc>
          <w:tcPr>
            <w:tcW w:w="1040" w:type="dxa"/>
            <w:vAlign w:val="bottom"/>
            <w:gridSpan w:val="5"/>
          </w:tcPr>
          <w:p>
            <w:pPr>
              <w:jc w:val="right"/>
              <w:spacing w:after="0"/>
              <w:rPr>
                <w:sz w:val="20"/>
                <w:szCs w:val="20"/>
                <w:color w:val="auto"/>
              </w:rPr>
            </w:pPr>
            <w:r>
              <w:rPr>
                <w:rFonts w:ascii="Arial" w:cs="Arial" w:eastAsia="Arial" w:hAnsi="Arial"/>
                <w:sz w:val="16"/>
                <w:szCs w:val="16"/>
                <w:color w:val="auto"/>
              </w:rPr>
              <w:t>(50,893)</w:t>
            </w:r>
          </w:p>
        </w:tc>
        <w:tc>
          <w:tcPr>
            <w:tcW w:w="1020" w:type="dxa"/>
            <w:vAlign w:val="bottom"/>
            <w:gridSpan w:val="5"/>
          </w:tcPr>
          <w:p>
            <w:pPr>
              <w:jc w:val="right"/>
              <w:ind w:right="60"/>
              <w:spacing w:after="0"/>
              <w:rPr>
                <w:sz w:val="20"/>
                <w:szCs w:val="20"/>
                <w:color w:val="auto"/>
              </w:rPr>
            </w:pPr>
            <w:r>
              <w:rPr>
                <w:rFonts w:ascii="Arial" w:cs="Arial" w:eastAsia="Arial" w:hAnsi="Arial"/>
                <w:sz w:val="16"/>
                <w:szCs w:val="16"/>
                <w:color w:val="auto"/>
              </w:rPr>
              <w:t>(65,712)</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29.1%</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(450,721)</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(224,875)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line="197" w:lineRule="exact"/>
              <w:rPr>
                <w:sz w:val="20"/>
                <w:szCs w:val="20"/>
                <w:color w:val="auto"/>
              </w:rPr>
            </w:pPr>
            <w:r>
              <w:rPr>
                <w:rFonts w:ascii="Arial" w:cs="Arial" w:eastAsia="Arial" w:hAnsi="Arial"/>
                <w:sz w:val="14"/>
                <w:szCs w:val="14"/>
                <w:b w:val="1"/>
                <w:bCs w:val="1"/>
                <w:color w:val="auto"/>
              </w:rPr>
              <w:t xml:space="preserve">Total expenses </w:t>
            </w:r>
            <w:r>
              <w:rPr>
                <w:rFonts w:ascii="Arial" w:cs="Arial" w:eastAsia="Arial" w:hAnsi="Arial"/>
                <w:sz w:val="22"/>
                <w:szCs w:val="22"/>
                <w:b w:val="1"/>
                <w:bCs w:val="1"/>
                <w:color w:val="auto"/>
                <w:vertAlign w:val="superscript"/>
              </w:rPr>
              <w:t>(1)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(1,374,752)</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(1,446,404)</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(1,614,048)</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11.6%</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17.4%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(5,138,906)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7"/>
              </w:rPr>
              <w:t>(5,608,088)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before income tax</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820,445</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1,432,196</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1,462,146</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78.2%</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161,004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5,080,928</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3055.8%</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(209,212)</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(371,383)</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(416,361)</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12.1%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83,298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(1,418,736)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611,233</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1,060,813</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1,045,785</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71.1%</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244,302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3,662,192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1399.0%</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(978)</w:t>
            </w:r>
          </w:p>
        </w:tc>
        <w:tc>
          <w:tcPr>
            <w:tcW w:w="1040" w:type="dxa"/>
            <w:vAlign w:val="bottom"/>
            <w:gridSpan w:val="5"/>
          </w:tcPr>
          <w:p>
            <w:pPr>
              <w:jc w:val="right"/>
              <w:spacing w:after="0"/>
              <w:rPr>
                <w:sz w:val="20"/>
                <w:szCs w:val="20"/>
                <w:color w:val="auto"/>
              </w:rPr>
            </w:pPr>
            <w:r>
              <w:rPr>
                <w:rFonts w:ascii="Arial" w:cs="Arial" w:eastAsia="Arial" w:hAnsi="Arial"/>
                <w:sz w:val="16"/>
                <w:szCs w:val="16"/>
                <w:color w:val="auto"/>
              </w:rPr>
              <w:t>(3,838)</w:t>
            </w:r>
          </w:p>
        </w:tc>
        <w:tc>
          <w:tcPr>
            <w:tcW w:w="1020" w:type="dxa"/>
            <w:vAlign w:val="bottom"/>
            <w:gridSpan w:val="5"/>
          </w:tcPr>
          <w:p>
            <w:pPr>
              <w:jc w:val="right"/>
              <w:ind w:right="60"/>
              <w:spacing w:after="0"/>
              <w:rPr>
                <w:sz w:val="20"/>
                <w:szCs w:val="20"/>
                <w:color w:val="auto"/>
              </w:rPr>
            </w:pPr>
            <w:r>
              <w:rPr>
                <w:rFonts w:ascii="Arial" w:cs="Arial" w:eastAsia="Arial" w:hAnsi="Arial"/>
                <w:sz w:val="16"/>
                <w:szCs w:val="16"/>
                <w:color w:val="auto"/>
              </w:rPr>
              <w:t>(5,979)</w:t>
            </w:r>
          </w:p>
        </w:tc>
        <w:tc>
          <w:tcPr>
            <w:tcW w:w="1060" w:type="dxa"/>
            <w:vAlign w:val="bottom"/>
            <w:gridSpan w:val="5"/>
          </w:tcPr>
          <w:p>
            <w:pPr>
              <w:jc w:val="right"/>
              <w:ind w:right="120"/>
              <w:spacing w:after="0"/>
              <w:rPr>
                <w:sz w:val="20"/>
                <w:szCs w:val="20"/>
                <w:color w:val="auto"/>
              </w:rPr>
            </w:pPr>
            <w:r>
              <w:rPr>
                <w:rFonts w:ascii="Arial" w:cs="Arial" w:eastAsia="Arial" w:hAnsi="Arial"/>
                <w:sz w:val="16"/>
                <w:szCs w:val="16"/>
                <w:color w:val="auto"/>
              </w:rPr>
              <w:t>55.8%</w:t>
            </w:r>
          </w:p>
        </w:tc>
        <w:tc>
          <w:tcPr>
            <w:tcW w:w="960" w:type="dxa"/>
            <w:vAlign w:val="bottom"/>
            <w:gridSpan w:val="4"/>
          </w:tcPr>
          <w:p>
            <w:pPr>
              <w:jc w:val="right"/>
              <w:ind w:right="480"/>
              <w:spacing w:after="0"/>
              <w:rPr>
                <w:sz w:val="20"/>
                <w:szCs w:val="20"/>
                <w:color w:val="auto"/>
              </w:rPr>
            </w:pPr>
            <w:r>
              <w:rPr>
                <w:rFonts w:ascii="Arial" w:cs="Arial" w:eastAsia="Arial" w:hAnsi="Arial"/>
                <w:sz w:val="16"/>
                <w:szCs w:val="16"/>
                <w:color w:val="auto"/>
              </w:rPr>
              <w:t>n.a.</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19,974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(13,139)</w:t>
            </w:r>
          </w:p>
        </w:tc>
        <w:tc>
          <w:tcPr>
            <w:tcW w:w="1040" w:type="dxa"/>
            <w:vAlign w:val="bottom"/>
            <w:gridSpan w:val="2"/>
          </w:tcPr>
          <w:p>
            <w:pPr>
              <w:jc w:val="right"/>
              <w:ind w:right="4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1"/>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Net profit attributable to BCP Consolidated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610,255</w:t>
            </w:r>
          </w:p>
        </w:tc>
        <w:tc>
          <w:tcPr>
            <w:tcW w:w="80" w:type="dxa"/>
            <w:vAlign w:val="bottom"/>
            <w:shd w:val="clear" w:color="auto" w:fill="CCEEFF"/>
          </w:tcPr>
          <w:p>
            <w:pPr>
              <w:spacing w:after="0"/>
              <w:rPr>
                <w:sz w:val="19"/>
                <w:szCs w:val="19"/>
                <w:color w:val="auto"/>
              </w:rPr>
            </w:pPr>
          </w:p>
        </w:tc>
        <w:tc>
          <w:tcPr>
            <w:tcW w:w="1040" w:type="dxa"/>
            <w:vAlign w:val="bottom"/>
            <w:gridSpan w:val="5"/>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1,056,975</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1,039,806</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70.4%</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264,276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3,649,053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1280.8%</w:t>
            </w:r>
          </w:p>
        </w:tc>
        <w:tc>
          <w:tcPr>
            <w:tcW w:w="0" w:type="dxa"/>
            <w:vAlign w:val="bottom"/>
          </w:tcPr>
          <w:p>
            <w:pPr>
              <w:spacing w:after="0"/>
              <w:rPr>
                <w:sz w:val="1"/>
                <w:szCs w:val="1"/>
                <w:color w:val="auto"/>
              </w:rPr>
            </w:pPr>
          </w:p>
        </w:tc>
      </w:tr>
      <w:tr>
        <w:trPr>
          <w:trHeight w:val="249"/>
        </w:trPr>
        <w:tc>
          <w:tcPr>
            <w:tcW w:w="6100" w:type="dxa"/>
            <w:vAlign w:val="bottom"/>
            <w:gridSpan w:val="14"/>
          </w:tcPr>
          <w:p>
            <w:pPr>
              <w:spacing w:after="0"/>
              <w:rPr>
                <w:sz w:val="20"/>
                <w:szCs w:val="20"/>
                <w:color w:val="auto"/>
              </w:rPr>
            </w:pPr>
            <w:r>
              <w:rPr>
                <w:rFonts w:ascii="Arial" w:cs="Arial" w:eastAsia="Arial" w:hAnsi="Arial"/>
                <w:sz w:val="20"/>
                <w:szCs w:val="20"/>
                <w:color w:val="auto"/>
              </w:rPr>
              <w:t>(1) The figures differ from those presented in the 2020 financial year</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3140" w:type="dxa"/>
            <w:vAlign w:val="bottom"/>
          </w:tcPr>
          <w:p>
            <w:pPr>
              <w:spacing w:after="0"/>
              <w:rPr>
                <w:sz w:val="24"/>
                <w:szCs w:val="24"/>
                <w:color w:val="auto"/>
              </w:rPr>
            </w:pPr>
          </w:p>
        </w:tc>
        <w:tc>
          <w:tcPr>
            <w:tcW w:w="4980" w:type="dxa"/>
            <w:vAlign w:val="bottom"/>
            <w:gridSpan w:val="22"/>
          </w:tcPr>
          <w:p>
            <w:pPr>
              <w:jc w:val="center"/>
              <w:spacing w:after="0"/>
              <w:rPr>
                <w:sz w:val="20"/>
                <w:szCs w:val="20"/>
                <w:color w:val="auto"/>
              </w:rPr>
            </w:pPr>
            <w:r>
              <w:rPr>
                <w:rFonts w:ascii="Arial" w:cs="Arial" w:eastAsia="Arial" w:hAnsi="Arial"/>
                <w:sz w:val="20"/>
                <w:szCs w:val="20"/>
                <w:b w:val="1"/>
                <w:bCs w:val="1"/>
                <w:color w:val="auto"/>
                <w:w w:val="97"/>
              </w:rPr>
              <w:t>BANCO DE CREDITO DEL PERU AND SUBSIDIARIES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80" w:type="dxa"/>
            <w:vAlign w:val="bottom"/>
            <w:gridSpan w:val="21"/>
          </w:tcPr>
          <w:p>
            <w:pPr>
              <w:jc w:val="center"/>
              <w:ind w:right="700"/>
              <w:spacing w:after="0"/>
              <w:rPr>
                <w:sz w:val="20"/>
                <w:szCs w:val="20"/>
                <w:color w:val="auto"/>
              </w:rPr>
            </w:pPr>
            <w:r>
              <w:rPr>
                <w:rFonts w:ascii="Arial" w:cs="Arial" w:eastAsia="Arial" w:hAnsi="Arial"/>
                <w:sz w:val="20"/>
                <w:szCs w:val="20"/>
                <w:b w:val="1"/>
                <w:bCs w:val="1"/>
                <w:color w:val="auto"/>
                <w:w w:val="99"/>
              </w:rPr>
              <w:t>SELECTED FINANCIAL INDICATORS</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6"/>
                <w:szCs w:val="16"/>
                <w:b w:val="1"/>
                <w:bCs w:val="1"/>
                <w:color w:val="auto"/>
              </w:rPr>
              <w:t>Quarter</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Year</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40" w:type="dxa"/>
            <w:vAlign w:val="bottom"/>
            <w:vMerge w:val="restart"/>
          </w:tcPr>
          <w:p>
            <w:pPr>
              <w:spacing w:after="0"/>
              <w:rPr>
                <w:sz w:val="20"/>
                <w:szCs w:val="20"/>
                <w:color w:val="auto"/>
              </w:rPr>
            </w:pPr>
            <w:r>
              <w:rPr>
                <w:rFonts w:ascii="Arial" w:cs="Arial" w:eastAsia="Arial" w:hAnsi="Arial"/>
                <w:sz w:val="16"/>
                <w:szCs w:val="16"/>
                <w:b w:val="1"/>
                <w:bCs w:val="1"/>
                <w:color w:val="auto"/>
              </w:rPr>
              <w:t>Profitability</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right"/>
              <w:ind w:right="538"/>
              <w:spacing w:after="0"/>
              <w:rPr>
                <w:sz w:val="20"/>
                <w:szCs w:val="20"/>
                <w:color w:val="auto"/>
              </w:rPr>
            </w:pPr>
            <w:r>
              <w:rPr>
                <w:rFonts w:ascii="Arial" w:cs="Arial" w:eastAsia="Arial" w:hAnsi="Arial"/>
                <w:sz w:val="16"/>
                <w:szCs w:val="16"/>
                <w:b w:val="1"/>
                <w:bCs w:val="1"/>
                <w:color w:val="auto"/>
              </w:rPr>
              <w:t>4Q20</w:t>
            </w:r>
          </w:p>
        </w:tc>
        <w:tc>
          <w:tcPr>
            <w:tcW w:w="10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3Q21</w:t>
            </w:r>
          </w:p>
        </w:tc>
        <w:tc>
          <w:tcPr>
            <w:tcW w:w="62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4Q21</w:t>
            </w:r>
          </w:p>
        </w:tc>
        <w:tc>
          <w:tcPr>
            <w:tcW w:w="2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18"/>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18"/>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Earnings per share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0.054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0.093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0.092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0.322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line="197" w:lineRule="exact"/>
              <w:rPr>
                <w:sz w:val="20"/>
                <w:szCs w:val="20"/>
                <w:color w:val="auto"/>
              </w:rPr>
            </w:pPr>
            <w:r>
              <w:rPr>
                <w:rFonts w:ascii="Arial" w:cs="Arial" w:eastAsia="Arial" w:hAnsi="Arial"/>
                <w:sz w:val="22"/>
                <w:szCs w:val="22"/>
                <w:color w:val="auto"/>
                <w:vertAlign w:val="subscript"/>
              </w:rPr>
              <w:t>ROAA</w:t>
            </w:r>
            <w:r>
              <w:rPr>
                <w:rFonts w:ascii="Arial" w:cs="Arial" w:eastAsia="Arial" w:hAnsi="Arial"/>
                <w:sz w:val="11"/>
                <w:szCs w:val="11"/>
                <w:color w:val="auto"/>
              </w:rPr>
              <w:t xml:space="preserve"> (2)(3)</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7" w:lineRule="exact"/>
              <w:rPr>
                <w:sz w:val="20"/>
                <w:szCs w:val="20"/>
                <w:color w:val="auto"/>
              </w:rPr>
            </w:pPr>
            <w:r>
              <w:rPr>
                <w:rFonts w:ascii="Arial" w:cs="Arial" w:eastAsia="Arial" w:hAnsi="Arial"/>
                <w:sz w:val="22"/>
                <w:szCs w:val="22"/>
                <w:color w:val="auto"/>
                <w:vertAlign w:val="subscript"/>
              </w:rPr>
              <w:t>ROAE</w:t>
            </w:r>
            <w:r>
              <w:rPr>
                <w:rFonts w:ascii="Arial" w:cs="Arial" w:eastAsia="Arial" w:hAnsi="Arial"/>
                <w:sz w:val="11"/>
                <w:szCs w:val="11"/>
                <w:color w:val="auto"/>
              </w:rPr>
              <w:t xml:space="preserve"> (2)(3)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line="197"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2"/>
                <w:szCs w:val="22"/>
                <w:color w:val="auto"/>
                <w:vertAlign w:val="superscript"/>
              </w:rPr>
              <w:t>(2)(3)</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4.45%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Risk adjusted NIM </w:t>
            </w:r>
            <w:r>
              <w:rPr>
                <w:rFonts w:ascii="Arial" w:cs="Arial" w:eastAsia="Arial" w:hAnsi="Arial"/>
                <w:sz w:val="22"/>
                <w:szCs w:val="22"/>
                <w:color w:val="auto"/>
                <w:vertAlign w:val="superscript"/>
              </w:rPr>
              <w:t>(2)(3)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line="197" w:lineRule="exact"/>
              <w:rPr>
                <w:sz w:val="20"/>
                <w:szCs w:val="20"/>
                <w:color w:val="auto"/>
              </w:rPr>
            </w:pPr>
            <w:r>
              <w:rPr>
                <w:rFonts w:ascii="Arial" w:cs="Arial" w:eastAsia="Arial" w:hAnsi="Arial"/>
                <w:sz w:val="14"/>
                <w:szCs w:val="14"/>
                <w:color w:val="auto"/>
              </w:rPr>
              <w:t xml:space="preserve">Funding Cost </w:t>
            </w:r>
            <w:r>
              <w:rPr>
                <w:rFonts w:ascii="Arial" w:cs="Arial" w:eastAsia="Arial" w:hAnsi="Arial"/>
                <w:sz w:val="22"/>
                <w:szCs w:val="22"/>
                <w:color w:val="auto"/>
                <w:vertAlign w:val="superscript"/>
              </w:rPr>
              <w:t>(2)(3)(4)</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b w:val="1"/>
                <w:bCs w:val="1"/>
                <w:color w:val="auto"/>
              </w:rPr>
              <w:t>Quality of loan portfolio</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IOL ratio</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color w:val="auto"/>
              </w:rPr>
              <w:t>NPL ratio</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5.33%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Coverage of IOLs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146.4%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20"/>
                <w:szCs w:val="20"/>
                <w:color w:val="auto"/>
              </w:rPr>
            </w:pPr>
            <w:r>
              <w:rPr>
                <w:rFonts w:ascii="Arial" w:cs="Arial" w:eastAsia="Arial" w:hAnsi="Arial"/>
                <w:sz w:val="16"/>
                <w:szCs w:val="16"/>
                <w:color w:val="auto"/>
              </w:rPr>
              <w:t>Coverage of NPLs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120.6%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110.6%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Cost of risk </w:t>
            </w:r>
            <w:r>
              <w:rPr>
                <w:rFonts w:ascii="Arial" w:cs="Arial" w:eastAsia="Arial" w:hAnsi="Arial"/>
                <w:sz w:val="22"/>
                <w:szCs w:val="22"/>
                <w:color w:val="auto"/>
                <w:vertAlign w:val="superscript"/>
              </w:rPr>
              <w:t>(5)</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efficiency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4"/>
          </w:tcPr>
          <w:p>
            <w:pPr>
              <w:spacing w:after="0" w:line="197" w:lineRule="exact"/>
              <w:rPr>
                <w:sz w:val="20"/>
                <w:szCs w:val="20"/>
                <w:color w:val="auto"/>
              </w:rPr>
            </w:pPr>
            <w:r>
              <w:rPr>
                <w:rFonts w:ascii="Arial" w:cs="Arial" w:eastAsia="Arial" w:hAnsi="Arial"/>
                <w:sz w:val="14"/>
                <w:szCs w:val="14"/>
                <w:color w:val="auto"/>
              </w:rPr>
              <w:t xml:space="preserve">Oper. expenses as a percent. of total income - reported </w:t>
            </w:r>
            <w:r>
              <w:rPr>
                <w:rFonts w:ascii="Arial" w:cs="Arial" w:eastAsia="Arial" w:hAnsi="Arial"/>
                <w:sz w:val="22"/>
                <w:szCs w:val="22"/>
                <w:color w:val="auto"/>
                <w:vertAlign w:val="superscript"/>
              </w:rPr>
              <w:t>(6)</w:t>
            </w: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48.7%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4"/>
            <w:shd w:val="clear" w:color="auto" w:fill="CCEEFF"/>
          </w:tcPr>
          <w:p>
            <w:pPr>
              <w:spacing w:after="0" w:line="197" w:lineRule="exact"/>
              <w:rPr>
                <w:sz w:val="20"/>
                <w:szCs w:val="20"/>
                <w:color w:val="auto"/>
              </w:rPr>
            </w:pPr>
            <w:r>
              <w:rPr>
                <w:rFonts w:ascii="Arial" w:cs="Arial" w:eastAsia="Arial" w:hAnsi="Arial"/>
                <w:sz w:val="14"/>
                <w:szCs w:val="14"/>
                <w:color w:val="auto"/>
              </w:rPr>
              <w:t xml:space="preserve">Oper. expenses as a percent. of av. tot. assets </w:t>
            </w:r>
            <w:r>
              <w:rPr>
                <w:rFonts w:ascii="Arial" w:cs="Arial" w:eastAsia="Arial" w:hAnsi="Arial"/>
                <w:sz w:val="22"/>
                <w:szCs w:val="22"/>
                <w:color w:val="auto"/>
                <w:vertAlign w:val="superscript"/>
              </w:rPr>
              <w:t>(2)(3)(6)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 Information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6"/>
                <w:szCs w:val="16"/>
                <w:color w:val="auto"/>
              </w:rPr>
              <w:t>N° of outstanding shares (Million)</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11,317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11,317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11,317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78"/>
              <w:spacing w:after="0"/>
              <w:rPr>
                <w:sz w:val="20"/>
                <w:szCs w:val="20"/>
                <w:color w:val="auto"/>
              </w:rPr>
            </w:pPr>
            <w:r>
              <w:rPr>
                <w:rFonts w:ascii="Arial" w:cs="Arial" w:eastAsia="Arial" w:hAnsi="Arial"/>
                <w:sz w:val="16"/>
                <w:szCs w:val="16"/>
                <w:color w:val="auto"/>
              </w:rPr>
              <w:t>11,317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2" w:hanging="282"/>
        <w:spacing w:after="0"/>
        <w:tabs>
          <w:tab w:leader="none" w:pos="2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Shares outstanding of 11,317 million is used for all periods since shares have been issued only for capitalization of profits.</w:t>
      </w:r>
    </w:p>
    <w:p>
      <w:pPr>
        <w:spacing w:after="0" w:line="6" w:lineRule="exact"/>
        <w:rPr>
          <w:rFonts w:ascii="Arial" w:cs="Arial" w:eastAsia="Arial" w:hAnsi="Arial"/>
          <w:sz w:val="20"/>
          <w:szCs w:val="20"/>
          <w:color w:val="auto"/>
        </w:rPr>
      </w:pPr>
    </w:p>
    <w:p>
      <w:pPr>
        <w:ind w:left="282" w:hanging="282"/>
        <w:spacing w:after="0" w:line="230" w:lineRule="auto"/>
        <w:tabs>
          <w:tab w:leader="none" w:pos="2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Ratios are annualized.</w:t>
      </w:r>
    </w:p>
    <w:p>
      <w:pPr>
        <w:ind w:left="282" w:hanging="282"/>
        <w:spacing w:after="0" w:line="230" w:lineRule="auto"/>
        <w:tabs>
          <w:tab w:leader="none" w:pos="2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Averages are determined as the average of period-beginning and period-ending balances.</w:t>
      </w:r>
    </w:p>
    <w:p>
      <w:pPr>
        <w:jc w:val="both"/>
        <w:ind w:left="2" w:hanging="2"/>
        <w:spacing w:after="0" w:line="230" w:lineRule="auto"/>
        <w:tabs>
          <w:tab w:leader="none" w:pos="281"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20"/>
          <w:szCs w:val="20"/>
          <w:color w:val="auto"/>
        </w:rPr>
      </w:pPr>
    </w:p>
    <w:p>
      <w:pPr>
        <w:ind w:left="282" w:hanging="282"/>
        <w:spacing w:after="0"/>
        <w:tabs>
          <w:tab w:leader="none" w:pos="2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Cost of risk: Annualized provision for loan losses / Total loans.</w:t>
      </w:r>
    </w:p>
    <w:p>
      <w:pPr>
        <w:sectPr>
          <w:pgSz w:w="11900" w:h="16838" w:orient="portrait"/>
          <w:cols w:equalWidth="0" w:num="1">
            <w:col w:w="11242"/>
          </w:cols>
          <w:pgMar w:left="318" w:top="765" w:right="339" w:bottom="0" w:gutter="0" w:footer="0" w:header="0"/>
        </w:sectPr>
      </w:pPr>
    </w:p>
    <w:bookmarkStart w:id="74" w:name="page75"/>
    <w:bookmarkEnd w:id="74"/>
    <w:p>
      <w:pPr>
        <w:jc w:val="both"/>
        <w:ind w:left="2" w:hanging="2"/>
        <w:spacing w:after="0"/>
        <w:tabs>
          <w:tab w:leader="none" w:pos="2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0" w:lineRule="exact"/>
        <w:rPr>
          <w:sz w:val="20"/>
          <w:szCs w:val="20"/>
          <w:color w:val="auto"/>
        </w:rPr>
      </w:pPr>
    </w:p>
    <w:p>
      <w:pPr>
        <w:spacing w:after="0" w:line="218"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120" w:right="339" w:bottom="1440" w:gutter="0" w:footer="0" w:header="0"/>
        </w:sectPr>
      </w:pPr>
    </w:p>
    <w:bookmarkStart w:id="75" w:name="page76"/>
    <w:bookmarkEnd w:id="75"/>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12.4. BCP Stand-alone</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BANCO DE CREDITO DEL PERU</w:t>
      </w:r>
    </w:p>
    <w:p>
      <w:pPr>
        <w:spacing w:after="0" w:line="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STATEMENT OF FINANCIAL POSITION</w:t>
      </w:r>
    </w:p>
    <w:p>
      <w:pPr>
        <w:jc w:val="center"/>
        <w:ind w:right="-1"/>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6"/>
              </w:rPr>
              <w:t>% change</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 20</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Sep 20</w:t>
            </w:r>
          </w:p>
        </w:tc>
        <w:tc>
          <w:tcPr>
            <w:tcW w:w="1040" w:type="dxa"/>
            <w:vAlign w:val="bottom"/>
          </w:tcPr>
          <w:p>
            <w:pPr>
              <w:ind w:left="280"/>
              <w:spacing w:after="0"/>
              <w:rPr>
                <w:sz w:val="20"/>
                <w:szCs w:val="20"/>
                <w:color w:val="auto"/>
              </w:rPr>
            </w:pPr>
            <w:r>
              <w:rPr>
                <w:rFonts w:ascii="Arial" w:cs="Arial" w:eastAsia="Arial" w:hAnsi="Arial"/>
                <w:sz w:val="16"/>
                <w:szCs w:val="16"/>
                <w:b w:val="1"/>
                <w:bCs w:val="1"/>
                <w:color w:val="auto"/>
              </w:rPr>
              <w:t>Dec 21</w:t>
            </w:r>
          </w:p>
        </w:tc>
        <w:tc>
          <w:tcPr>
            <w:tcW w:w="200" w:type="dxa"/>
            <w:vAlign w:val="bottom"/>
          </w:tcPr>
          <w:p>
            <w:pPr>
              <w:spacing w:after="0"/>
              <w:rPr>
                <w:sz w:val="16"/>
                <w:szCs w:val="16"/>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QoQ</w:t>
            </w:r>
          </w:p>
        </w:tc>
        <w:tc>
          <w:tcPr>
            <w:tcW w:w="700" w:type="dxa"/>
            <w:vAlign w:val="bottom"/>
          </w:tcPr>
          <w:p>
            <w:pPr>
              <w:jc w:val="right"/>
              <w:ind w:right="258"/>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60" w:type="dxa"/>
            <w:vAlign w:val="bottom"/>
            <w:vMerge w:val="continue"/>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5,322,420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5,666,863</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4,366,498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25,948,221</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32,819,306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29,965,362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31,270,641</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38,486,169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34,331,860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Cash collateral, reverse repurchase agreements and securities borrowing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1,345,981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1,027,761</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344,460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-66.5%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-74.4%</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2,168,500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1,406,424</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1,261,896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-41.8%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Fair value through other comprehensive income investments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28,452,224</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16,931,666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18,041,469</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6.6%</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-36.6%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Amortized cost investments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4,636,804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7,307,678</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7,384,150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59.3%</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113,464,992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121,459,651</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122,752,170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Current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109,850,172</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117,256,286</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118,242,794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3,614,820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4,203,365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4,509,376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Less - allowance for loan losses</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(7,434,988)</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(6,976,762)</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(6,786,094)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Loans, net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106,030,004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114,482,889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115,966,076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furniture and equipment, net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1,429,864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1,328,385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1,332,705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776,863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532,404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-31.5%</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Investments in associates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2,098,825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2,214,558</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2,333,611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5.4%</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r>
        <w:trPr>
          <w:trHeight w:val="196"/>
        </w:trPr>
        <w:tc>
          <w:tcPr>
            <w:tcW w:w="5160" w:type="dxa"/>
            <w:vAlign w:val="bottom"/>
          </w:tcPr>
          <w:p>
            <w:pPr>
              <w:spacing w:after="0" w:line="197" w:lineRule="exact"/>
              <w:rPr>
                <w:sz w:val="20"/>
                <w:szCs w:val="20"/>
                <w:color w:val="auto"/>
              </w:rPr>
            </w:pPr>
            <w:r>
              <w:rPr>
                <w:rFonts w:ascii="Arial" w:cs="Arial" w:eastAsia="Arial" w:hAnsi="Arial"/>
                <w:sz w:val="14"/>
                <w:szCs w:val="14"/>
                <w:b w:val="1"/>
                <w:bCs w:val="1"/>
                <w:color w:val="auto"/>
              </w:rPr>
              <w:t xml:space="preserve">Other assets </w:t>
            </w:r>
            <w:r>
              <w:rPr>
                <w:rFonts w:ascii="Arial" w:cs="Arial" w:eastAsia="Arial" w:hAnsi="Arial"/>
                <w:sz w:val="22"/>
                <w:szCs w:val="22"/>
                <w:b w:val="1"/>
                <w:bCs w:val="1"/>
                <w:color w:val="auto"/>
                <w:vertAlign w:val="superscript"/>
              </w:rPr>
              <w:t>(1)</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4,964,018</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6,576,750</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5,492,025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-16.5%</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Total Assets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182,852,204</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190,539,143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187,020,656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Deposits and obligations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Non-interest bearing</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43,733,838</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47,272,754</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44,590,124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bearing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74,612,197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77,851,798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79,200,967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118,346,035</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125,124,552</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123,791,091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23,736,011</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19,109,582</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18,042,526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-5.6%</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-24.0%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BCRP instruments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23,203,388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18,547,001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17,484,261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Repurchase agreements with third parties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532,623</w:t>
            </w:r>
          </w:p>
        </w:tc>
        <w:tc>
          <w:tcPr>
            <w:tcW w:w="1060" w:type="dxa"/>
            <w:vAlign w:val="bottom"/>
          </w:tcPr>
          <w:p>
            <w:pPr>
              <w:jc w:val="right"/>
              <w:spacing w:after="0"/>
              <w:rPr>
                <w:sz w:val="20"/>
                <w:szCs w:val="20"/>
                <w:color w:val="auto"/>
              </w:rPr>
            </w:pPr>
            <w:r>
              <w:rPr>
                <w:rFonts w:ascii="Arial" w:cs="Arial" w:eastAsia="Arial" w:hAnsi="Arial"/>
                <w:sz w:val="16"/>
                <w:szCs w:val="16"/>
                <w:color w:val="auto"/>
              </w:rPr>
              <w:t>562,581</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558,265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4,910,261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6,191,543</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5,842,071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-5.6%</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Bonds and notes issued</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13,678,986</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14,652,059</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14,294,675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Banker’s acceptances outstanding</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455,343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776,863</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532,404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-31.5%</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16.9%</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Financial liabilities at fair value through profit or loss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205,898</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484,531</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-100.0%</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7" w:lineRule="exact"/>
              <w:rPr>
                <w:sz w:val="20"/>
                <w:szCs w:val="20"/>
                <w:color w:val="auto"/>
              </w:rPr>
            </w:pPr>
            <w:r>
              <w:rPr>
                <w:rFonts w:ascii="Arial" w:cs="Arial" w:eastAsia="Arial" w:hAnsi="Arial"/>
                <w:sz w:val="14"/>
                <w:szCs w:val="14"/>
                <w:b w:val="1"/>
                <w:bCs w:val="1"/>
                <w:color w:val="auto"/>
              </w:rPr>
              <w:t xml:space="preserve">Other liabilities </w:t>
            </w:r>
            <w:r>
              <w:rPr>
                <w:rFonts w:ascii="Arial" w:cs="Arial" w:eastAsia="Arial" w:hAnsi="Arial"/>
                <w:sz w:val="22"/>
                <w:szCs w:val="22"/>
                <w:b w:val="1"/>
                <w:bCs w:val="1"/>
                <w:color w:val="auto"/>
                <w:vertAlign w:val="superscript"/>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3,299,330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4,690,015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3,884,639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-17.2%</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17.7%</w:t>
            </w:r>
          </w:p>
        </w:tc>
        <w:tc>
          <w:tcPr>
            <w:tcW w:w="0" w:type="dxa"/>
            <w:vAlign w:val="bottom"/>
          </w:tcPr>
          <w:p>
            <w:pPr>
              <w:spacing w:after="0"/>
              <w:rPr>
                <w:sz w:val="1"/>
                <w:szCs w:val="1"/>
                <w:color w:val="auto"/>
              </w:rPr>
            </w:pPr>
          </w:p>
        </w:tc>
      </w:tr>
      <w:tr>
        <w:trPr>
          <w:trHeight w:val="196"/>
        </w:trPr>
        <w:tc>
          <w:tcPr>
            <w:tcW w:w="51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Total Liabilities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164,631,864</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171,029,145</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166,387,406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-2.7%</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18,220,340</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19,509,998</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20,633,250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stock</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10,774,006</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11,024,006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11,024,006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Reserves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5,947,808</w:t>
            </w:r>
          </w:p>
        </w:tc>
        <w:tc>
          <w:tcPr>
            <w:tcW w:w="1060" w:type="dxa"/>
            <w:vAlign w:val="bottom"/>
          </w:tcPr>
          <w:p>
            <w:pPr>
              <w:jc w:val="right"/>
              <w:spacing w:after="0"/>
              <w:rPr>
                <w:sz w:val="20"/>
                <w:szCs w:val="20"/>
                <w:color w:val="auto"/>
              </w:rPr>
            </w:pPr>
            <w:r>
              <w:rPr>
                <w:rFonts w:ascii="Arial" w:cs="Arial" w:eastAsia="Arial" w:hAnsi="Arial"/>
                <w:sz w:val="16"/>
                <w:szCs w:val="16"/>
                <w:color w:val="auto"/>
              </w:rPr>
              <w:t>6,488,968</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6,488,969</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and losses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697,475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(583,178)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(495,371)</w:t>
            </w:r>
          </w:p>
        </w:tc>
        <w:tc>
          <w:tcPr>
            <w:tcW w:w="1500" w:type="dxa"/>
            <w:vAlign w:val="bottom"/>
            <w:gridSpan w:val="3"/>
            <w:shd w:val="clear" w:color="auto" w:fill="CCEEFF"/>
          </w:tcPr>
          <w:p>
            <w:pPr>
              <w:jc w:val="center"/>
              <w:ind w:right="540"/>
              <w:spacing w:after="0"/>
              <w:rPr>
                <w:sz w:val="20"/>
                <w:szCs w:val="20"/>
                <w:color w:val="auto"/>
              </w:rPr>
            </w:pPr>
            <w:r>
              <w:rPr>
                <w:rFonts w:ascii="Arial" w:cs="Arial" w:eastAsia="Arial" w:hAnsi="Arial"/>
                <w:sz w:val="16"/>
                <w:szCs w:val="16"/>
                <w:color w:val="auto"/>
                <w:w w:val="89"/>
              </w:rPr>
              <w:t>n.a.</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51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801,051</w:t>
            </w:r>
          </w:p>
        </w:tc>
        <w:tc>
          <w:tcPr>
            <w:tcW w:w="1060" w:type="dxa"/>
            <w:vAlign w:val="bottom"/>
          </w:tcPr>
          <w:p>
            <w:pPr>
              <w:jc w:val="right"/>
              <w:spacing w:after="0"/>
              <w:rPr>
                <w:sz w:val="20"/>
                <w:szCs w:val="20"/>
                <w:color w:val="auto"/>
              </w:rPr>
            </w:pPr>
            <w:r>
              <w:rPr>
                <w:rFonts w:ascii="Arial" w:cs="Arial" w:eastAsia="Arial" w:hAnsi="Arial"/>
                <w:sz w:val="16"/>
                <w:szCs w:val="16"/>
                <w:color w:val="auto"/>
              </w:rPr>
              <w:t>2,580,202</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3,615,646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351.4%</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jc w:val="center"/>
              <w:spacing w:after="0"/>
              <w:rPr>
                <w:sz w:val="20"/>
                <w:szCs w:val="20"/>
                <w:color w:val="auto"/>
              </w:rPr>
            </w:pPr>
            <w:r>
              <w:rPr>
                <w:rFonts w:ascii="Arial" w:cs="Arial" w:eastAsia="Arial" w:hAnsi="Arial"/>
                <w:sz w:val="16"/>
                <w:szCs w:val="16"/>
                <w:b w:val="1"/>
                <w:bCs w:val="1"/>
                <w:color w:val="auto"/>
                <w:w w:val="95"/>
              </w:rPr>
              <w:t>Total Net Equity</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18,220,340</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19,509,998</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20,633,250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182,852,204</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190,539,143</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187,020,656</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b w:val="1"/>
                <w:bCs w:val="1"/>
                <w:color w:val="auto"/>
              </w:rPr>
              <w:t>Off-balance sheet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112,868,480</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135,953,567</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133,169,883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w:t>
            </w:r>
          </w:p>
        </w:tc>
        <w:tc>
          <w:tcPr>
            <w:tcW w:w="2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18.0%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Total performance bonds, stand-by and L/Cs.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19,477,403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20,762,191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21,203,561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20"/>
                <w:szCs w:val="20"/>
                <w:color w:val="auto"/>
              </w:rPr>
            </w:pPr>
            <w:r>
              <w:rPr>
                <w:rFonts w:ascii="Arial" w:cs="Arial" w:eastAsia="Arial" w:hAnsi="Arial"/>
                <w:sz w:val="16"/>
                <w:szCs w:val="16"/>
                <w:color w:val="auto"/>
              </w:rPr>
              <w:t>Undrawn credit lines, advised but not committed</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70,775,980</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79,357,524</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73,424,937</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22,615,097</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35,833,852</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38,541,385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5020" cy="140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ind w:left="282" w:hanging="282"/>
        <w:spacing w:after="0" w:line="230" w:lineRule="auto"/>
        <w:tabs>
          <w:tab w:leader="none" w:pos="282" w:val="left"/>
        </w:tabs>
        <w:numPr>
          <w:ilvl w:val="0"/>
          <w:numId w:val="79"/>
        </w:numPr>
        <w:rPr>
          <w:rFonts w:ascii="Arial" w:cs="Arial" w:eastAsia="Arial" w:hAnsi="Arial"/>
          <w:sz w:val="20"/>
          <w:szCs w:val="20"/>
          <w:color w:val="auto"/>
        </w:rPr>
      </w:pPr>
      <w:r>
        <w:rPr>
          <w:rFonts w:ascii="Arial" w:cs="Arial" w:eastAsia="Arial" w:hAnsi="Arial"/>
          <w:sz w:val="20"/>
          <w:szCs w:val="20"/>
          <w:color w:val="auto"/>
        </w:rPr>
        <w:t>Mainly includes intangible assets, other receivable accounts and tax credit.</w:t>
      </w:r>
    </w:p>
    <w:p>
      <w:pPr>
        <w:ind w:left="282" w:hanging="282"/>
        <w:spacing w:after="0"/>
        <w:tabs>
          <w:tab w:leader="none" w:pos="282" w:val="left"/>
        </w:tabs>
        <w:numPr>
          <w:ilvl w:val="0"/>
          <w:numId w:val="79"/>
        </w:numPr>
        <w:rPr>
          <w:rFonts w:ascii="Arial" w:cs="Arial" w:eastAsia="Arial" w:hAnsi="Arial"/>
          <w:sz w:val="20"/>
          <w:szCs w:val="20"/>
          <w:color w:val="auto"/>
        </w:rPr>
      </w:pPr>
      <w:r>
        <w:rPr>
          <w:rFonts w:ascii="Arial" w:cs="Arial" w:eastAsia="Arial" w:hAnsi="Arial"/>
          <w:sz w:val="20"/>
          <w:szCs w:val="20"/>
          <w:color w:val="auto"/>
        </w:rPr>
        <w:t>Mainly includes other payable accounts.</w:t>
      </w:r>
    </w:p>
    <w:p>
      <w:pPr>
        <w:spacing w:after="0" w:line="200" w:lineRule="exact"/>
        <w:rPr>
          <w:sz w:val="20"/>
          <w:szCs w:val="20"/>
          <w:color w:val="auto"/>
        </w:rPr>
      </w:pPr>
    </w:p>
    <w:p>
      <w:pPr>
        <w:spacing w:after="0" w:line="232"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76" w:name="page77"/>
    <w:bookmarkEnd w:id="76"/>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BANCO DE CREDITO DEL PERU</w:t>
      </w:r>
    </w:p>
    <w:p>
      <w:pPr>
        <w:spacing w:after="0" w:line="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STATEMENT OF INCOME</w:t>
      </w:r>
    </w:p>
    <w:p>
      <w:pPr>
        <w:jc w:val="center"/>
        <w:ind w:right="-1"/>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Quarter</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 change</w:t>
            </w:r>
          </w:p>
        </w:tc>
        <w:tc>
          <w:tcPr>
            <w:tcW w:w="184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Year</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9"/>
              </w:rPr>
              <w:t>% change</w:t>
            </w:r>
          </w:p>
        </w:tc>
        <w:tc>
          <w:tcPr>
            <w:tcW w:w="0" w:type="dxa"/>
            <w:vAlign w:val="bottom"/>
          </w:tcPr>
          <w:p>
            <w:pPr>
              <w:spacing w:after="0"/>
              <w:rPr>
                <w:sz w:val="1"/>
                <w:szCs w:val="1"/>
                <w:color w:val="auto"/>
              </w:rPr>
            </w:pPr>
          </w:p>
        </w:tc>
      </w:tr>
      <w:tr>
        <w:trPr>
          <w:trHeight w:val="190"/>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Interest income and expense</w:t>
            </w: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4Q20</w:t>
            </w:r>
          </w:p>
        </w:tc>
        <w:tc>
          <w:tcPr>
            <w:tcW w:w="8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3Q21</w:t>
            </w:r>
          </w:p>
        </w:tc>
        <w:tc>
          <w:tcPr>
            <w:tcW w:w="76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4Q21</w:t>
            </w:r>
          </w:p>
        </w:tc>
        <w:tc>
          <w:tcPr>
            <w:tcW w:w="14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QoQ</w:t>
            </w:r>
          </w:p>
        </w:tc>
        <w:tc>
          <w:tcPr>
            <w:tcW w:w="4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YoY</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2021 / 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60" w:type="dxa"/>
            <w:vAlign w:val="bottom"/>
            <w:vMerge w:val="continue"/>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dividend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1,994,352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1,996,856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2,059,066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8,197,914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7,925,892</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22"/>
                <w:szCs w:val="22"/>
                <w:color w:val="auto"/>
                <w:vertAlign w:val="superscript"/>
              </w:rPr>
              <w:t>(1)</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(424,178)</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(393,036)</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(399,009)</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(2,106,029)</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(1,667,138)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interest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1,570,174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1,603,820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1,660,057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6,091,885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6,258,754</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(614,866)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(103,385)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(161,595)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(4,636,694)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(1,038,026)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38,392</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70,441</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68,765</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79.1%</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120,245</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245,038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0"/>
              </w:rPr>
              <w:t>Provision for credit losses on loan portfolio, net of recoveries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(576,474)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(32,944)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(92,830)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181.8%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-83.9%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(4,516,449)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(792,988)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-82.4%</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Risk-adjusted net interest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993,700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1,570,876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1,567,227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1,575,436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5,465,766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246.9%</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color w:val="auto"/>
              </w:rPr>
              <w:t>Fee income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636,331</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669,583</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719,473</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13.1%</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2,162,357</w:t>
            </w:r>
          </w:p>
        </w:tc>
        <w:tc>
          <w:tcPr>
            <w:tcW w:w="780" w:type="dxa"/>
            <w:vAlign w:val="bottom"/>
          </w:tcPr>
          <w:p>
            <w:pPr>
              <w:jc w:val="right"/>
              <w:spacing w:after="0"/>
              <w:rPr>
                <w:sz w:val="20"/>
                <w:szCs w:val="20"/>
                <w:color w:val="auto"/>
              </w:rPr>
            </w:pPr>
            <w:r>
              <w:rPr>
                <w:rFonts w:ascii="Arial" w:cs="Arial" w:eastAsia="Arial" w:hAnsi="Arial"/>
                <w:sz w:val="16"/>
                <w:szCs w:val="16"/>
                <w:color w:val="auto"/>
              </w:rPr>
              <w:t>2,641,301</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foreign exchange transactions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179,165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231,547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237,450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647,856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880,261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color w:val="auto"/>
              </w:rPr>
              <w:t>Net gain on securities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11,196</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(30,044)</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115,361</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-484.0%</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930.4%</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125,410</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47,632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from associates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27,656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73,843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(7,952)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(352,658)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81,970</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color w:val="auto"/>
              </w:rPr>
              <w:t>Net gain on derivatives held for trading</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4,410</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4,260</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26,429</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520.4%</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499.3%</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49,034</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73,593</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from exchange differences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4,966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7,277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(1,993)</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57,451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822.6%</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color w:val="auto"/>
              </w:rPr>
              <w:t>Others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31,447</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32,642</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34,444</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160,377</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158,160</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other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895,171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989,108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1,123,212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13.6%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25.5%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2,798,603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3,940,368</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40.8%</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expenses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color w:val="auto"/>
              </w:rPr>
              <w:t>Salaries and employee benefits</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(366,503)</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(449,094)</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(512,934)</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14.2%</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40.0%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(1,601,800)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(1,825,012)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expenses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(520,291)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(580,194)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(621,878)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(1,638,967)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(2,043,570)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line="197"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2"/>
                <w:szCs w:val="22"/>
                <w:color w:val="auto"/>
                <w:vertAlign w:val="superscript"/>
              </w:rPr>
              <w:t>(2)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(105,542)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(111,360)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(117,924)</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11.7%</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(424,265)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(437,740)</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(105,980)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(37,124)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(48,719)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(385,499)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(178,800)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b w:val="1"/>
                <w:bCs w:val="1"/>
                <w:color w:val="auto"/>
              </w:rPr>
              <w:t>Total expenses</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(1,098,316)</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(1,177,772)</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7"/>
              </w:rPr>
              <w:t>(1,301,455)</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10.5%</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18.5%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(4,050,531)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(4,485,122)</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spacing w:after="0"/>
              <w:rPr>
                <w:sz w:val="20"/>
                <w:szCs w:val="20"/>
                <w:color w:val="auto"/>
              </w:rPr>
            </w:pPr>
            <w:r>
              <w:rPr>
                <w:rFonts w:ascii="Arial" w:cs="Arial" w:eastAsia="Arial" w:hAnsi="Arial"/>
                <w:sz w:val="16"/>
                <w:szCs w:val="16"/>
                <w:b w:val="1"/>
                <w:bCs w:val="1"/>
                <w:color w:val="auto"/>
              </w:rPr>
              <w:t>Profit before income tax</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790,555</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1,382,212</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1,388,984</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0.5%</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75.7%</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323,508</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4,921,012</w:t>
            </w: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1421.1%</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(179,868)</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(324,697)</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(353,540)</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8.9%</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96.6%</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(57,043)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(1,274,774)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2134.8%</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Arial" w:cs="Arial" w:eastAsia="Arial" w:hAnsi="Arial"/>
                <w:sz w:val="16"/>
                <w:szCs w:val="16"/>
                <w:b w:val="1"/>
                <w:bCs w:val="1"/>
                <w:color w:val="auto"/>
              </w:rPr>
              <w:t>Net profit attributable to BCP Stand-alone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610,687</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1,057,515</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1,035,444</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-2.1%</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69.6%</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266,465</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3,646,238</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1268.4%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2" w:hanging="282"/>
        <w:spacing w:after="0"/>
        <w:tabs>
          <w:tab w:leader="none" w:pos="282"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of 2019, financing expenses related to lease agreements is included according to the application of IFRS 16.</w:t>
      </w:r>
    </w:p>
    <w:p>
      <w:pPr>
        <w:spacing w:after="0" w:line="6" w:lineRule="exact"/>
        <w:rPr>
          <w:rFonts w:ascii="Arial" w:cs="Arial" w:eastAsia="Arial" w:hAnsi="Arial"/>
          <w:sz w:val="20"/>
          <w:szCs w:val="20"/>
          <w:color w:val="auto"/>
        </w:rPr>
      </w:pPr>
    </w:p>
    <w:p>
      <w:pPr>
        <w:jc w:val="both"/>
        <w:ind w:left="2" w:hanging="2"/>
        <w:spacing w:after="0" w:line="234" w:lineRule="auto"/>
        <w:tabs>
          <w:tab w:leader="none" w:pos="287" w:val="left"/>
        </w:tabs>
        <w:numPr>
          <w:ilvl w:val="0"/>
          <w:numId w:val="80"/>
        </w:numPr>
        <w:rPr>
          <w:rFonts w:ascii="Arial" w:cs="Arial" w:eastAsia="Arial" w:hAnsi="Arial"/>
          <w:sz w:val="20"/>
          <w:szCs w:val="20"/>
          <w:color w:val="auto"/>
        </w:rPr>
      </w:pPr>
      <w:r>
        <w:rPr>
          <w:rFonts w:ascii="Arial" w:cs="Arial" w:eastAsia="Arial" w:hAnsi="Arial"/>
          <w:sz w:val="20"/>
          <w:szCs w:val="20"/>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189"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BANCO DE CREDITO DEL PERU</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SELECTED FINANCIAL INDICATORS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Quarter</w:t>
            </w: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Year</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80" w:type="dxa"/>
            <w:vAlign w:val="bottom"/>
            <w:vMerge w:val="restart"/>
          </w:tcPr>
          <w:p>
            <w:pPr>
              <w:spacing w:after="0"/>
              <w:rPr>
                <w:sz w:val="20"/>
                <w:szCs w:val="20"/>
                <w:color w:val="auto"/>
              </w:rPr>
            </w:pPr>
            <w:r>
              <w:rPr>
                <w:rFonts w:ascii="Arial" w:cs="Arial" w:eastAsia="Arial" w:hAnsi="Arial"/>
                <w:sz w:val="16"/>
                <w:szCs w:val="16"/>
                <w:b w:val="1"/>
                <w:bCs w:val="1"/>
                <w:color w:val="auto"/>
              </w:rPr>
              <w:t>Profitability</w:t>
            </w:r>
          </w:p>
        </w:tc>
        <w:tc>
          <w:tcPr>
            <w:tcW w:w="1020" w:type="dxa"/>
            <w:vAlign w:val="bottom"/>
          </w:tcPr>
          <w:p>
            <w:pPr>
              <w:jc w:val="right"/>
              <w:ind w:right="198"/>
              <w:spacing w:after="0"/>
              <w:rPr>
                <w:sz w:val="20"/>
                <w:szCs w:val="20"/>
                <w:color w:val="auto"/>
              </w:rPr>
            </w:pPr>
            <w:r>
              <w:rPr>
                <w:rFonts w:ascii="Arial" w:cs="Arial" w:eastAsia="Arial" w:hAnsi="Arial"/>
                <w:sz w:val="16"/>
                <w:szCs w:val="16"/>
                <w:b w:val="1"/>
                <w:bCs w:val="1"/>
                <w:color w:val="auto"/>
              </w:rPr>
              <w:t>4Q20</w:t>
            </w:r>
          </w:p>
        </w:tc>
        <w:tc>
          <w:tcPr>
            <w:tcW w:w="2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3Q21</w:t>
            </w:r>
          </w:p>
        </w:tc>
        <w:tc>
          <w:tcPr>
            <w:tcW w:w="1020" w:type="dxa"/>
            <w:vAlign w:val="bottom"/>
          </w:tcPr>
          <w:p>
            <w:pPr>
              <w:ind w:left="380"/>
              <w:spacing w:after="0"/>
              <w:rPr>
                <w:sz w:val="20"/>
                <w:szCs w:val="20"/>
                <w:color w:val="auto"/>
              </w:rPr>
            </w:pPr>
            <w:r>
              <w:rPr>
                <w:rFonts w:ascii="Arial" w:cs="Arial" w:eastAsia="Arial" w:hAnsi="Arial"/>
                <w:sz w:val="16"/>
                <w:szCs w:val="16"/>
                <w:b w:val="1"/>
                <w:bCs w:val="1"/>
                <w:color w:val="auto"/>
              </w:rPr>
              <w:t>4Q21</w:t>
            </w:r>
          </w:p>
        </w:tc>
        <w:tc>
          <w:tcPr>
            <w:tcW w:w="240" w:type="dxa"/>
            <w:vAlign w:val="bottom"/>
          </w:tcPr>
          <w:p>
            <w:pPr>
              <w:spacing w:after="0"/>
              <w:rPr>
                <w:sz w:val="16"/>
                <w:szCs w:val="16"/>
                <w:color w:val="auto"/>
              </w:rPr>
            </w:pPr>
          </w:p>
        </w:tc>
        <w:tc>
          <w:tcPr>
            <w:tcW w:w="1020" w:type="dxa"/>
            <w:vAlign w:val="bottom"/>
          </w:tcPr>
          <w:p>
            <w:pPr>
              <w:jc w:val="right"/>
              <w:ind w:right="22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2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80" w:type="dxa"/>
            <w:vAlign w:val="bottom"/>
            <w:vMerge w:val="continue"/>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line="197" w:lineRule="exact"/>
              <w:rPr>
                <w:sz w:val="20"/>
                <w:szCs w:val="20"/>
                <w:color w:val="auto"/>
              </w:rPr>
            </w:pPr>
            <w:r>
              <w:rPr>
                <w:rFonts w:ascii="Arial" w:cs="Arial" w:eastAsia="Arial" w:hAnsi="Arial"/>
                <w:sz w:val="22"/>
                <w:szCs w:val="22"/>
                <w:color w:val="auto"/>
                <w:vertAlign w:val="subscript"/>
              </w:rPr>
              <w:t>ROAA</w:t>
            </w:r>
            <w:r>
              <w:rPr>
                <w:rFonts w:ascii="Arial" w:cs="Arial" w:eastAsia="Arial" w:hAnsi="Arial"/>
                <w:sz w:val="11"/>
                <w:szCs w:val="11"/>
                <w:color w:val="auto"/>
              </w:rPr>
              <w:t xml:space="preserve"> (2)(3)</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3880" w:type="dxa"/>
            <w:vAlign w:val="bottom"/>
          </w:tcPr>
          <w:p>
            <w:pPr>
              <w:spacing w:after="0" w:line="197" w:lineRule="exact"/>
              <w:rPr>
                <w:sz w:val="20"/>
                <w:szCs w:val="20"/>
                <w:color w:val="auto"/>
              </w:rPr>
            </w:pPr>
            <w:r>
              <w:rPr>
                <w:rFonts w:ascii="Arial" w:cs="Arial" w:eastAsia="Arial" w:hAnsi="Arial"/>
                <w:sz w:val="22"/>
                <w:szCs w:val="22"/>
                <w:color w:val="auto"/>
                <w:vertAlign w:val="subscript"/>
              </w:rPr>
              <w:t>ROAE</w:t>
            </w:r>
            <w:r>
              <w:rPr>
                <w:rFonts w:ascii="Arial" w:cs="Arial" w:eastAsia="Arial" w:hAnsi="Arial"/>
                <w:sz w:val="11"/>
                <w:szCs w:val="11"/>
                <w:color w:val="auto"/>
              </w:rPr>
              <w:t xml:space="preserve"> (2)(3)</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13.8%</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22.0%</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20.6%</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2"/>
                <w:szCs w:val="22"/>
                <w:color w:val="auto"/>
                <w:vertAlign w:val="superscript"/>
              </w:rPr>
              <w:t>(1)(2)</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3.60%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196"/>
        </w:trPr>
        <w:tc>
          <w:tcPr>
            <w:tcW w:w="3880" w:type="dxa"/>
            <w:vAlign w:val="bottom"/>
          </w:tcPr>
          <w:p>
            <w:pPr>
              <w:spacing w:after="0" w:line="197" w:lineRule="exact"/>
              <w:rPr>
                <w:sz w:val="20"/>
                <w:szCs w:val="20"/>
                <w:color w:val="auto"/>
              </w:rPr>
            </w:pPr>
            <w:r>
              <w:rPr>
                <w:rFonts w:ascii="Arial" w:cs="Arial" w:eastAsia="Arial" w:hAnsi="Arial"/>
                <w:sz w:val="14"/>
                <w:szCs w:val="14"/>
                <w:color w:val="auto"/>
              </w:rPr>
              <w:t xml:space="preserve">Risk adjusted NIM </w:t>
            </w:r>
            <w:r>
              <w:rPr>
                <w:rFonts w:ascii="Arial" w:cs="Arial" w:eastAsia="Arial" w:hAnsi="Arial"/>
                <w:sz w:val="22"/>
                <w:szCs w:val="22"/>
                <w:color w:val="auto"/>
                <w:vertAlign w:val="superscript"/>
              </w:rPr>
              <w:t>(1)(2)</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2.28%</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3.48%</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Funding Cost </w:t>
            </w:r>
            <w:r>
              <w:rPr>
                <w:rFonts w:ascii="Arial" w:cs="Arial" w:eastAsia="Arial" w:hAnsi="Arial"/>
                <w:sz w:val="22"/>
                <w:szCs w:val="22"/>
                <w:color w:val="auto"/>
                <w:vertAlign w:val="superscript"/>
              </w:rPr>
              <w:t>(1)(2)</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1.07%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Quality of loan portfolio</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IOL ratio</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3.19%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3.67%</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3.19%</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NPL ratio</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4.51%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Coverage of IOLs</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205.7%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166.0%</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150.5%</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205.7%</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Coverage of NPLs</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145.1%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196"/>
        </w:trPr>
        <w:tc>
          <w:tcPr>
            <w:tcW w:w="3880" w:type="dxa"/>
            <w:vAlign w:val="bottom"/>
          </w:tcPr>
          <w:p>
            <w:pPr>
              <w:spacing w:after="0" w:line="197" w:lineRule="exact"/>
              <w:rPr>
                <w:sz w:val="20"/>
                <w:szCs w:val="20"/>
                <w:color w:val="auto"/>
              </w:rPr>
            </w:pPr>
            <w:r>
              <w:rPr>
                <w:rFonts w:ascii="Arial" w:cs="Arial" w:eastAsia="Arial" w:hAnsi="Arial"/>
                <w:sz w:val="14"/>
                <w:szCs w:val="14"/>
                <w:color w:val="auto"/>
              </w:rPr>
              <w:t xml:space="preserve">Cost of risk </w:t>
            </w:r>
            <w:r>
              <w:rPr>
                <w:rFonts w:ascii="Arial" w:cs="Arial" w:eastAsia="Arial" w:hAnsi="Arial"/>
                <w:sz w:val="22"/>
                <w:szCs w:val="22"/>
                <w:color w:val="auto"/>
                <w:vertAlign w:val="superscript"/>
              </w:rPr>
              <w:t>(3)</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2.03%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0.11%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0.30%</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3.98%</w:t>
            </w: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b w:val="1"/>
                <w:bCs w:val="1"/>
                <w:color w:val="auto"/>
              </w:rPr>
              <w:t>Operating efficiency</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Oper. expenses as a percent. of total income - reported </w:t>
            </w:r>
            <w:r>
              <w:rPr>
                <w:rFonts w:ascii="Arial" w:cs="Arial" w:eastAsia="Arial" w:hAnsi="Arial"/>
                <w:sz w:val="22"/>
                <w:szCs w:val="22"/>
                <w:color w:val="auto"/>
                <w:vertAlign w:val="superscript"/>
              </w:rPr>
              <w:t>(4)</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41.4%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47"/>
        </w:trPr>
        <w:tc>
          <w:tcPr>
            <w:tcW w:w="3880" w:type="dxa"/>
            <w:vAlign w:val="bottom"/>
          </w:tcPr>
          <w:p>
            <w:pPr>
              <w:spacing w:after="0" w:line="147" w:lineRule="exact"/>
              <w:rPr>
                <w:sz w:val="20"/>
                <w:szCs w:val="20"/>
                <w:color w:val="auto"/>
              </w:rPr>
            </w:pPr>
            <w:r>
              <w:rPr>
                <w:rFonts w:ascii="Arial" w:cs="Arial" w:eastAsia="Arial" w:hAnsi="Arial"/>
                <w:sz w:val="11"/>
                <w:szCs w:val="11"/>
                <w:color w:val="auto"/>
              </w:rPr>
              <w:t xml:space="preserve">Oper. expenses as a percent. of av. tot. assets </w:t>
            </w:r>
            <w:r>
              <w:rPr>
                <w:rFonts w:ascii="Arial" w:cs="Arial" w:eastAsia="Arial" w:hAnsi="Arial"/>
                <w:sz w:val="17"/>
                <w:szCs w:val="17"/>
                <w:color w:val="auto"/>
                <w:vertAlign w:val="superscript"/>
              </w:rPr>
              <w:t>(1)(2)</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240" w:type="dxa"/>
            <w:vAlign w:val="bottom"/>
          </w:tcPr>
          <w:p>
            <w:pPr>
              <w:jc w:val="right"/>
              <w:ind w:right="18"/>
              <w:spacing w:after="0" w:line="148" w:lineRule="exact"/>
              <w:rPr>
                <w:sz w:val="20"/>
                <w:szCs w:val="20"/>
                <w:color w:val="auto"/>
              </w:rPr>
            </w:pPr>
            <w:r>
              <w:rPr>
                <w:rFonts w:ascii="Arial" w:cs="Arial" w:eastAsia="Arial" w:hAnsi="Arial"/>
                <w:sz w:val="16"/>
                <w:szCs w:val="16"/>
                <w:color w:val="auto"/>
                <w:w w:val="84"/>
              </w:rPr>
              <w:t>%</w:t>
            </w: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line="14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38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gridSpan w:val="2"/>
          </w:tcPr>
          <w:p>
            <w:pPr>
              <w:jc w:val="right"/>
              <w:ind w:right="240"/>
              <w:spacing w:after="0" w:line="71" w:lineRule="exact"/>
              <w:rPr>
                <w:sz w:val="20"/>
                <w:szCs w:val="20"/>
                <w:color w:val="auto"/>
              </w:rPr>
            </w:pPr>
            <w:r>
              <w:rPr>
                <w:rFonts w:ascii="Arial" w:cs="Arial" w:eastAsia="Arial" w:hAnsi="Arial"/>
                <w:sz w:val="8"/>
                <w:szCs w:val="8"/>
                <w:color w:val="auto"/>
              </w:rPr>
              <w:t>2.41</w:t>
            </w:r>
          </w:p>
        </w:tc>
        <w:tc>
          <w:tcPr>
            <w:tcW w:w="1260" w:type="dxa"/>
            <w:vAlign w:val="bottom"/>
            <w:gridSpan w:val="2"/>
          </w:tcPr>
          <w:p>
            <w:pPr>
              <w:jc w:val="right"/>
              <w:ind w:right="240"/>
              <w:spacing w:after="0" w:line="71" w:lineRule="exact"/>
              <w:rPr>
                <w:sz w:val="20"/>
                <w:szCs w:val="20"/>
                <w:color w:val="auto"/>
              </w:rPr>
            </w:pPr>
            <w:r>
              <w:rPr>
                <w:rFonts w:ascii="Arial" w:cs="Arial" w:eastAsia="Arial" w:hAnsi="Arial"/>
                <w:sz w:val="8"/>
                <w:szCs w:val="8"/>
                <w:color w:val="auto"/>
              </w:rPr>
              <w:t>2.65</w:t>
            </w:r>
          </w:p>
        </w:tc>
        <w:tc>
          <w:tcPr>
            <w:tcW w:w="1280" w:type="dxa"/>
            <w:vAlign w:val="bottom"/>
            <w:gridSpan w:val="2"/>
          </w:tcPr>
          <w:p>
            <w:pPr>
              <w:jc w:val="right"/>
              <w:ind w:right="260"/>
              <w:spacing w:after="0" w:line="71" w:lineRule="exact"/>
              <w:rPr>
                <w:sz w:val="20"/>
                <w:szCs w:val="20"/>
                <w:color w:val="auto"/>
              </w:rPr>
            </w:pPr>
            <w:r>
              <w:rPr>
                <w:rFonts w:ascii="Arial" w:cs="Arial" w:eastAsia="Arial" w:hAnsi="Arial"/>
                <w:sz w:val="8"/>
                <w:szCs w:val="8"/>
                <w:color w:val="auto"/>
              </w:rPr>
              <w:t>2.00</w:t>
            </w:r>
          </w:p>
        </w:tc>
        <w:tc>
          <w:tcPr>
            <w:tcW w:w="220" w:type="dxa"/>
            <w:vAlign w:val="bottom"/>
          </w:tcPr>
          <w:p>
            <w:pPr>
              <w:spacing w:after="0"/>
              <w:rPr>
                <w:sz w:val="6"/>
                <w:szCs w:val="6"/>
                <w:color w:val="auto"/>
              </w:rPr>
            </w:pPr>
          </w:p>
        </w:tc>
        <w:tc>
          <w:tcPr>
            <w:tcW w:w="960" w:type="dxa"/>
            <w:vAlign w:val="bottom"/>
            <w:gridSpan w:val="2"/>
          </w:tcPr>
          <w:p>
            <w:pPr>
              <w:jc w:val="right"/>
              <w:ind w:right="160"/>
              <w:spacing w:after="0" w:line="71" w:lineRule="exact"/>
              <w:rPr>
                <w:sz w:val="20"/>
                <w:szCs w:val="20"/>
                <w:color w:val="auto"/>
              </w:rPr>
            </w:pPr>
            <w:r>
              <w:rPr>
                <w:rFonts w:ascii="Arial" w:cs="Arial" w:eastAsia="Arial" w:hAnsi="Arial"/>
                <w:sz w:val="8"/>
                <w:szCs w:val="8"/>
                <w:color w:val="auto"/>
              </w:rPr>
              <w:t>2.62</w:t>
            </w:r>
          </w:p>
        </w:tc>
        <w:tc>
          <w:tcPr>
            <w:tcW w:w="0" w:type="dxa"/>
            <w:vAlign w:val="bottom"/>
          </w:tcPr>
          <w:p>
            <w:pPr>
              <w:spacing w:after="0"/>
              <w:rPr>
                <w:sz w:val="1"/>
                <w:szCs w:val="1"/>
                <w:color w:val="auto"/>
              </w:rPr>
            </w:pPr>
          </w:p>
        </w:tc>
      </w:tr>
    </w:tbl>
    <w:p>
      <w:pPr>
        <w:ind w:left="282" w:hanging="282"/>
        <w:spacing w:after="0" w:line="230" w:lineRule="auto"/>
        <w:tabs>
          <w:tab w:leader="none" w:pos="282" w:val="left"/>
        </w:tabs>
        <w:numPr>
          <w:ilvl w:val="0"/>
          <w:numId w:val="81"/>
        </w:numPr>
        <w:rPr>
          <w:rFonts w:ascii="Arial" w:cs="Arial" w:eastAsia="Arial" w:hAnsi="Arial"/>
          <w:sz w:val="20"/>
          <w:szCs w:val="20"/>
          <w:color w:val="auto"/>
        </w:rPr>
      </w:pPr>
      <w:r>
        <w:rPr>
          <w:rFonts w:ascii="Arial" w:cs="Arial" w:eastAsia="Arial" w:hAnsi="Arial"/>
          <w:sz w:val="20"/>
          <w:szCs w:val="20"/>
          <w:color w:val="auto"/>
        </w:rPr>
        <w:t>Ratios are annualized.</w:t>
      </w:r>
    </w:p>
    <w:p>
      <w:pPr>
        <w:ind w:left="282" w:hanging="282"/>
        <w:spacing w:after="0" w:line="230" w:lineRule="auto"/>
        <w:tabs>
          <w:tab w:leader="none" w:pos="282" w:val="left"/>
        </w:tabs>
        <w:numPr>
          <w:ilvl w:val="0"/>
          <w:numId w:val="81"/>
        </w:numPr>
        <w:rPr>
          <w:rFonts w:ascii="Arial" w:cs="Arial" w:eastAsia="Arial" w:hAnsi="Arial"/>
          <w:sz w:val="20"/>
          <w:szCs w:val="20"/>
          <w:color w:val="auto"/>
        </w:rPr>
      </w:pPr>
      <w:r>
        <w:rPr>
          <w:rFonts w:ascii="Arial" w:cs="Arial" w:eastAsia="Arial" w:hAnsi="Arial"/>
          <w:sz w:val="20"/>
          <w:szCs w:val="20"/>
          <w:color w:val="auto"/>
        </w:rPr>
        <w:t>Averages are determined as the average of period-beginning and period-ending balances.</w:t>
      </w:r>
    </w:p>
    <w:p>
      <w:pPr>
        <w:ind w:left="282" w:hanging="282"/>
        <w:spacing w:after="0" w:line="230" w:lineRule="auto"/>
        <w:tabs>
          <w:tab w:leader="none" w:pos="282"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Cost of risk: Annualized provision for loan losses / Total loans.</w:t>
      </w:r>
    </w:p>
    <w:p>
      <w:pPr>
        <w:jc w:val="both"/>
        <w:ind w:left="2" w:hanging="2"/>
        <w:spacing w:after="0" w:line="234" w:lineRule="auto"/>
        <w:tabs>
          <w:tab w:leader="none" w:pos="296" w:val="left"/>
        </w:tabs>
        <w:numPr>
          <w:ilvl w:val="0"/>
          <w:numId w:val="81"/>
        </w:numPr>
        <w:rPr>
          <w:rFonts w:ascii="Arial" w:cs="Arial" w:eastAsia="Arial" w:hAnsi="Arial"/>
          <w:sz w:val="20"/>
          <w:szCs w:val="20"/>
          <w:color w:val="auto"/>
        </w:rPr>
      </w:pPr>
      <w:r>
        <w:rPr>
          <w:rFonts w:ascii="Arial" w:cs="Arial" w:eastAsia="Arial" w:hAnsi="Arial"/>
          <w:sz w:val="20"/>
          <w:szCs w:val="20"/>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ectPr>
          <w:pgSz w:w="11900" w:h="16838" w:orient="portrait"/>
          <w:cols w:equalWidth="0" w:num="1">
            <w:col w:w="11242"/>
          </w:cols>
          <w:pgMar w:left="318" w:top="764" w:right="339" w:bottom="35" w:gutter="0" w:footer="0" w:header="0"/>
        </w:sectPr>
      </w:pPr>
    </w:p>
    <w:p>
      <w:pPr>
        <w:spacing w:after="0" w:line="200" w:lineRule="exact"/>
        <w:rPr>
          <w:sz w:val="20"/>
          <w:szCs w:val="20"/>
          <w:color w:val="auto"/>
        </w:rPr>
      </w:pPr>
    </w:p>
    <w:p>
      <w:pPr>
        <w:spacing w:after="0" w:line="231" w:lineRule="exact"/>
        <w:rPr>
          <w:sz w:val="20"/>
          <w:szCs w:val="20"/>
          <w:color w:val="auto"/>
        </w:rPr>
      </w:pPr>
    </w:p>
    <w:p>
      <w:pPr>
        <w:ind w:left="10342"/>
        <w:spacing w:after="0"/>
        <w:rPr>
          <w:sz w:val="20"/>
          <w:szCs w:val="20"/>
          <w:color w:val="auto"/>
        </w:rPr>
      </w:pPr>
      <w:r>
        <w:rPr>
          <w:rFonts w:ascii="Arial" w:cs="Arial" w:eastAsia="Arial" w:hAnsi="Arial"/>
          <w:sz w:val="10"/>
          <w:szCs w:val="10"/>
          <w:color w:val="auto"/>
        </w:rPr>
        <w:t>70</w:t>
      </w:r>
    </w:p>
    <w:p>
      <w:pPr>
        <w:sectPr>
          <w:pgSz w:w="11900" w:h="16838" w:orient="portrait"/>
          <w:cols w:equalWidth="0" w:num="1">
            <w:col w:w="11242"/>
          </w:cols>
          <w:pgMar w:left="318" w:top="764" w:right="339" w:bottom="35" w:gutter="0" w:footer="0" w:header="0"/>
          <w:type w:val="continuous"/>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735330</wp:posOffset>
            </wp:positionV>
            <wp:extent cx="7145020"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page">
              <wp:posOffset>6965315</wp:posOffset>
            </wp:positionH>
            <wp:positionV relativeFrom="page">
              <wp:posOffset>88900</wp:posOffset>
            </wp:positionV>
            <wp:extent cx="381635" cy="5842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r>
    </w:p>
    <w:p>
      <w:pPr>
        <w:jc w:val="center"/>
        <w:ind w:right="-1"/>
        <w:spacing w:after="0"/>
        <w:rPr>
          <w:sz w:val="20"/>
          <w:szCs w:val="20"/>
          <w:color w:val="auto"/>
        </w:rPr>
      </w:pPr>
      <w:r>
        <w:rPr>
          <w:rFonts w:ascii="Arial" w:cs="Arial" w:eastAsia="Arial" w:hAnsi="Arial"/>
          <w:sz w:val="20"/>
          <w:szCs w:val="20"/>
          <w:b w:val="1"/>
          <w:bCs w:val="1"/>
          <w:color w:val="auto"/>
        </w:rPr>
        <w:t>Regulatory and Capital Adecuacy Ratios at BCP Stand-alone</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(In S/ thousands, Peru GAAP)</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Arial" w:cs="Arial" w:eastAsia="Arial" w:hAnsi="Arial"/>
                <w:sz w:val="16"/>
                <w:szCs w:val="16"/>
                <w:b w:val="1"/>
                <w:bCs w:val="1"/>
                <w:color w:val="auto"/>
                <w:w w:val="97"/>
              </w:rPr>
              <w:t>Regulatory Capital and Capital Adequacy Ratios - SBS</w:t>
            </w: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As of</w:t>
            </w:r>
          </w:p>
        </w:tc>
        <w:tc>
          <w:tcPr>
            <w:tcW w:w="1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99"/>
              </w:rPr>
              <w:t>% change</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6"/>
                <w:szCs w:val="16"/>
                <w:b w:val="1"/>
                <w:bCs w:val="1"/>
                <w:color w:val="auto"/>
              </w:rPr>
              <w:t>S/ 000</w:t>
            </w:r>
          </w:p>
        </w:tc>
        <w:tc>
          <w:tcPr>
            <w:tcW w:w="12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Dec 20</w:t>
            </w:r>
          </w:p>
        </w:tc>
        <w:tc>
          <w:tcPr>
            <w:tcW w:w="260" w:type="dxa"/>
            <w:vAlign w:val="bottom"/>
          </w:tcPr>
          <w:p>
            <w:pPr>
              <w:spacing w:after="0"/>
              <w:rPr>
                <w:sz w:val="16"/>
                <w:szCs w:val="16"/>
                <w:color w:val="auto"/>
              </w:rPr>
            </w:pPr>
          </w:p>
        </w:tc>
        <w:tc>
          <w:tcPr>
            <w:tcW w:w="12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Sep 21</w:t>
            </w:r>
          </w:p>
        </w:tc>
        <w:tc>
          <w:tcPr>
            <w:tcW w:w="260" w:type="dxa"/>
            <w:vAlign w:val="bottom"/>
          </w:tcPr>
          <w:p>
            <w:pPr>
              <w:spacing w:after="0"/>
              <w:rPr>
                <w:sz w:val="16"/>
                <w:szCs w:val="16"/>
                <w:color w:val="auto"/>
              </w:rPr>
            </w:pPr>
          </w:p>
        </w:tc>
        <w:tc>
          <w:tcPr>
            <w:tcW w:w="12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Dec 21</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QoQ</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8"/>
              <w:spacing w:after="0"/>
              <w:rPr>
                <w:sz w:val="20"/>
                <w:szCs w:val="20"/>
                <w:color w:val="auto"/>
              </w:rPr>
            </w:pPr>
            <w:r>
              <w:rPr>
                <w:rFonts w:ascii="Arial" w:cs="Arial" w:eastAsia="Arial" w:hAnsi="Arial"/>
                <w:sz w:val="16"/>
                <w:szCs w:val="16"/>
                <w:b w:val="1"/>
                <w:bCs w:val="1"/>
                <w:color w:val="auto"/>
                <w:w w:val="96"/>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11,067,387</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11,317,387</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11,317,387</w:t>
            </w:r>
          </w:p>
        </w:tc>
        <w:tc>
          <w:tcPr>
            <w:tcW w:w="2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Legal and Other capital reserves</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6,166,670</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6,707,831</w:t>
            </w:r>
          </w:p>
        </w:tc>
        <w:tc>
          <w:tcPr>
            <w:tcW w:w="1240" w:type="dxa"/>
            <w:vAlign w:val="bottom"/>
          </w:tcPr>
          <w:p>
            <w:pPr>
              <w:jc w:val="right"/>
              <w:spacing w:after="0"/>
              <w:rPr>
                <w:sz w:val="20"/>
                <w:szCs w:val="20"/>
                <w:color w:val="auto"/>
              </w:rPr>
            </w:pPr>
            <w:r>
              <w:rPr>
                <w:rFonts w:ascii="Arial" w:cs="Arial" w:eastAsia="Arial" w:hAnsi="Arial"/>
                <w:sz w:val="16"/>
                <w:szCs w:val="16"/>
                <w:color w:val="auto"/>
              </w:rPr>
              <w:t>6,707,831</w:t>
            </w:r>
          </w:p>
        </w:tc>
        <w:tc>
          <w:tcPr>
            <w:tcW w:w="2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Accumulated earnings with capitalization agreement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center"/>
              <w:ind w:right="560"/>
              <w:spacing w:after="0"/>
              <w:rPr>
                <w:sz w:val="20"/>
                <w:szCs w:val="20"/>
                <w:color w:val="auto"/>
              </w:rPr>
            </w:pPr>
            <w:r>
              <w:rPr>
                <w:rFonts w:ascii="Arial" w:cs="Arial" w:eastAsia="Arial" w:hAnsi="Arial"/>
                <w:sz w:val="16"/>
                <w:szCs w:val="16"/>
                <w:color w:val="auto"/>
                <w:w w:val="89"/>
              </w:rPr>
              <w:t>n.a.</w:t>
            </w: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060" w:type="dxa"/>
            <w:vAlign w:val="bottom"/>
          </w:tcPr>
          <w:p>
            <w:pPr>
              <w:spacing w:after="0" w:line="197" w:lineRule="exact"/>
              <w:rPr>
                <w:sz w:val="20"/>
                <w:szCs w:val="20"/>
                <w:color w:val="auto"/>
              </w:rPr>
            </w:pPr>
            <w:r>
              <w:rPr>
                <w:rFonts w:ascii="Arial" w:cs="Arial" w:eastAsia="Arial" w:hAnsi="Arial"/>
                <w:sz w:val="14"/>
                <w:szCs w:val="14"/>
                <w:color w:val="auto"/>
              </w:rPr>
              <w:t xml:space="preserve">Loan loss reserves </w:t>
            </w:r>
            <w:r>
              <w:rPr>
                <w:rFonts w:ascii="Arial" w:cs="Arial" w:eastAsia="Arial" w:hAnsi="Arial"/>
                <w:sz w:val="22"/>
                <w:szCs w:val="22"/>
                <w:color w:val="auto"/>
                <w:vertAlign w:val="superscript"/>
              </w:rPr>
              <w:t>(1)</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1,595,916</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1,720,951</w:t>
            </w:r>
          </w:p>
        </w:tc>
        <w:tc>
          <w:tcPr>
            <w:tcW w:w="1240" w:type="dxa"/>
            <w:vAlign w:val="bottom"/>
          </w:tcPr>
          <w:p>
            <w:pPr>
              <w:jc w:val="right"/>
              <w:spacing w:after="0"/>
              <w:rPr>
                <w:sz w:val="20"/>
                <w:szCs w:val="20"/>
                <w:color w:val="auto"/>
              </w:rPr>
            </w:pPr>
            <w:r>
              <w:rPr>
                <w:rFonts w:ascii="Arial" w:cs="Arial" w:eastAsia="Arial" w:hAnsi="Arial"/>
                <w:sz w:val="16"/>
                <w:szCs w:val="16"/>
                <w:color w:val="auto"/>
              </w:rPr>
              <w:t>1,735,372</w:t>
            </w:r>
          </w:p>
        </w:tc>
        <w:tc>
          <w:tcPr>
            <w:tcW w:w="2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center"/>
              <w:ind w:right="560"/>
              <w:spacing w:after="0"/>
              <w:rPr>
                <w:sz w:val="20"/>
                <w:szCs w:val="20"/>
                <w:color w:val="auto"/>
              </w:rPr>
            </w:pPr>
            <w:r>
              <w:rPr>
                <w:rFonts w:ascii="Arial" w:cs="Arial" w:eastAsia="Arial" w:hAnsi="Arial"/>
                <w:sz w:val="16"/>
                <w:szCs w:val="16"/>
                <w:color w:val="auto"/>
                <w:w w:val="89"/>
              </w:rPr>
              <w:t>n.a.</w:t>
            </w: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Subordinated Debt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4,817,188</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5,595,900</w:t>
            </w:r>
          </w:p>
        </w:tc>
        <w:tc>
          <w:tcPr>
            <w:tcW w:w="1240" w:type="dxa"/>
            <w:vAlign w:val="bottom"/>
          </w:tcPr>
          <w:p>
            <w:pPr>
              <w:jc w:val="right"/>
              <w:spacing w:after="0"/>
              <w:rPr>
                <w:sz w:val="20"/>
                <w:szCs w:val="20"/>
                <w:color w:val="auto"/>
              </w:rPr>
            </w:pPr>
            <w:r>
              <w:rPr>
                <w:rFonts w:ascii="Arial" w:cs="Arial" w:eastAsia="Arial" w:hAnsi="Arial"/>
                <w:sz w:val="16"/>
                <w:szCs w:val="16"/>
                <w:color w:val="auto"/>
              </w:rPr>
              <w:t>5,397,450</w:t>
            </w:r>
          </w:p>
        </w:tc>
        <w:tc>
          <w:tcPr>
            <w:tcW w:w="2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subsidiaries and others, net of unrealized</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profit and net income</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(2,314,790)</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(2,263,805)</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(2,263,805)</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4060" w:type="dxa"/>
            <w:vAlign w:val="bottom"/>
          </w:tcPr>
          <w:p>
            <w:pPr>
              <w:ind w:left="300"/>
              <w:spacing w:after="0"/>
              <w:rPr>
                <w:sz w:val="20"/>
                <w:szCs w:val="20"/>
                <w:color w:val="auto"/>
              </w:rPr>
            </w:pPr>
            <w:r>
              <w:rPr>
                <w:rFonts w:ascii="Arial" w:cs="Arial" w:eastAsia="Arial" w:hAnsi="Arial"/>
                <w:sz w:val="16"/>
                <w:szCs w:val="16"/>
                <w:color w:val="auto"/>
              </w:rPr>
              <w:t>Investment in subsidiaries and others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(2,297,879)</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(2,377,058)</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(2,435,661)</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profit and net income in subsidiaries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(16,911)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113,253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171,857</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51.7%</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Goodwill</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 - SBS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21,210,287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22,956,180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22,772,151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-0.8%</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Off-balance sheet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90,253,383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100,119,715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94,628,498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Regulatory Tier 1 Capital </w:t>
            </w:r>
            <w:r>
              <w:rPr>
                <w:rFonts w:ascii="Arial" w:cs="Arial" w:eastAsia="Arial" w:hAnsi="Arial"/>
                <w:sz w:val="22"/>
                <w:szCs w:val="22"/>
                <w:color w:val="auto"/>
                <w:vertAlign w:val="superscript"/>
              </w:rPr>
              <w:t>(2)</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14,783,879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15,142,988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15,142,988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1"/>
        </w:trPr>
        <w:tc>
          <w:tcPr>
            <w:tcW w:w="4060" w:type="dxa"/>
            <w:vAlign w:val="bottom"/>
          </w:tcPr>
          <w:p>
            <w:pPr>
              <w:spacing w:after="0" w:line="221" w:lineRule="exact"/>
              <w:rPr>
                <w:sz w:val="20"/>
                <w:szCs w:val="20"/>
                <w:color w:val="auto"/>
              </w:rPr>
            </w:pPr>
            <w:r>
              <w:rPr>
                <w:rFonts w:ascii="Arial" w:cs="Arial" w:eastAsia="Arial" w:hAnsi="Arial"/>
                <w:sz w:val="15"/>
                <w:szCs w:val="15"/>
                <w:color w:val="auto"/>
              </w:rPr>
              <w:t xml:space="preserve">Regulatory Tier 2 Capital </w:t>
            </w:r>
            <w:r>
              <w:rPr>
                <w:rFonts w:ascii="Arial" w:cs="Arial" w:eastAsia="Arial" w:hAnsi="Arial"/>
                <w:sz w:val="25"/>
                <w:szCs w:val="25"/>
                <w:color w:val="auto"/>
                <w:vertAlign w:val="superscript"/>
              </w:rPr>
              <w:t>(3)</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6,426,408</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7,813,192</w:t>
            </w:r>
          </w:p>
        </w:tc>
        <w:tc>
          <w:tcPr>
            <w:tcW w:w="1240" w:type="dxa"/>
            <w:vAlign w:val="bottom"/>
          </w:tcPr>
          <w:p>
            <w:pPr>
              <w:jc w:val="right"/>
              <w:spacing w:after="0"/>
              <w:rPr>
                <w:sz w:val="20"/>
                <w:szCs w:val="20"/>
                <w:color w:val="auto"/>
              </w:rPr>
            </w:pPr>
            <w:r>
              <w:rPr>
                <w:rFonts w:ascii="Arial" w:cs="Arial" w:eastAsia="Arial" w:hAnsi="Arial"/>
                <w:sz w:val="16"/>
                <w:szCs w:val="16"/>
                <w:color w:val="auto"/>
              </w:rPr>
              <w:t>7,629,163</w:t>
            </w:r>
          </w:p>
        </w:tc>
        <w:tc>
          <w:tcPr>
            <w:tcW w:w="2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150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line="221" w:lineRule="exact"/>
              <w:rPr>
                <w:sz w:val="20"/>
                <w:szCs w:val="20"/>
                <w:color w:val="auto"/>
              </w:rPr>
            </w:pPr>
            <w:r>
              <w:rPr>
                <w:rFonts w:ascii="Arial" w:cs="Arial" w:eastAsia="Arial" w:hAnsi="Arial"/>
                <w:sz w:val="15"/>
                <w:szCs w:val="15"/>
                <w:b w:val="1"/>
                <w:bCs w:val="1"/>
                <w:color w:val="auto"/>
              </w:rPr>
              <w:t xml:space="preserve">Total risk-weighted assets - SBS </w:t>
            </w:r>
            <w:r>
              <w:rPr>
                <w:rFonts w:ascii="Arial" w:cs="Arial" w:eastAsia="Arial" w:hAnsi="Arial"/>
                <w:sz w:val="25"/>
                <w:szCs w:val="25"/>
                <w:b w:val="1"/>
                <w:bCs w:val="1"/>
                <w:color w:val="auto"/>
                <w:vertAlign w:val="superscript"/>
              </w:rPr>
              <w:t>(4)</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142,042,877</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151,415,294</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152,376,235</w:t>
            </w:r>
          </w:p>
        </w:tc>
        <w:tc>
          <w:tcPr>
            <w:tcW w:w="2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0.6%</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Credit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125,874,294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135,576,214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137,707,535</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6"/>
        </w:trPr>
        <w:tc>
          <w:tcPr>
            <w:tcW w:w="4060" w:type="dxa"/>
            <w:vAlign w:val="bottom"/>
          </w:tcPr>
          <w:p>
            <w:pPr>
              <w:spacing w:after="0" w:line="197" w:lineRule="exact"/>
              <w:rPr>
                <w:sz w:val="20"/>
                <w:szCs w:val="20"/>
                <w:color w:val="auto"/>
              </w:rPr>
            </w:pPr>
            <w:r>
              <w:rPr>
                <w:rFonts w:ascii="Arial" w:cs="Arial" w:eastAsia="Arial" w:hAnsi="Arial"/>
                <w:sz w:val="14"/>
                <w:szCs w:val="14"/>
                <w:color w:val="auto"/>
              </w:rPr>
              <w:t xml:space="preserve">Market risk-weighted assets </w:t>
            </w:r>
            <w:r>
              <w:rPr>
                <w:rFonts w:ascii="Arial" w:cs="Arial" w:eastAsia="Arial" w:hAnsi="Arial"/>
                <w:sz w:val="22"/>
                <w:szCs w:val="22"/>
                <w:color w:val="auto"/>
                <w:vertAlign w:val="superscript"/>
              </w:rPr>
              <w:t>(5)</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4,859,241</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3,792,119</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2,408,770</w:t>
            </w:r>
          </w:p>
        </w:tc>
        <w:tc>
          <w:tcPr>
            <w:tcW w:w="2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-36.5%</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Operational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11,309,343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12,046,961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12,259,930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capital requirement -SBS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16,359,370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13,925,638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14,356,117</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Credit risk capital requirement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12,587,429</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10,561,112</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10,846,097</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Market risk capital requirement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485,924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312,746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379,212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21.3%</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Operational risk capital requirement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1,130,934</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1,179,465</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1,204,696</w:t>
            </w:r>
          </w:p>
        </w:tc>
        <w:tc>
          <w:tcPr>
            <w:tcW w:w="26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Additional capital requirements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2,155,082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1,872,315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1,926,112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spacing w:after="0" w:line="221" w:lineRule="exact"/>
              <w:rPr>
                <w:sz w:val="20"/>
                <w:szCs w:val="20"/>
                <w:color w:val="auto"/>
              </w:rPr>
            </w:pPr>
            <w:r>
              <w:rPr>
                <w:rFonts w:ascii="Arial" w:cs="Arial" w:eastAsia="Arial" w:hAnsi="Arial"/>
                <w:sz w:val="15"/>
                <w:szCs w:val="15"/>
                <w:b w:val="1"/>
                <w:bCs w:val="1"/>
                <w:color w:val="auto"/>
              </w:rPr>
              <w:t xml:space="preserve">Common Equity Tier 1 - Basel </w:t>
            </w:r>
            <w:r>
              <w:rPr>
                <w:rFonts w:ascii="Arial" w:cs="Arial" w:eastAsia="Arial" w:hAnsi="Arial"/>
                <w:sz w:val="25"/>
                <w:szCs w:val="25"/>
                <w:b w:val="1"/>
                <w:bCs w:val="1"/>
                <w:color w:val="auto"/>
                <w:vertAlign w:val="superscript"/>
              </w:rPr>
              <w:t>(6)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15,292,575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15,869,607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16,856,292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6.2%</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Capital and reserves</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17,234,057</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18,025,217</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18,025,217</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832,931</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2,007,214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3,032,691</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51.1%</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color w:val="auto"/>
              </w:rPr>
              <w:t>Unrealized gains (losses)</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691,094</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(591,123)</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(497,304)</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(1,167,628)</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(1,194,644)</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(1,268,650)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(2,297,879)</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(2,377,058)</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(2,435,661)</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150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line="221" w:lineRule="exact"/>
              <w:rPr>
                <w:sz w:val="20"/>
                <w:szCs w:val="20"/>
                <w:color w:val="auto"/>
              </w:rPr>
            </w:pPr>
            <w:r>
              <w:rPr>
                <w:rFonts w:ascii="Arial" w:cs="Arial" w:eastAsia="Arial" w:hAnsi="Arial"/>
                <w:sz w:val="15"/>
                <w:szCs w:val="15"/>
                <w:b w:val="1"/>
                <w:bCs w:val="1"/>
                <w:color w:val="auto"/>
              </w:rPr>
              <w:t xml:space="preserve">Risk-Weighted Assets - Basel </w:t>
            </w:r>
            <w:r>
              <w:rPr>
                <w:rFonts w:ascii="Arial" w:cs="Arial" w:eastAsia="Arial" w:hAnsi="Arial"/>
                <w:sz w:val="25"/>
                <w:szCs w:val="25"/>
                <w:b w:val="1"/>
                <w:bCs w:val="1"/>
                <w:color w:val="auto"/>
                <w:vertAlign w:val="superscript"/>
              </w:rPr>
              <w:t>(7)</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134,192,100</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142,988,956</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142,406,954</w:t>
            </w:r>
          </w:p>
        </w:tc>
        <w:tc>
          <w:tcPr>
            <w:tcW w:w="2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-0.4%</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Total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142,042,877</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151,415,294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152,376,235</w:t>
            </w: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4060" w:type="dxa"/>
            <w:vAlign w:val="bottom"/>
          </w:tcPr>
          <w:p>
            <w:pPr>
              <w:ind w:left="140"/>
              <w:spacing w:after="0"/>
              <w:rPr>
                <w:sz w:val="20"/>
                <w:szCs w:val="20"/>
                <w:color w:val="auto"/>
              </w:rPr>
            </w:pPr>
            <w:r>
              <w:rPr>
                <w:rFonts w:ascii="Arial" w:cs="Arial" w:eastAsia="Arial" w:hAnsi="Arial"/>
                <w:sz w:val="16"/>
                <w:szCs w:val="16"/>
                <w:color w:val="auto"/>
              </w:rPr>
              <w:t>(-) RWA Intangible assets, excluding goodwill.</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9,264,963</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9,779,459</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10,927,753</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RWA Deferred tax assets generated as a result of</w:t>
            </w: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temporary differences in income tax, in excess of 10%</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of CET1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1,414,185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1,353,120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958,471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184"/>
        </w:trPr>
        <w:tc>
          <w:tcPr>
            <w:tcW w:w="4060" w:type="dxa"/>
            <w:vAlign w:val="bottom"/>
          </w:tcPr>
          <w:p>
            <w:pPr>
              <w:ind w:left="140"/>
              <w:spacing w:after="0"/>
              <w:rPr>
                <w:sz w:val="20"/>
                <w:szCs w:val="20"/>
                <w:color w:val="auto"/>
              </w:rPr>
            </w:pPr>
            <w:r>
              <w:rPr>
                <w:rFonts w:ascii="Arial" w:cs="Arial" w:eastAsia="Arial" w:hAnsi="Arial"/>
                <w:sz w:val="16"/>
                <w:szCs w:val="16"/>
                <w:color w:val="auto"/>
              </w:rPr>
              <w:t>(+) RWA Deferred tax assets generated as a result of</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60" w:type="dxa"/>
            <w:vAlign w:val="bottom"/>
          </w:tcPr>
          <w:p>
            <w:pPr>
              <w:ind w:left="300"/>
              <w:spacing w:after="0"/>
              <w:rPr>
                <w:sz w:val="20"/>
                <w:szCs w:val="20"/>
                <w:color w:val="auto"/>
              </w:rPr>
            </w:pPr>
            <w:r>
              <w:rPr>
                <w:rFonts w:ascii="Arial" w:cs="Arial" w:eastAsia="Arial" w:hAnsi="Arial"/>
                <w:sz w:val="16"/>
                <w:szCs w:val="16"/>
                <w:color w:val="auto"/>
              </w:rPr>
              <w:t>past losses</w:t>
            </w:r>
          </w:p>
        </w:tc>
        <w:tc>
          <w:tcPr>
            <w:tcW w:w="148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6"/>
                <w:szCs w:val="16"/>
                <w:b w:val="1"/>
                <w:bCs w:val="1"/>
                <w:color w:val="auto"/>
              </w:rPr>
              <w:t>Capital ratios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Regulatory Tier 1 ratio </w:t>
            </w:r>
            <w:r>
              <w:rPr>
                <w:rFonts w:ascii="Arial" w:cs="Arial" w:eastAsia="Arial" w:hAnsi="Arial"/>
                <w:sz w:val="22"/>
                <w:szCs w:val="22"/>
                <w:color w:val="auto"/>
                <w:vertAlign w:val="superscript"/>
              </w:rPr>
              <w:t>(8)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9.94%</w:t>
            </w:r>
          </w:p>
        </w:tc>
        <w:tc>
          <w:tcPr>
            <w:tcW w:w="1680" w:type="dxa"/>
            <w:vAlign w:val="bottom"/>
            <w:gridSpan w:val="3"/>
            <w:shd w:val="clear" w:color="auto" w:fill="CCEEFF"/>
          </w:tcPr>
          <w:p>
            <w:pPr>
              <w:jc w:val="center"/>
              <w:ind w:right="560"/>
              <w:spacing w:after="0"/>
              <w:rPr>
                <w:sz w:val="20"/>
                <w:szCs w:val="20"/>
                <w:color w:val="auto"/>
              </w:rPr>
            </w:pPr>
            <w:r>
              <w:rPr>
                <w:rFonts w:ascii="Arial" w:cs="Arial" w:eastAsia="Arial" w:hAnsi="Arial"/>
                <w:sz w:val="16"/>
                <w:szCs w:val="16"/>
                <w:color w:val="auto"/>
                <w:w w:val="89"/>
              </w:rPr>
              <w:t>-6 bps</w:t>
            </w: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-47 bps</w:t>
            </w:r>
          </w:p>
        </w:tc>
        <w:tc>
          <w:tcPr>
            <w:tcW w:w="0" w:type="dxa"/>
            <w:vAlign w:val="bottom"/>
          </w:tcPr>
          <w:p>
            <w:pPr>
              <w:spacing w:after="0"/>
              <w:rPr>
                <w:sz w:val="1"/>
                <w:szCs w:val="1"/>
                <w:color w:val="auto"/>
              </w:rPr>
            </w:pPr>
          </w:p>
        </w:tc>
      </w:tr>
      <w:tr>
        <w:trPr>
          <w:trHeight w:val="196"/>
        </w:trPr>
        <w:tc>
          <w:tcPr>
            <w:tcW w:w="4060" w:type="dxa"/>
            <w:vAlign w:val="bottom"/>
          </w:tcPr>
          <w:p>
            <w:pPr>
              <w:spacing w:after="0" w:line="197"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2"/>
                <w:szCs w:val="22"/>
                <w:color w:val="auto"/>
                <w:vertAlign w:val="superscript"/>
              </w:rPr>
              <w:t>(9)</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11.40%</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11.10%</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11.84%</w:t>
            </w:r>
          </w:p>
        </w:tc>
        <w:tc>
          <w:tcPr>
            <w:tcW w:w="1680" w:type="dxa"/>
            <w:vAlign w:val="bottom"/>
            <w:gridSpan w:val="3"/>
          </w:tcPr>
          <w:p>
            <w:pPr>
              <w:jc w:val="center"/>
              <w:ind w:right="560"/>
              <w:spacing w:after="0"/>
              <w:rPr>
                <w:sz w:val="20"/>
                <w:szCs w:val="20"/>
                <w:color w:val="auto"/>
              </w:rPr>
            </w:pPr>
            <w:r>
              <w:rPr>
                <w:rFonts w:ascii="Arial" w:cs="Arial" w:eastAsia="Arial" w:hAnsi="Arial"/>
                <w:sz w:val="16"/>
                <w:szCs w:val="16"/>
                <w:color w:val="auto"/>
                <w:w w:val="91"/>
              </w:rPr>
              <w:t>74 bps</w:t>
            </w:r>
          </w:p>
        </w:tc>
        <w:tc>
          <w:tcPr>
            <w:tcW w:w="1020" w:type="dxa"/>
            <w:vAlign w:val="bottom"/>
            <w:gridSpan w:val="2"/>
          </w:tcPr>
          <w:p>
            <w:pPr>
              <w:jc w:val="center"/>
              <w:ind w:right="440"/>
              <w:spacing w:after="0"/>
              <w:rPr>
                <w:sz w:val="20"/>
                <w:szCs w:val="20"/>
                <w:color w:val="auto"/>
              </w:rPr>
            </w:pPr>
            <w:r>
              <w:rPr>
                <w:rFonts w:ascii="Arial" w:cs="Arial" w:eastAsia="Arial" w:hAnsi="Arial"/>
                <w:sz w:val="16"/>
                <w:szCs w:val="16"/>
                <w:color w:val="auto"/>
                <w:w w:val="87"/>
              </w:rPr>
              <w:t>44 bps</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Global Capital ratio </w:t>
            </w:r>
            <w:r>
              <w:rPr>
                <w:rFonts w:ascii="Arial" w:cs="Arial" w:eastAsia="Arial" w:hAnsi="Arial"/>
                <w:sz w:val="22"/>
                <w:szCs w:val="22"/>
                <w:color w:val="auto"/>
                <w:vertAlign w:val="superscript"/>
              </w:rPr>
              <w:t>(10)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14.94%</w:t>
            </w:r>
          </w:p>
        </w:tc>
        <w:tc>
          <w:tcPr>
            <w:tcW w:w="1680" w:type="dxa"/>
            <w:vAlign w:val="bottom"/>
            <w:gridSpan w:val="3"/>
            <w:shd w:val="clear" w:color="auto" w:fill="CCEEFF"/>
          </w:tcPr>
          <w:p>
            <w:pPr>
              <w:jc w:val="center"/>
              <w:ind w:right="560"/>
              <w:spacing w:after="0"/>
              <w:rPr>
                <w:sz w:val="20"/>
                <w:szCs w:val="20"/>
                <w:color w:val="auto"/>
              </w:rPr>
            </w:pPr>
            <w:r>
              <w:rPr>
                <w:rFonts w:ascii="Arial" w:cs="Arial" w:eastAsia="Arial" w:hAnsi="Arial"/>
                <w:sz w:val="16"/>
                <w:szCs w:val="16"/>
                <w:color w:val="auto"/>
                <w:w w:val="89"/>
              </w:rPr>
              <w:t>-22 bps</w:t>
            </w:r>
          </w:p>
        </w:tc>
        <w:tc>
          <w:tcPr>
            <w:tcW w:w="102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86"/>
              </w:rPr>
              <w:t>1 bps</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6"/>
                <w:szCs w:val="16"/>
                <w:color w:val="auto"/>
              </w:rPr>
              <w:t>Risk-weighted assets / Regulatory capital</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6.70</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6.60</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6.69</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2" w:hanging="282"/>
        <w:spacing w:after="0"/>
        <w:tabs>
          <w:tab w:leader="none" w:pos="282" w:val="left"/>
        </w:tabs>
        <w:numPr>
          <w:ilvl w:val="0"/>
          <w:numId w:val="82"/>
        </w:numPr>
        <w:rPr>
          <w:rFonts w:ascii="Arial" w:cs="Arial" w:eastAsia="Arial" w:hAnsi="Arial"/>
          <w:sz w:val="20"/>
          <w:szCs w:val="20"/>
          <w:color w:val="auto"/>
        </w:rPr>
      </w:pPr>
      <w:r>
        <w:rPr>
          <w:rFonts w:ascii="Arial" w:cs="Arial" w:eastAsia="Arial" w:hAnsi="Arial"/>
          <w:sz w:val="20"/>
          <w:szCs w:val="20"/>
          <w:color w:val="auto"/>
        </w:rPr>
        <w:t>Up to 1.25% of total risk-weighted assets.</w:t>
      </w:r>
    </w:p>
    <w:p>
      <w:pPr>
        <w:spacing w:after="0" w:line="6" w:lineRule="exact"/>
        <w:rPr>
          <w:rFonts w:ascii="Arial" w:cs="Arial" w:eastAsia="Arial" w:hAnsi="Arial"/>
          <w:sz w:val="20"/>
          <w:szCs w:val="20"/>
          <w:color w:val="auto"/>
        </w:rPr>
      </w:pPr>
    </w:p>
    <w:p>
      <w:pPr>
        <w:jc w:val="both"/>
        <w:ind w:left="2" w:hanging="2"/>
        <w:spacing w:after="0" w:line="230" w:lineRule="auto"/>
        <w:tabs>
          <w:tab w:leader="none" w:pos="303" w:val="left"/>
        </w:tabs>
        <w:numPr>
          <w:ilvl w:val="0"/>
          <w:numId w:val="82"/>
        </w:numPr>
        <w:rPr>
          <w:rFonts w:ascii="Arial" w:cs="Arial" w:eastAsia="Arial" w:hAnsi="Arial"/>
          <w:sz w:val="20"/>
          <w:szCs w:val="20"/>
          <w:color w:val="auto"/>
        </w:rPr>
      </w:pPr>
      <w:r>
        <w:rPr>
          <w:rFonts w:ascii="Arial" w:cs="Arial" w:eastAsia="Arial" w:hAnsi="Arial"/>
          <w:sz w:val="20"/>
          <w:szCs w:val="20"/>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20"/>
          <w:szCs w:val="20"/>
          <w:color w:val="auto"/>
        </w:rPr>
      </w:pPr>
    </w:p>
    <w:p>
      <w:pPr>
        <w:ind w:left="2" w:hanging="2"/>
        <w:spacing w:after="0" w:line="230" w:lineRule="auto"/>
        <w:tabs>
          <w:tab w:leader="none" w:pos="289" w:val="left"/>
        </w:tabs>
        <w:numPr>
          <w:ilvl w:val="0"/>
          <w:numId w:val="82"/>
        </w:numPr>
        <w:rPr>
          <w:rFonts w:ascii="Arial" w:cs="Arial" w:eastAsia="Arial" w:hAnsi="Arial"/>
          <w:sz w:val="20"/>
          <w:szCs w:val="20"/>
          <w:color w:val="auto"/>
        </w:rPr>
      </w:pPr>
      <w:r>
        <w:rPr>
          <w:rFonts w:ascii="Arial" w:cs="Arial" w:eastAsia="Arial" w:hAnsi="Arial"/>
          <w:sz w:val="20"/>
          <w:szCs w:val="20"/>
          <w:color w:val="auto"/>
        </w:rPr>
        <w:t>Regulatory Tier 2 Capital = Subordinated debt + Loan loss reserves + Unrestricted Reserves + (0.5 x Unrealized profit and net income in subsidiaries) - (0.5 x Investment in subsidiaries).</w:t>
      </w:r>
    </w:p>
    <w:p>
      <w:pPr>
        <w:ind w:left="2" w:hanging="2"/>
        <w:spacing w:after="0" w:line="230" w:lineRule="auto"/>
        <w:tabs>
          <w:tab w:leader="none" w:pos="283" w:val="left"/>
        </w:tabs>
        <w:numPr>
          <w:ilvl w:val="0"/>
          <w:numId w:val="82"/>
        </w:numPr>
        <w:rPr>
          <w:rFonts w:ascii="Arial" w:cs="Arial" w:eastAsia="Arial" w:hAnsi="Arial"/>
          <w:sz w:val="20"/>
          <w:szCs w:val="20"/>
          <w:color w:val="auto"/>
        </w:rPr>
      </w:pPr>
      <w:r>
        <w:rPr>
          <w:rFonts w:ascii="Arial" w:cs="Arial" w:eastAsia="Arial" w:hAnsi="Arial"/>
          <w:sz w:val="20"/>
          <w:szCs w:val="20"/>
          <w:color w:val="auto"/>
        </w:rPr>
        <w:t>Since July 2012, Total Risk-weighted assets = Credit risk-weighted assets * 1.00 + Capital requirement to cover market risk * 10 + Capital requirement to cover operational risk * 10 * 1.00 (since July 2014)</w:t>
      </w:r>
    </w:p>
    <w:p>
      <w:pPr>
        <w:ind w:left="282" w:hanging="282"/>
        <w:spacing w:after="0" w:line="230" w:lineRule="auto"/>
        <w:tabs>
          <w:tab w:leader="none" w:pos="282" w:val="left"/>
        </w:tabs>
        <w:numPr>
          <w:ilvl w:val="0"/>
          <w:numId w:val="82"/>
        </w:numPr>
        <w:rPr>
          <w:rFonts w:ascii="Arial" w:cs="Arial" w:eastAsia="Arial" w:hAnsi="Arial"/>
          <w:sz w:val="20"/>
          <w:szCs w:val="20"/>
          <w:color w:val="auto"/>
        </w:rPr>
      </w:pPr>
      <w:r>
        <w:rPr>
          <w:rFonts w:ascii="Arial" w:cs="Arial" w:eastAsia="Arial" w:hAnsi="Arial"/>
          <w:sz w:val="20"/>
          <w:szCs w:val="20"/>
          <w:color w:val="auto"/>
        </w:rPr>
        <w:t>It includes capital requirement to cover price and rate risk.</w:t>
      </w:r>
    </w:p>
    <w:p>
      <w:pPr>
        <w:ind w:left="2" w:hanging="2"/>
        <w:spacing w:after="0" w:line="230" w:lineRule="auto"/>
        <w:tabs>
          <w:tab w:leader="none" w:pos="296"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Common Equity Tier I = Capital + Reserves – 100% of applicable deductions (investment in subsidiaries, goodwill, intangibles and net deferred taxes that rely on future profitability) + retained earnings + unrealized gains.</w:t>
      </w:r>
    </w:p>
    <w:p>
      <w:pPr>
        <w:jc w:val="both"/>
        <w:ind w:left="2" w:hanging="2"/>
        <w:spacing w:after="0" w:line="230" w:lineRule="auto"/>
        <w:tabs>
          <w:tab w:leader="none" w:pos="325" w:val="left"/>
        </w:tabs>
        <w:numPr>
          <w:ilvl w:val="0"/>
          <w:numId w:val="82"/>
        </w:numPr>
        <w:rPr>
          <w:rFonts w:ascii="Arial" w:cs="Arial" w:eastAsia="Arial" w:hAnsi="Arial"/>
          <w:sz w:val="20"/>
          <w:szCs w:val="20"/>
          <w:color w:val="auto"/>
        </w:rPr>
      </w:pPr>
      <w:r>
        <w:rPr>
          <w:rFonts w:ascii="Arial" w:cs="Arial" w:eastAsia="Arial" w:hAnsi="Arial"/>
          <w:sz w:val="20"/>
          <w:szCs w:val="20"/>
          <w:color w:val="auto"/>
        </w:rPr>
        <w:t>Adjusted Risk-Weighted Assets = Risk-weighted assets - (RWA Intangible assets, excluding goodwill, + RWA Deferred tax assets generated as a result of temporary differences in income tax, in excess of 10% of CET1, + RWA Deferred tax assets gene@Holarated as a result of past losses).</w:t>
      </w:r>
    </w:p>
    <w:p>
      <w:pPr>
        <w:spacing w:after="0" w:line="1" w:lineRule="exact"/>
        <w:rPr>
          <w:rFonts w:ascii="Arial" w:cs="Arial" w:eastAsia="Arial" w:hAnsi="Arial"/>
          <w:sz w:val="20"/>
          <w:szCs w:val="20"/>
          <w:color w:val="auto"/>
        </w:rPr>
      </w:pPr>
    </w:p>
    <w:p>
      <w:pPr>
        <w:ind w:left="282" w:hanging="282"/>
        <w:spacing w:after="0" w:line="230" w:lineRule="auto"/>
        <w:tabs>
          <w:tab w:leader="none" w:pos="282" w:val="left"/>
        </w:tabs>
        <w:numPr>
          <w:ilvl w:val="0"/>
          <w:numId w:val="82"/>
        </w:numPr>
        <w:rPr>
          <w:rFonts w:ascii="Arial" w:cs="Arial" w:eastAsia="Arial" w:hAnsi="Arial"/>
          <w:sz w:val="20"/>
          <w:szCs w:val="20"/>
          <w:color w:val="auto"/>
        </w:rPr>
      </w:pPr>
      <w:r>
        <w:rPr>
          <w:rFonts w:ascii="Arial" w:cs="Arial" w:eastAsia="Arial" w:hAnsi="Arial"/>
          <w:sz w:val="20"/>
          <w:szCs w:val="20"/>
          <w:color w:val="auto"/>
        </w:rPr>
        <w:t>Regulatory Tier 1 Capital / Total Risk-weighted assets</w:t>
      </w:r>
    </w:p>
    <w:p>
      <w:pPr>
        <w:ind w:left="282" w:hanging="282"/>
        <w:spacing w:after="0" w:line="230" w:lineRule="auto"/>
        <w:tabs>
          <w:tab w:leader="none" w:pos="282"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Common Equity Tier I / Adjusted Risk-Weighted Assets</w:t>
      </w:r>
    </w:p>
    <w:p>
      <w:pPr>
        <w:ind w:left="382" w:hanging="382"/>
        <w:spacing w:after="0"/>
        <w:tabs>
          <w:tab w:leader="none" w:pos="382" w:val="left"/>
        </w:tabs>
        <w:numPr>
          <w:ilvl w:val="0"/>
          <w:numId w:val="82"/>
        </w:numPr>
        <w:rPr>
          <w:rFonts w:ascii="Arial" w:cs="Arial" w:eastAsia="Arial" w:hAnsi="Arial"/>
          <w:sz w:val="20"/>
          <w:szCs w:val="20"/>
          <w:color w:val="auto"/>
        </w:rPr>
      </w:pPr>
      <w:r>
        <w:rPr>
          <w:rFonts w:ascii="Arial" w:cs="Arial" w:eastAsia="Arial" w:hAnsi="Arial"/>
          <w:sz w:val="20"/>
          <w:szCs w:val="20"/>
          <w:color w:val="auto"/>
        </w:rPr>
        <w:t>Total Regulatory Capital / Total Risk-weighted assets (legal minimum = 10% since July 2011)</w:t>
      </w:r>
    </w:p>
    <w:p>
      <w:pPr>
        <w:sectPr>
          <w:pgSz w:w="11900" w:h="16844" w:orient="portrait"/>
          <w:cols w:equalWidth="0" w:num="1">
            <w:col w:w="11242"/>
          </w:cols>
          <w:pgMar w:left="318" w:top="765" w:right="339" w:bottom="0" w:gutter="0" w:footer="0" w:header="0"/>
        </w:sectPr>
      </w:pPr>
    </w:p>
    <w:p>
      <w:pPr>
        <w:spacing w:after="0" w:line="371" w:lineRule="exact"/>
        <w:rPr>
          <w:sz w:val="20"/>
          <w:szCs w:val="20"/>
          <w:color w:val="auto"/>
        </w:rPr>
      </w:pPr>
    </w:p>
    <w:p>
      <w:pPr>
        <w:ind w:left="10342"/>
        <w:spacing w:after="0"/>
        <w:rPr>
          <w:sz w:val="20"/>
          <w:szCs w:val="20"/>
          <w:color w:val="auto"/>
        </w:rPr>
      </w:pPr>
      <w:r>
        <w:rPr>
          <w:rFonts w:ascii="Arial" w:cs="Arial" w:eastAsia="Arial" w:hAnsi="Arial"/>
          <w:sz w:val="10"/>
          <w:szCs w:val="10"/>
          <w:color w:val="auto"/>
        </w:rPr>
        <w:t>71</w:t>
      </w:r>
    </w:p>
    <w:p>
      <w:pPr>
        <w:sectPr>
          <w:pgSz w:w="11900" w:h="16844" w:orient="portrait"/>
          <w:cols w:equalWidth="0" w:num="1">
            <w:col w:w="11242"/>
          </w:cols>
          <w:pgMar w:left="318" w:top="765" w:right="339" w:bottom="0" w:gutter="0" w:footer="0" w:header="0"/>
          <w:type w:val="continuous"/>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860425</wp:posOffset>
            </wp:positionV>
            <wp:extent cx="7145020"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page">
              <wp:posOffset>6965315</wp:posOffset>
            </wp:positionH>
            <wp:positionV relativeFrom="page">
              <wp:posOffset>213360</wp:posOffset>
            </wp:positionV>
            <wp:extent cx="381635" cy="5842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12.5. BCP Bolivia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BCP BOLIVIA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9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Dec 20</w:t>
            </w:r>
          </w:p>
        </w:tc>
        <w:tc>
          <w:tcPr>
            <w:tcW w:w="9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Sep 21</w:t>
            </w:r>
          </w:p>
        </w:tc>
        <w:tc>
          <w:tcPr>
            <w:tcW w:w="82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Dec 21</w:t>
            </w:r>
          </w:p>
        </w:tc>
        <w:tc>
          <w:tcPr>
            <w:tcW w:w="140" w:type="dxa"/>
            <w:vAlign w:val="bottom"/>
          </w:tcPr>
          <w:p>
            <w:pPr>
              <w:spacing w:after="0"/>
              <w:rPr>
                <w:sz w:val="16"/>
                <w:szCs w:val="16"/>
                <w:color w:val="auto"/>
              </w:rPr>
            </w:pPr>
          </w:p>
        </w:tc>
        <w:tc>
          <w:tcPr>
            <w:tcW w:w="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QoQ</w:t>
            </w:r>
          </w:p>
        </w:tc>
        <w:tc>
          <w:tcPr>
            <w:tcW w:w="5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YoY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2,325,205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2,625,523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2,374,838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Investments</w:t>
            </w:r>
          </w:p>
        </w:tc>
        <w:tc>
          <w:tcPr>
            <w:tcW w:w="820" w:type="dxa"/>
            <w:vAlign w:val="bottom"/>
          </w:tcPr>
          <w:p>
            <w:pPr>
              <w:jc w:val="right"/>
              <w:spacing w:after="0"/>
              <w:rPr>
                <w:sz w:val="20"/>
                <w:szCs w:val="20"/>
                <w:color w:val="auto"/>
              </w:rPr>
            </w:pPr>
            <w:r>
              <w:rPr>
                <w:rFonts w:ascii="Arial" w:cs="Arial" w:eastAsia="Arial" w:hAnsi="Arial"/>
                <w:sz w:val="16"/>
                <w:szCs w:val="16"/>
                <w:color w:val="auto"/>
              </w:rPr>
              <w:t>1,483,229</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1,794,096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1,778,292</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loans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8,838,281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9,919,102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9,596,816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196"/>
        </w:trPr>
        <w:tc>
          <w:tcPr>
            <w:tcW w:w="4560" w:type="dxa"/>
            <w:vAlign w:val="bottom"/>
          </w:tcPr>
          <w:p>
            <w:pPr>
              <w:ind w:left="140"/>
              <w:spacing w:after="0"/>
              <w:rPr>
                <w:sz w:val="20"/>
                <w:szCs w:val="20"/>
                <w:color w:val="auto"/>
              </w:rPr>
            </w:pPr>
            <w:r>
              <w:rPr>
                <w:rFonts w:ascii="Arial" w:cs="Arial" w:eastAsia="Arial" w:hAnsi="Arial"/>
                <w:sz w:val="16"/>
                <w:szCs w:val="16"/>
                <w:color w:val="auto"/>
              </w:rPr>
              <w:t>Current</w:t>
            </w:r>
          </w:p>
        </w:tc>
        <w:tc>
          <w:tcPr>
            <w:tcW w:w="820" w:type="dxa"/>
            <w:vAlign w:val="bottom"/>
          </w:tcPr>
          <w:p>
            <w:pPr>
              <w:jc w:val="right"/>
              <w:spacing w:after="0"/>
              <w:rPr>
                <w:sz w:val="20"/>
                <w:szCs w:val="20"/>
                <w:color w:val="auto"/>
              </w:rPr>
            </w:pPr>
            <w:r>
              <w:rPr>
                <w:rFonts w:ascii="Arial" w:cs="Arial" w:eastAsia="Arial" w:hAnsi="Arial"/>
                <w:sz w:val="16"/>
                <w:szCs w:val="16"/>
                <w:color w:val="auto"/>
              </w:rPr>
              <w:t>8,703,786</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9,782,780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9,471,577</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89,481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95,751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89,850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4560" w:type="dxa"/>
            <w:vAlign w:val="bottom"/>
          </w:tcPr>
          <w:p>
            <w:pPr>
              <w:ind w:left="140"/>
              <w:spacing w:after="0"/>
              <w:rPr>
                <w:sz w:val="20"/>
                <w:szCs w:val="20"/>
                <w:color w:val="auto"/>
              </w:rPr>
            </w:pPr>
            <w:r>
              <w:rPr>
                <w:rFonts w:ascii="Arial" w:cs="Arial" w:eastAsia="Arial" w:hAnsi="Arial"/>
                <w:sz w:val="16"/>
                <w:szCs w:val="16"/>
                <w:color w:val="auto"/>
              </w:rPr>
              <w:t>Refinanced</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45,014</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40,572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35,390</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(614,337)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(467,583)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(448,075)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Net loans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8,223,944</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9,451,520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9,148,741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-3.2%</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54,898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61,986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67,170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Other assets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385,144</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414,892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430,775</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1860"/>
              <w:spacing w:after="0"/>
              <w:rPr>
                <w:sz w:val="20"/>
                <w:szCs w:val="20"/>
                <w:color w:val="auto"/>
              </w:rPr>
            </w:pPr>
            <w:r>
              <w:rPr>
                <w:rFonts w:ascii="Arial" w:cs="Arial" w:eastAsia="Arial" w:hAnsi="Arial"/>
                <w:sz w:val="16"/>
                <w:szCs w:val="16"/>
                <w:b w:val="1"/>
                <w:bCs w:val="1"/>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9"/>
              </w:rPr>
              <w:t>12,472,420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9"/>
              </w:rPr>
              <w:t>14,348,016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9"/>
              </w:rPr>
              <w:t>13,799,816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10,722,703</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12,114,178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11,554,075</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78,187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89,697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106,430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Bonds and subordinated debt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168,936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191,218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185,592</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811,553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1,111,166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1,119,145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196"/>
        </w:trPr>
        <w:tc>
          <w:tcPr>
            <w:tcW w:w="4560" w:type="dxa"/>
            <w:vAlign w:val="bottom"/>
          </w:tcPr>
          <w:p>
            <w:pPr>
              <w:ind w:left="1740"/>
              <w:spacing w:after="0"/>
              <w:rPr>
                <w:sz w:val="20"/>
                <w:szCs w:val="20"/>
                <w:color w:val="auto"/>
              </w:rPr>
            </w:pPr>
            <w:r>
              <w:rPr>
                <w:rFonts w:ascii="Arial" w:cs="Arial" w:eastAsia="Arial" w:hAnsi="Arial"/>
                <w:sz w:val="16"/>
                <w:szCs w:val="16"/>
                <w:b w:val="1"/>
                <w:bCs w:val="1"/>
                <w:color w:val="auto"/>
              </w:rPr>
              <w:t>Total liabilities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11,781,380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13,506,259</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12,965,242</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-4.0%</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691,040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841,757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834,574</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-0.9%</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20.8%</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6"/>
                <w:szCs w:val="16"/>
                <w:b w:val="1"/>
                <w:bCs w:val="1"/>
                <w:color w:val="auto"/>
              </w:rPr>
              <w:t>TOTAL LIABILITIES AND NET SHAREHOLDERS' EQUITY</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12,472,420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14,348,016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13,799,816</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-3.8%</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 change</w:t>
            </w:r>
          </w:p>
        </w:tc>
        <w:tc>
          <w:tcPr>
            <w:tcW w:w="1220" w:type="dxa"/>
            <w:vAlign w:val="bottom"/>
            <w:gridSpan w:val="3"/>
          </w:tcPr>
          <w:p>
            <w:pPr>
              <w:ind w:left="780"/>
              <w:spacing w:after="0"/>
              <w:rPr>
                <w:sz w:val="20"/>
                <w:szCs w:val="20"/>
                <w:color w:val="auto"/>
              </w:rPr>
            </w:pPr>
            <w:r>
              <w:rPr>
                <w:rFonts w:ascii="Arial" w:cs="Arial" w:eastAsia="Arial" w:hAnsi="Arial"/>
                <w:sz w:val="16"/>
                <w:szCs w:val="16"/>
                <w:b w:val="1"/>
                <w:bCs w:val="1"/>
                <w:color w:val="auto"/>
              </w:rPr>
              <w:t>Year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change</w:t>
            </w:r>
          </w:p>
        </w:tc>
      </w:tr>
      <w:tr>
        <w:trPr>
          <w:trHeight w:val="190"/>
        </w:trPr>
        <w:tc>
          <w:tcPr>
            <w:tcW w:w="28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3Q21</w:t>
            </w: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4Q21</w:t>
            </w:r>
          </w:p>
        </w:tc>
        <w:tc>
          <w:tcPr>
            <w:tcW w:w="2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QoQ</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YoY</w:t>
            </w:r>
          </w:p>
        </w:tc>
        <w:tc>
          <w:tcPr>
            <w:tcW w:w="24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40" w:type="dxa"/>
            <w:vAlign w:val="bottom"/>
          </w:tcPr>
          <w:p>
            <w:pPr>
              <w:spacing w:after="0"/>
              <w:rPr>
                <w:sz w:val="16"/>
                <w:szCs w:val="16"/>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6"/>
                <w:szCs w:val="16"/>
                <w:color w:val="auto"/>
              </w:rPr>
              <w:t>Net interest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-79,373</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97,603</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83,842</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-14.1%</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181,692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336,530</w:t>
            </w: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85.2%</w:t>
            </w: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w w:val="94"/>
              </w:rPr>
              <w:t>Provision for loan losses, net of recoveries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(36,599)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(23,161)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(7,908)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(245,311)</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196"/>
        </w:trPr>
        <w:tc>
          <w:tcPr>
            <w:tcW w:w="2860" w:type="dxa"/>
            <w:vAlign w:val="bottom"/>
          </w:tcPr>
          <w:p>
            <w:pPr>
              <w:spacing w:after="0"/>
              <w:rPr>
                <w:sz w:val="20"/>
                <w:szCs w:val="20"/>
                <w:color w:val="auto"/>
              </w:rPr>
            </w:pPr>
            <w:r>
              <w:rPr>
                <w:rFonts w:ascii="Arial" w:cs="Arial" w:eastAsia="Arial" w:hAnsi="Arial"/>
                <w:sz w:val="16"/>
                <w:szCs w:val="16"/>
                <w:b w:val="1"/>
                <w:bCs w:val="1"/>
                <w:color w:val="auto"/>
              </w:rPr>
              <w:t>Net interest income after provisions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-115,972</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74,441</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75,934</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w:t>
            </w: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n.a.</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-63,619</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330,995</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n.a.</w:t>
            </w: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Non-financial income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31,187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44,902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48,202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110,151</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166,326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Total expenses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(79,517)</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(78,514)</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(90,747)</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15.6%</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14.1%</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(260,356)</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(361,989)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39.0%</w:t>
            </w: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result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89"/>
              </w:rPr>
              <w:t>n.a.</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w:t>
            </w: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n.a.</w:t>
            </w: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Income taxes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143,500</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(17,619)</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(10,866)</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-38.3%</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n.a.</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139,434</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(62,994)</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n.a.</w:t>
            </w:r>
          </w:p>
        </w:tc>
      </w:tr>
      <w:tr>
        <w:trPr>
          <w:trHeight w:val="221"/>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(20,586)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23,121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22,532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2.5%</w:t>
            </w: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4"/>
              </w:rPr>
              <w:t>n.a.</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(74,257)</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72,267</w:t>
            </w: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6"/>
              </w:rPr>
              <w:t>n.a.</w:t>
            </w:r>
          </w:p>
        </w:tc>
      </w:tr>
      <w:tr>
        <w:trPr>
          <w:trHeight w:val="196"/>
        </w:trPr>
        <w:tc>
          <w:tcPr>
            <w:tcW w:w="28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Efficiency ratio</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70.0%</w:t>
            </w: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1"/>
              </w:rPr>
              <w:t>1700 pbs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21080 pbs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87.8%</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60.3%</w:t>
            </w: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-2750 pbs</w:t>
            </w:r>
          </w:p>
        </w:tc>
      </w:tr>
      <w:tr>
        <w:trPr>
          <w:trHeight w:val="220"/>
        </w:trPr>
        <w:tc>
          <w:tcPr>
            <w:tcW w:w="2860" w:type="dxa"/>
            <w:vAlign w:val="bottom"/>
          </w:tcPr>
          <w:p>
            <w:pPr>
              <w:spacing w:after="0"/>
              <w:rPr>
                <w:sz w:val="20"/>
                <w:szCs w:val="20"/>
                <w:color w:val="auto"/>
              </w:rPr>
            </w:pPr>
            <w:r>
              <w:rPr>
                <w:rFonts w:ascii="Arial" w:cs="Arial" w:eastAsia="Arial" w:hAnsi="Arial"/>
                <w:sz w:val="16"/>
                <w:szCs w:val="16"/>
                <w:color w:val="auto"/>
              </w:rPr>
              <w:t>ROAE</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-12.0%</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-70 pbs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2273 pbs</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1987 pbs</w:t>
            </w:r>
          </w:p>
        </w:tc>
      </w:tr>
      <w:tr>
        <w:trPr>
          <w:trHeight w:val="19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L/D ratio</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83.1%</w:t>
            </w: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1"/>
              </w:rPr>
              <w:t>120 pbs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63 pbs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IOL ratio</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0.97%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0.94%</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-10 pbs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-7 pbs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NPL ratio</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w:t>
            </w: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89"/>
              </w:rPr>
              <w:t>-10 pbs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9"/>
              </w:rPr>
              <w:t>-21 pbs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Coverage of IOLs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686.6%</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488.3%</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498.7%</w:t>
            </w: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1040 pbs</w:t>
            </w: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-18786 pbs</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Coverage of NPLs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357.8%</w:t>
            </w: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1"/>
              </w:rPr>
              <w:t>1480 pbs</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9"/>
              </w:rPr>
              <w:t>-9900 pbs</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Branches</w:t>
            </w: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43</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Agentes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ATMs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310</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306</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310</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1"/>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Employees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1,575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602"/>
        </w:trPr>
        <w:tc>
          <w:tcPr>
            <w:tcW w:w="2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559"/>
              <w:spacing w:after="0"/>
              <w:rPr>
                <w:sz w:val="20"/>
                <w:szCs w:val="20"/>
                <w:color w:val="auto"/>
              </w:rPr>
            </w:pPr>
            <w:r>
              <w:rPr>
                <w:rFonts w:ascii="Arial" w:cs="Arial" w:eastAsia="Arial" w:hAnsi="Arial"/>
                <w:sz w:val="13"/>
                <w:szCs w:val="13"/>
                <w:color w:val="auto"/>
              </w:rPr>
              <w:t>72</w:t>
            </w:r>
          </w:p>
        </w:tc>
        <w:tc>
          <w:tcPr>
            <w:tcW w:w="140" w:type="dxa"/>
            <w:vAlign w:val="bottom"/>
          </w:tcPr>
          <w:p>
            <w:pPr>
              <w:spacing w:after="0"/>
              <w:rPr>
                <w:sz w:val="24"/>
                <w:szCs w:val="24"/>
                <w:color w:val="auto"/>
              </w:rPr>
            </w:pPr>
          </w:p>
        </w:tc>
      </w:tr>
      <w:tr>
        <w:trPr>
          <w:trHeight w:val="1009"/>
        </w:trPr>
        <w:tc>
          <w:tcPr>
            <w:tcW w:w="2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6762115</wp:posOffset>
            </wp:positionH>
            <wp:positionV relativeFrom="paragraph">
              <wp:posOffset>-661670</wp:posOffset>
            </wp:positionV>
            <wp:extent cx="381635" cy="5842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12.6. Mibanco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MIBANCO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S/ thousands, IFRS)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of</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9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Dec 20</w:t>
            </w:r>
          </w:p>
        </w:tc>
        <w:tc>
          <w:tcPr>
            <w:tcW w:w="9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Sep 20</w:t>
            </w:r>
          </w:p>
        </w:tc>
        <w:tc>
          <w:tcPr>
            <w:tcW w:w="82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Dec 21</w:t>
            </w:r>
          </w:p>
        </w:tc>
        <w:tc>
          <w:tcPr>
            <w:tcW w:w="120" w:type="dxa"/>
            <w:vAlign w:val="bottom"/>
          </w:tcPr>
          <w:p>
            <w:pPr>
              <w:spacing w:after="0"/>
              <w:rPr>
                <w:sz w:val="16"/>
                <w:szCs w:val="16"/>
                <w:color w:val="auto"/>
              </w:rPr>
            </w:pPr>
          </w:p>
        </w:tc>
        <w:tc>
          <w:tcPr>
            <w:tcW w:w="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QoQ</w:t>
            </w:r>
          </w:p>
        </w:tc>
        <w:tc>
          <w:tcPr>
            <w:tcW w:w="6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YoY</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1,861,011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1,577,391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1,107,339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Investments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1,435,436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1,525,592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1,591,562</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4.3%</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loans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9"/>
              </w:rPr>
              <w:t>12,928,787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9"/>
              </w:rPr>
              <w:t>13,288,672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9"/>
              </w:rPr>
              <w:t>13,512,892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196"/>
        </w:trPr>
        <w:tc>
          <w:tcPr>
            <w:tcW w:w="4560" w:type="dxa"/>
            <w:vAlign w:val="bottom"/>
          </w:tcPr>
          <w:p>
            <w:pPr>
              <w:ind w:left="140"/>
              <w:spacing w:after="0"/>
              <w:rPr>
                <w:sz w:val="20"/>
                <w:szCs w:val="20"/>
                <w:color w:val="auto"/>
              </w:rPr>
            </w:pPr>
            <w:r>
              <w:rPr>
                <w:rFonts w:ascii="Arial" w:cs="Arial" w:eastAsia="Arial" w:hAnsi="Arial"/>
                <w:sz w:val="16"/>
                <w:szCs w:val="16"/>
                <w:color w:val="auto"/>
              </w:rPr>
              <w:t>Current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11,904,708</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12,172,179</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12,544,853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Internal overdue loans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913,273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1,067,142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905,082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6"/>
        </w:trPr>
        <w:tc>
          <w:tcPr>
            <w:tcW w:w="4560" w:type="dxa"/>
            <w:vAlign w:val="bottom"/>
          </w:tcPr>
          <w:p>
            <w:pPr>
              <w:ind w:left="140"/>
              <w:spacing w:after="0"/>
              <w:rPr>
                <w:sz w:val="20"/>
                <w:szCs w:val="20"/>
                <w:color w:val="auto"/>
              </w:rPr>
            </w:pPr>
            <w:r>
              <w:rPr>
                <w:rFonts w:ascii="Arial" w:cs="Arial" w:eastAsia="Arial" w:hAnsi="Arial"/>
                <w:sz w:val="16"/>
                <w:szCs w:val="16"/>
                <w:color w:val="auto"/>
              </w:rPr>
              <w:t>Refinanced</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110,806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49,351</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62,957</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27.6%</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loan losses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-1,821,546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-1,487,787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-1,145,702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Net loans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11,107,241</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11,800,884</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12,367,190</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4.8%</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165,559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145,753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144,237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Other assets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1,080,247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1,035,653</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952,303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-8.0%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1860"/>
              <w:spacing w:after="0"/>
              <w:rPr>
                <w:sz w:val="20"/>
                <w:szCs w:val="20"/>
                <w:color w:val="auto"/>
              </w:rPr>
            </w:pPr>
            <w:r>
              <w:rPr>
                <w:rFonts w:ascii="Arial" w:cs="Arial" w:eastAsia="Arial" w:hAnsi="Arial"/>
                <w:sz w:val="16"/>
                <w:szCs w:val="16"/>
                <w:b w:val="1"/>
                <w:bCs w:val="1"/>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9"/>
              </w:rPr>
              <w:t>15,649,493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9"/>
              </w:rPr>
              <w:t>16,085,272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9"/>
              </w:rPr>
              <w:t>16,162,630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0.5%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NET SHAREHOLDERS' EQUITY</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8,661,124</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8,620,050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8,426,058</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1,362,275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2,232,497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2,413,663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Bonds and subordinated debt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132,687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186,677</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188,310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0.9%</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3,383,480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2,803,336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2,771,810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6"/>
        </w:trPr>
        <w:tc>
          <w:tcPr>
            <w:tcW w:w="4560" w:type="dxa"/>
            <w:vAlign w:val="bottom"/>
          </w:tcPr>
          <w:p>
            <w:pPr>
              <w:ind w:left="1740"/>
              <w:spacing w:after="0"/>
              <w:rPr>
                <w:sz w:val="20"/>
                <w:szCs w:val="20"/>
                <w:color w:val="auto"/>
              </w:rPr>
            </w:pPr>
            <w:r>
              <w:rPr>
                <w:rFonts w:ascii="Arial" w:cs="Arial" w:eastAsia="Arial" w:hAnsi="Arial"/>
                <w:sz w:val="16"/>
                <w:szCs w:val="16"/>
                <w:b w:val="1"/>
                <w:bCs w:val="1"/>
                <w:color w:val="auto"/>
              </w:rPr>
              <w:t>Total liabilities</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13,539,566</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13,842,559</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13,799,841</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-0.3%</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2,109,927</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2,242,714</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2,362,789</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5.4%</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12.0%</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60" w:type="dxa"/>
            <w:vAlign w:val="bottom"/>
          </w:tcPr>
          <w:p>
            <w:pPr>
              <w:spacing w:after="0"/>
              <w:rPr>
                <w:sz w:val="20"/>
                <w:szCs w:val="20"/>
                <w:color w:val="auto"/>
              </w:rPr>
            </w:pPr>
            <w:r>
              <w:rPr>
                <w:rFonts w:ascii="Arial" w:cs="Arial" w:eastAsia="Arial" w:hAnsi="Arial"/>
                <w:sz w:val="16"/>
                <w:szCs w:val="16"/>
                <w:b w:val="1"/>
                <w:bCs w:val="1"/>
                <w:color w:val="auto"/>
              </w:rPr>
              <w:t>TOTAL LIABILITIES AND NET SHAREHOLDERS' EQUITY</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15,649,493</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9"/>
              </w:rPr>
              <w:t>16,085,272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9"/>
              </w:rPr>
              <w:t>16,162,630</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0.5%</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 change</w:t>
            </w:r>
          </w:p>
        </w:tc>
        <w:tc>
          <w:tcPr>
            <w:tcW w:w="216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Full Year</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 change</w:t>
            </w:r>
          </w:p>
        </w:tc>
      </w:tr>
      <w:tr>
        <w:trPr>
          <w:trHeight w:val="190"/>
        </w:trPr>
        <w:tc>
          <w:tcPr>
            <w:tcW w:w="28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4Q20</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3Q21</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6"/>
                <w:szCs w:val="16"/>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YoY</w:t>
            </w:r>
          </w:p>
        </w:tc>
        <w:tc>
          <w:tcPr>
            <w:tcW w:w="2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6"/>
                <w:szCs w:val="16"/>
                <w:color w:val="auto"/>
              </w:rPr>
              <w:t>Net interest income</w:t>
            </w:r>
          </w:p>
        </w:tc>
        <w:tc>
          <w:tcPr>
            <w:tcW w:w="780" w:type="dxa"/>
            <w:vAlign w:val="bottom"/>
          </w:tcPr>
          <w:p>
            <w:pPr>
              <w:jc w:val="right"/>
              <w:spacing w:after="0"/>
              <w:rPr>
                <w:sz w:val="20"/>
                <w:szCs w:val="20"/>
                <w:color w:val="auto"/>
              </w:rPr>
            </w:pPr>
            <w:r>
              <w:rPr>
                <w:rFonts w:ascii="Arial" w:cs="Arial" w:eastAsia="Arial" w:hAnsi="Arial"/>
                <w:sz w:val="16"/>
                <w:szCs w:val="16"/>
                <w:color w:val="auto"/>
              </w:rPr>
              <w:t>386,545</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493,183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505,001</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30.6%</w:t>
            </w:r>
          </w:p>
        </w:tc>
        <w:tc>
          <w:tcPr>
            <w:tcW w:w="840" w:type="dxa"/>
            <w:vAlign w:val="bottom"/>
          </w:tcPr>
          <w:p>
            <w:pPr>
              <w:jc w:val="right"/>
              <w:spacing w:after="0"/>
              <w:rPr>
                <w:sz w:val="20"/>
                <w:szCs w:val="20"/>
                <w:color w:val="auto"/>
              </w:rPr>
            </w:pPr>
            <w:r>
              <w:rPr>
                <w:rFonts w:ascii="Arial" w:cs="Arial" w:eastAsia="Arial" w:hAnsi="Arial"/>
                <w:sz w:val="16"/>
                <w:szCs w:val="16"/>
                <w:color w:val="auto"/>
              </w:rPr>
              <w:t>1,550,046</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1,860,353</w:t>
            </w:r>
          </w:p>
        </w:tc>
        <w:tc>
          <w:tcPr>
            <w:tcW w:w="2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w w:val="94"/>
              </w:rPr>
              <w:t>Provision for loan losses, net of recoveries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-117,946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-122,711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-40,058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(1,090,281)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(425,938)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-60.9%</w:t>
            </w:r>
          </w:p>
        </w:tc>
      </w:tr>
      <w:tr>
        <w:trPr>
          <w:trHeight w:val="196"/>
        </w:trPr>
        <w:tc>
          <w:tcPr>
            <w:tcW w:w="2860" w:type="dxa"/>
            <w:vAlign w:val="bottom"/>
          </w:tcPr>
          <w:p>
            <w:pPr>
              <w:spacing w:after="0"/>
              <w:rPr>
                <w:sz w:val="20"/>
                <w:szCs w:val="20"/>
                <w:color w:val="auto"/>
              </w:rPr>
            </w:pPr>
            <w:r>
              <w:rPr>
                <w:rFonts w:ascii="Arial" w:cs="Arial" w:eastAsia="Arial" w:hAnsi="Arial"/>
                <w:sz w:val="16"/>
                <w:szCs w:val="16"/>
                <w:b w:val="1"/>
                <w:bCs w:val="1"/>
                <w:color w:val="auto"/>
              </w:rPr>
              <w:t>Net interest income after provisions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268,599</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370,472</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464,943</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25.5%</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73.1%</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459,765</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1,434,415</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212.0%</w:t>
            </w: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Non-financial income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59,491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22,207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31,668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107,847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98,766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Total expenses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-277,169</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-269,221</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-314,635</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13.5%</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(1,088,344)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(1,124,072)</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result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Income taxes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-27,942</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-46,543</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-62,113</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122.3%</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141,718</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(142,971)</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n.a.</w:t>
            </w:r>
          </w:p>
        </w:tc>
      </w:tr>
      <w:tr>
        <w:trPr>
          <w:trHeight w:val="221"/>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22,979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76,915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119,863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55.8%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122.3%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-379,014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266,138</w:t>
            </w: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4"/>
              </w:rPr>
              <w:t>n.a.</w:t>
            </w:r>
          </w:p>
        </w:tc>
      </w:tr>
      <w:tr>
        <w:trPr>
          <w:trHeight w:val="221"/>
        </w:trPr>
        <w:tc>
          <w:tcPr>
            <w:tcW w:w="286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1080" w:type="dxa"/>
            <w:vAlign w:val="bottom"/>
            <w:gridSpan w:val="2"/>
          </w:tcPr>
          <w:p>
            <w:pPr>
              <w:spacing w:after="0"/>
              <w:rPr>
                <w:sz w:val="19"/>
                <w:szCs w:val="19"/>
                <w:color w:val="auto"/>
              </w:rPr>
            </w:pPr>
          </w:p>
        </w:tc>
        <w:tc>
          <w:tcPr>
            <w:tcW w:w="108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Efficiency ratio</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590 bps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 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-730 bps</w:t>
            </w: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ROAE</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4.8%</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13.9%</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690 bps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1600 bps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-18.1%</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11.9%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3000 bps</w:t>
            </w:r>
          </w:p>
        </w:tc>
      </w:tr>
      <w:tr>
        <w:trPr>
          <w:trHeight w:val="221"/>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ROAE incl. Goowdill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 bps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1520 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2930 bps</w:t>
            </w: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L/D ratio</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149.3%</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154.2%</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160.4%</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621 pbs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1110 bps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IOL ratio</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-130 bps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 pbs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NPL ratio</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7.2%</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-120 bps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-70 pbs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Coverage of IOLs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-1280 bps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-7290 bps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6"/>
                <w:szCs w:val="16"/>
                <w:color w:val="auto"/>
              </w:rPr>
              <w:t>Coverage of NPLs</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177.9%</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133.3%</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118.4%</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-1490 bps</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-5950 bps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8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Branches </w:t>
            </w:r>
            <w:r>
              <w:rPr>
                <w:rFonts w:ascii="Arial" w:cs="Arial" w:eastAsia="Arial" w:hAnsi="Arial"/>
                <w:sz w:val="22"/>
                <w:szCs w:val="22"/>
                <w:color w:val="auto"/>
                <w:vertAlign w:val="superscript"/>
              </w:rPr>
              <w:t>(1)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0"/>
        </w:trPr>
        <w:tc>
          <w:tcPr>
            <w:tcW w:w="2860" w:type="dxa"/>
            <w:vAlign w:val="bottom"/>
          </w:tcPr>
          <w:p>
            <w:pPr>
              <w:spacing w:after="0"/>
              <w:rPr>
                <w:sz w:val="20"/>
                <w:szCs w:val="20"/>
                <w:color w:val="auto"/>
              </w:rPr>
            </w:pPr>
            <w:r>
              <w:rPr>
                <w:rFonts w:ascii="Arial" w:cs="Arial" w:eastAsia="Arial" w:hAnsi="Arial"/>
                <w:sz w:val="16"/>
                <w:szCs w:val="16"/>
                <w:color w:val="auto"/>
              </w:rPr>
              <w:t>Employees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10,781</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9,874</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9,878</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-903</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(1) Includes Banco de la Nacion branches, which in December 20 were 34, in September 21 were 34 and in December 21 were 34</w:t>
      </w:r>
    </w:p>
    <w:p>
      <w:pPr>
        <w:spacing w:after="0" w:line="200" w:lineRule="exact"/>
        <w:rPr>
          <w:sz w:val="20"/>
          <w:szCs w:val="20"/>
          <w:color w:val="auto"/>
        </w:rPr>
      </w:pPr>
    </w:p>
    <w:p>
      <w:pPr>
        <w:spacing w:after="0" w:line="259" w:lineRule="exact"/>
        <w:rPr>
          <w:sz w:val="20"/>
          <w:szCs w:val="20"/>
          <w:color w:val="auto"/>
        </w:rPr>
      </w:pPr>
    </w:p>
    <w:p>
      <w:pPr>
        <w:ind w:left="1034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ind w:right="-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Regulatory Capital and Capital Adequacy Ratios at Mibanco</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 thousands, Peru GAAP)</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w w:val="93"/>
              </w:rPr>
              <w:t>% change</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Dec 20</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Sep 21*</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Dec 21</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QoQ</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6"/>
              </w:rPr>
              <w:t>YoY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2,114,500</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1,714,577</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1,714,577</w:t>
            </w: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Legal and Other capital reserves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246,305</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246,305</w:t>
            </w:r>
          </w:p>
        </w:tc>
        <w:tc>
          <w:tcPr>
            <w:tcW w:w="1100" w:type="dxa"/>
            <w:vAlign w:val="bottom"/>
          </w:tcPr>
          <w:p>
            <w:pPr>
              <w:jc w:val="right"/>
              <w:spacing w:after="0"/>
              <w:rPr>
                <w:sz w:val="20"/>
                <w:szCs w:val="20"/>
                <w:color w:val="auto"/>
              </w:rPr>
            </w:pPr>
            <w:r>
              <w:rPr>
                <w:rFonts w:ascii="Arial" w:cs="Arial" w:eastAsia="Arial" w:hAnsi="Arial"/>
                <w:sz w:val="16"/>
                <w:szCs w:val="16"/>
                <w:color w:val="auto"/>
              </w:rPr>
              <w:t>246,305</w:t>
            </w:r>
          </w:p>
        </w:tc>
        <w:tc>
          <w:tcPr>
            <w:tcW w:w="260" w:type="dxa"/>
            <w:vAlign w:val="bottom"/>
          </w:tcPr>
          <w:p>
            <w:pPr>
              <w:spacing w:after="0"/>
              <w:rPr>
                <w:sz w:val="17"/>
                <w:szCs w:val="17"/>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Accumulated earnings with capitalization agreement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94,945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143,318</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50.9%</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6"/>
        </w:trPr>
        <w:tc>
          <w:tcPr>
            <w:tcW w:w="4520" w:type="dxa"/>
            <w:vAlign w:val="bottom"/>
          </w:tcPr>
          <w:p>
            <w:pPr>
              <w:spacing w:after="0" w:line="197" w:lineRule="exact"/>
              <w:rPr>
                <w:sz w:val="20"/>
                <w:szCs w:val="20"/>
                <w:color w:val="auto"/>
              </w:rPr>
            </w:pPr>
            <w:r>
              <w:rPr>
                <w:rFonts w:ascii="Arial" w:cs="Arial" w:eastAsia="Arial" w:hAnsi="Arial"/>
                <w:sz w:val="14"/>
                <w:szCs w:val="14"/>
                <w:color w:val="auto"/>
              </w:rPr>
              <w:t xml:space="preserve">Loan loss reserves </w:t>
            </w:r>
            <w:r>
              <w:rPr>
                <w:rFonts w:ascii="Arial" w:cs="Arial" w:eastAsia="Arial" w:hAnsi="Arial"/>
                <w:sz w:val="22"/>
                <w:szCs w:val="22"/>
                <w:color w:val="auto"/>
                <w:vertAlign w:val="superscript"/>
              </w:rPr>
              <w:t>(1)</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133,221</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146,213</w:t>
            </w:r>
          </w:p>
        </w:tc>
        <w:tc>
          <w:tcPr>
            <w:tcW w:w="1100" w:type="dxa"/>
            <w:vAlign w:val="bottom"/>
          </w:tcPr>
          <w:p>
            <w:pPr>
              <w:jc w:val="right"/>
              <w:spacing w:after="0"/>
              <w:rPr>
                <w:sz w:val="20"/>
                <w:szCs w:val="20"/>
                <w:color w:val="auto"/>
              </w:rPr>
            </w:pPr>
            <w:r>
              <w:rPr>
                <w:rFonts w:ascii="Arial" w:cs="Arial" w:eastAsia="Arial" w:hAnsi="Arial"/>
                <w:sz w:val="16"/>
                <w:szCs w:val="16"/>
                <w:color w:val="auto"/>
              </w:rPr>
              <w:t>155,006</w:t>
            </w:r>
          </w:p>
        </w:tc>
        <w:tc>
          <w:tcPr>
            <w:tcW w:w="260" w:type="dxa"/>
            <w:vAlign w:val="bottom"/>
          </w:tcPr>
          <w:p>
            <w:pPr>
              <w:spacing w:after="0"/>
              <w:rPr>
                <w:sz w:val="17"/>
                <w:szCs w:val="17"/>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Subordinated Debt</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130,000</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185,000</w:t>
            </w:r>
          </w:p>
        </w:tc>
        <w:tc>
          <w:tcPr>
            <w:tcW w:w="1100" w:type="dxa"/>
            <w:vAlign w:val="bottom"/>
          </w:tcPr>
          <w:p>
            <w:pPr>
              <w:jc w:val="right"/>
              <w:spacing w:after="0"/>
              <w:rPr>
                <w:sz w:val="20"/>
                <w:szCs w:val="20"/>
                <w:color w:val="auto"/>
              </w:rPr>
            </w:pPr>
            <w:r>
              <w:rPr>
                <w:rFonts w:ascii="Arial" w:cs="Arial" w:eastAsia="Arial" w:hAnsi="Arial"/>
                <w:sz w:val="16"/>
                <w:szCs w:val="16"/>
                <w:color w:val="auto"/>
              </w:rPr>
              <w:t>185,000</w:t>
            </w:r>
          </w:p>
        </w:tc>
        <w:tc>
          <w:tcPr>
            <w:tcW w:w="260" w:type="dxa"/>
            <w:vAlign w:val="bottom"/>
          </w:tcPr>
          <w:p>
            <w:pPr>
              <w:spacing w:after="0"/>
              <w:rPr>
                <w:sz w:val="17"/>
                <w:szCs w:val="17"/>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w w:val="97"/>
              </w:rPr>
              <w:t>Investment in subsidiaries and others, net of unrealized profit and</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10"/>
        </w:trPr>
        <w:tc>
          <w:tcPr>
            <w:tcW w:w="452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52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300"/>
              <w:spacing w:after="0"/>
              <w:rPr>
                <w:sz w:val="20"/>
                <w:szCs w:val="20"/>
                <w:color w:val="auto"/>
              </w:rPr>
            </w:pPr>
            <w:r>
              <w:rPr>
                <w:rFonts w:ascii="Arial" w:cs="Arial" w:eastAsia="Arial" w:hAnsi="Arial"/>
                <w:sz w:val="16"/>
                <w:szCs w:val="16"/>
                <w:color w:val="auto"/>
              </w:rPr>
              <w:t>Investment in subsidiaries and others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profit and net income in subsidiaries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Goodwill</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(139,180)</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(139,180)</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(139,180)</w:t>
            </w: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Accumulated Losses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(35,204)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6"/>
                <w:szCs w:val="16"/>
                <w:b w:val="1"/>
                <w:bCs w:val="1"/>
                <w:color w:val="auto"/>
              </w:rPr>
              <w:t>Total Regulatory Capital - SBS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2,449,642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2,247,861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2,305,026</w:t>
            </w:r>
          </w:p>
        </w:tc>
        <w:tc>
          <w:tcPr>
            <w:tcW w:w="260" w:type="dxa"/>
            <w:vAlign w:val="bottom"/>
          </w:tcPr>
          <w:p>
            <w:pPr>
              <w:spacing w:after="0"/>
              <w:rPr>
                <w:sz w:val="19"/>
                <w:szCs w:val="19"/>
                <w:color w:val="auto"/>
              </w:rPr>
            </w:pPr>
          </w:p>
        </w:tc>
        <w:tc>
          <w:tcPr>
            <w:tcW w:w="138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2.5%</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line="197" w:lineRule="exact"/>
              <w:rPr>
                <w:sz w:val="20"/>
                <w:szCs w:val="20"/>
                <w:color w:val="auto"/>
              </w:rPr>
            </w:pPr>
            <w:r>
              <w:rPr>
                <w:rFonts w:ascii="Arial" w:cs="Arial" w:eastAsia="Arial" w:hAnsi="Arial"/>
                <w:sz w:val="14"/>
                <w:szCs w:val="14"/>
                <w:color w:val="auto"/>
              </w:rPr>
              <w:t xml:space="preserve">Regulatory Tier 1 Capital </w:t>
            </w:r>
            <w:r>
              <w:rPr>
                <w:rFonts w:ascii="Arial" w:cs="Arial" w:eastAsia="Arial" w:hAnsi="Arial"/>
                <w:sz w:val="22"/>
                <w:szCs w:val="22"/>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6"/>
                <w:szCs w:val="16"/>
                <w:color w:val="auto"/>
              </w:rPr>
              <w:t>2,183,682</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1,913,912</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1,962,285</w:t>
            </w:r>
          </w:p>
        </w:tc>
        <w:tc>
          <w:tcPr>
            <w:tcW w:w="260" w:type="dxa"/>
            <w:vAlign w:val="bottom"/>
          </w:tcPr>
          <w:p>
            <w:pPr>
              <w:spacing w:after="0"/>
              <w:rPr>
                <w:sz w:val="17"/>
                <w:szCs w:val="17"/>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 xml:space="preserve">Regulatory Tier 2 Capital </w:t>
            </w:r>
            <w:r>
              <w:rPr>
                <w:rFonts w:ascii="Arial" w:cs="Arial" w:eastAsia="Arial" w:hAnsi="Arial"/>
                <w:sz w:val="17"/>
                <w:szCs w:val="17"/>
                <w:color w:val="auto"/>
                <w:vertAlign w:val="superscript"/>
              </w:rPr>
              <w:t>(3)</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265,960</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333,948</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342,741</w:t>
            </w:r>
          </w:p>
        </w:tc>
        <w:tc>
          <w:tcPr>
            <w:tcW w:w="2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line="148"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74"/>
        </w:trPr>
        <w:tc>
          <w:tcPr>
            <w:tcW w:w="452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gridSpan w:val="2"/>
            <w:shd w:val="clear" w:color="auto" w:fill="CCEEFF"/>
          </w:tcPr>
          <w:p>
            <w:pPr>
              <w:jc w:val="right"/>
              <w:ind w:right="160"/>
              <w:spacing w:after="0" w:line="74" w:lineRule="exact"/>
              <w:rPr>
                <w:sz w:val="20"/>
                <w:szCs w:val="20"/>
                <w:color w:val="auto"/>
              </w:rPr>
            </w:pPr>
            <w:r>
              <w:rPr>
                <w:rFonts w:ascii="Arial" w:cs="Arial" w:eastAsia="Arial" w:hAnsi="Arial"/>
                <w:sz w:val="8"/>
                <w:szCs w:val="8"/>
                <w:color w:val="auto"/>
              </w:rPr>
              <w:t>28.9</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20" w:type="dxa"/>
            <w:vAlign w:val="bottom"/>
            <w:shd w:val="clear" w:color="auto" w:fill="CCEEFF"/>
          </w:tcPr>
          <w:p>
            <w:pPr>
              <w:spacing w:after="0" w:line="147" w:lineRule="exact"/>
              <w:rPr>
                <w:sz w:val="20"/>
                <w:szCs w:val="20"/>
                <w:color w:val="auto"/>
              </w:rPr>
            </w:pPr>
            <w:r>
              <w:rPr>
                <w:rFonts w:ascii="Arial" w:cs="Arial" w:eastAsia="Arial" w:hAnsi="Arial"/>
                <w:sz w:val="11"/>
                <w:szCs w:val="11"/>
                <w:b w:val="1"/>
                <w:bCs w:val="1"/>
                <w:color w:val="auto"/>
              </w:rPr>
              <w:t xml:space="preserve">Total risk-weighted assets - SBS </w:t>
            </w:r>
            <w:r>
              <w:rPr>
                <w:rFonts w:ascii="Arial" w:cs="Arial" w:eastAsia="Arial" w:hAnsi="Arial"/>
                <w:sz w:val="17"/>
                <w:szCs w:val="17"/>
                <w:b w:val="1"/>
                <w:bCs w:val="1"/>
                <w:color w:val="auto"/>
                <w:vertAlign w:val="superscript"/>
              </w:rPr>
              <w:t>(4)</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12,356,336</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13,430,936</w:t>
            </w: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14,087,582</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280" w:type="dxa"/>
            <w:vAlign w:val="bottom"/>
            <w:shd w:val="clear" w:color="auto" w:fill="CCEEFF"/>
          </w:tcPr>
          <w:p>
            <w:pPr>
              <w:spacing w:after="0" w:line="148" w:lineRule="exact"/>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860"/>
              <w:spacing w:after="0" w:line="148"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74"/>
        </w:trPr>
        <w:tc>
          <w:tcPr>
            <w:tcW w:w="452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gridSpan w:val="2"/>
            <w:shd w:val="clear" w:color="auto" w:fill="CCEEFF"/>
          </w:tcPr>
          <w:p>
            <w:pPr>
              <w:jc w:val="right"/>
              <w:ind w:right="160"/>
              <w:spacing w:after="0" w:line="74" w:lineRule="exact"/>
              <w:rPr>
                <w:sz w:val="20"/>
                <w:szCs w:val="20"/>
                <w:color w:val="auto"/>
              </w:rPr>
            </w:pPr>
            <w:r>
              <w:rPr>
                <w:rFonts w:ascii="Arial" w:cs="Arial" w:eastAsia="Arial" w:hAnsi="Arial"/>
                <w:sz w:val="8"/>
                <w:szCs w:val="8"/>
                <w:b w:val="1"/>
                <w:bCs w:val="1"/>
                <w:color w:val="auto"/>
              </w:rPr>
              <w:t>14.0</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Credit risk-weighted assets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10,314,642</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11,320,727</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12,017,913</w:t>
            </w: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Market risk-weighted assets </w:t>
            </w:r>
            <w:r>
              <w:rPr>
                <w:rFonts w:ascii="Arial" w:cs="Arial" w:eastAsia="Arial" w:hAnsi="Arial"/>
                <w:sz w:val="22"/>
                <w:szCs w:val="22"/>
                <w:color w:val="auto"/>
                <w:vertAlign w:val="superscript"/>
              </w:rPr>
              <w:t>(5)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134,862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229,235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180,974</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-21.1%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6"/>
                <w:szCs w:val="16"/>
                <w:color w:val="auto"/>
              </w:rPr>
              <w:t>Operational risk-weighted assets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1,906,832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1,880,975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1,888,695</w:t>
            </w:r>
          </w:p>
        </w:tc>
        <w:tc>
          <w:tcPr>
            <w:tcW w:w="260" w:type="dxa"/>
            <w:vAlign w:val="bottom"/>
          </w:tcPr>
          <w:p>
            <w:pPr>
              <w:spacing w:after="0"/>
              <w:rPr>
                <w:sz w:val="19"/>
                <w:szCs w:val="19"/>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6"/>
                <w:szCs w:val="16"/>
                <w:b w:val="1"/>
                <w:bCs w:val="1"/>
                <w:color w:val="auto"/>
              </w:rPr>
              <w:t>Total capital requirement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1,236,634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1,344,094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1,409,758</w:t>
            </w:r>
          </w:p>
        </w:tc>
        <w:tc>
          <w:tcPr>
            <w:tcW w:w="260" w:type="dxa"/>
            <w:vAlign w:val="bottom"/>
          </w:tcPr>
          <w:p>
            <w:pPr>
              <w:spacing w:after="0"/>
              <w:rPr>
                <w:sz w:val="19"/>
                <w:szCs w:val="19"/>
                <w:color w:val="auto"/>
              </w:rPr>
            </w:pPr>
          </w:p>
        </w:tc>
        <w:tc>
          <w:tcPr>
            <w:tcW w:w="138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4.9%</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Credit risk capital requirement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1,031,464</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1,132,073</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1,201,791</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Market risk-weighted assets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13,486</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22,923</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18,097</w:t>
            </w: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-21.1%</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Operational risk capital requirement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190,683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188,097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188,869</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6"/>
                <w:szCs w:val="16"/>
                <w:color w:val="auto"/>
              </w:rPr>
              <w:t>Additional capital requirements</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1,000</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1,000</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60" w:type="dxa"/>
            <w:vAlign w:val="bottom"/>
          </w:tcPr>
          <w:p>
            <w:pPr>
              <w:spacing w:after="0"/>
              <w:rPr>
                <w:sz w:val="19"/>
                <w:szCs w:val="19"/>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0.0%</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7" w:lineRule="exact"/>
              <w:rPr>
                <w:sz w:val="20"/>
                <w:szCs w:val="20"/>
                <w:color w:val="auto"/>
              </w:rPr>
            </w:pPr>
            <w:r>
              <w:rPr>
                <w:rFonts w:ascii="Arial" w:cs="Arial" w:eastAsia="Arial" w:hAnsi="Arial"/>
                <w:sz w:val="11"/>
                <w:szCs w:val="11"/>
                <w:b w:val="1"/>
                <w:bCs w:val="1"/>
                <w:color w:val="auto"/>
              </w:rPr>
              <w:t xml:space="preserve">Common Equity Tier 1 - Basel </w:t>
            </w:r>
            <w:r>
              <w:rPr>
                <w:rFonts w:ascii="Arial" w:cs="Arial" w:eastAsia="Arial" w:hAnsi="Arial"/>
                <w:sz w:val="17"/>
                <w:szCs w:val="17"/>
                <w:b w:val="1"/>
                <w:bCs w:val="1"/>
                <w:color w:val="auto"/>
                <w:vertAlign w:val="superscript"/>
              </w:rPr>
              <w:t>(6)</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2,097,427</w:t>
            </w:r>
          </w:p>
        </w:tc>
        <w:tc>
          <w:tcPr>
            <w:tcW w:w="2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1,892,846</w:t>
            </w:r>
          </w:p>
        </w:tc>
        <w:tc>
          <w:tcPr>
            <w:tcW w:w="2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1,953,762</w:t>
            </w:r>
          </w:p>
        </w:tc>
        <w:tc>
          <w:tcPr>
            <w:tcW w:w="2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w:t>
            </w:r>
          </w:p>
        </w:tc>
        <w:tc>
          <w:tcPr>
            <w:tcW w:w="280" w:type="dxa"/>
            <w:vAlign w:val="bottom"/>
          </w:tcPr>
          <w:p>
            <w:pPr>
              <w:spacing w:after="0" w:line="148"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2"/>
                <w:szCs w:val="12"/>
                <w:color w:val="auto"/>
              </w:rPr>
            </w:pPr>
          </w:p>
        </w:tc>
        <w:tc>
          <w:tcPr>
            <w:tcW w:w="1020" w:type="dxa"/>
            <w:vAlign w:val="bottom"/>
            <w:gridSpan w:val="2"/>
          </w:tcPr>
          <w:p>
            <w:pPr>
              <w:ind w:left="860"/>
              <w:spacing w:after="0" w:line="148"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74"/>
        </w:trPr>
        <w:tc>
          <w:tcPr>
            <w:tcW w:w="45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gridSpan w:val="2"/>
          </w:tcPr>
          <w:p>
            <w:pPr>
              <w:jc w:val="right"/>
              <w:ind w:right="160"/>
              <w:spacing w:after="0" w:line="74" w:lineRule="exact"/>
              <w:rPr>
                <w:sz w:val="20"/>
                <w:szCs w:val="20"/>
                <w:color w:val="auto"/>
              </w:rPr>
            </w:pPr>
            <w:r>
              <w:rPr>
                <w:rFonts w:ascii="Arial" w:cs="Arial" w:eastAsia="Arial" w:hAnsi="Arial"/>
                <w:sz w:val="8"/>
                <w:szCs w:val="8"/>
                <w:b w:val="1"/>
                <w:bCs w:val="1"/>
                <w:color w:val="auto"/>
              </w:rPr>
              <w:t>-6.8</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Capital and reserves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2,360,805</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1,960,882</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1,960,882</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Retained earnings</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(35,204)</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201,478</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257,116</w:t>
            </w: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7,691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(5,892)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(5,702)</w:t>
            </w: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6"/>
                <w:szCs w:val="16"/>
                <w:color w:val="auto"/>
              </w:rPr>
              <w:t>Goodwill and intangibles</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(235,865)</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(246,432)</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(258,533)</w:t>
            </w: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Excess DT of 10% CET1 Basilea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(17,191)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#DIV/0!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line="147" w:lineRule="exact"/>
              <w:rPr>
                <w:sz w:val="20"/>
                <w:szCs w:val="20"/>
                <w:color w:val="auto"/>
              </w:rPr>
            </w:pPr>
            <w:r>
              <w:rPr>
                <w:rFonts w:ascii="Arial" w:cs="Arial" w:eastAsia="Arial" w:hAnsi="Arial"/>
                <w:sz w:val="11"/>
                <w:szCs w:val="11"/>
                <w:b w:val="1"/>
                <w:bCs w:val="1"/>
                <w:color w:val="auto"/>
              </w:rPr>
              <w:t xml:space="preserve">Adjusted Risk-Weighted Assets - Basel </w:t>
            </w:r>
            <w:r>
              <w:rPr>
                <w:rFonts w:ascii="Arial" w:cs="Arial" w:eastAsia="Arial" w:hAnsi="Arial"/>
                <w:sz w:val="17"/>
                <w:szCs w:val="17"/>
                <w:b w:val="1"/>
                <w:bCs w:val="1"/>
                <w:color w:val="auto"/>
                <w:vertAlign w:val="superscript"/>
              </w:rPr>
              <w:t>(7)</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11,851,948</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12,537,634</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13,156,427</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w:t>
            </w:r>
          </w:p>
        </w:tc>
        <w:tc>
          <w:tcPr>
            <w:tcW w:w="280" w:type="dxa"/>
            <w:vAlign w:val="bottom"/>
          </w:tcPr>
          <w:p>
            <w:pPr>
              <w:spacing w:after="0" w:line="148" w:lineRule="exact"/>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2"/>
                <w:szCs w:val="12"/>
                <w:color w:val="auto"/>
              </w:rPr>
            </w:pPr>
          </w:p>
        </w:tc>
        <w:tc>
          <w:tcPr>
            <w:tcW w:w="1020" w:type="dxa"/>
            <w:vAlign w:val="bottom"/>
            <w:gridSpan w:val="2"/>
          </w:tcPr>
          <w:p>
            <w:pPr>
              <w:ind w:left="860"/>
              <w:spacing w:after="0" w:line="148"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74"/>
        </w:trPr>
        <w:tc>
          <w:tcPr>
            <w:tcW w:w="45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gridSpan w:val="2"/>
          </w:tcPr>
          <w:p>
            <w:pPr>
              <w:jc w:val="right"/>
              <w:ind w:right="160"/>
              <w:spacing w:after="0" w:line="74" w:lineRule="exact"/>
              <w:rPr>
                <w:sz w:val="20"/>
                <w:szCs w:val="20"/>
                <w:color w:val="auto"/>
              </w:rPr>
            </w:pPr>
            <w:r>
              <w:rPr>
                <w:rFonts w:ascii="Arial" w:cs="Arial" w:eastAsia="Arial" w:hAnsi="Arial"/>
                <w:sz w:val="8"/>
                <w:szCs w:val="8"/>
                <w:b w:val="1"/>
                <w:bCs w:val="1"/>
                <w:color w:val="auto"/>
              </w:rPr>
              <w:t>11.0</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risk-weighted assets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12,356,336</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13,430,936</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14,087,582</w:t>
            </w: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6"/>
        </w:trPr>
        <w:tc>
          <w:tcPr>
            <w:tcW w:w="4520" w:type="dxa"/>
            <w:vAlign w:val="bottom"/>
          </w:tcPr>
          <w:p>
            <w:pPr>
              <w:ind w:left="140"/>
              <w:spacing w:after="0"/>
              <w:rPr>
                <w:sz w:val="20"/>
                <w:szCs w:val="20"/>
                <w:color w:val="auto"/>
              </w:rPr>
            </w:pPr>
            <w:r>
              <w:rPr>
                <w:rFonts w:ascii="Arial" w:cs="Arial" w:eastAsia="Arial" w:hAnsi="Arial"/>
                <w:sz w:val="16"/>
                <w:szCs w:val="16"/>
                <w:color w:val="auto"/>
              </w:rPr>
              <w:t>(-) RWA Intangible assets, excluding goodwill.</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746,454</w:t>
            </w:r>
          </w:p>
        </w:tc>
        <w:tc>
          <w:tcPr>
            <w:tcW w:w="1100" w:type="dxa"/>
            <w:vAlign w:val="bottom"/>
          </w:tcPr>
          <w:p>
            <w:pPr>
              <w:jc w:val="right"/>
              <w:spacing w:after="0"/>
              <w:rPr>
                <w:sz w:val="20"/>
                <w:szCs w:val="20"/>
                <w:color w:val="auto"/>
              </w:rPr>
            </w:pPr>
            <w:r>
              <w:rPr>
                <w:rFonts w:ascii="Arial" w:cs="Arial" w:eastAsia="Arial" w:hAnsi="Arial"/>
                <w:sz w:val="16"/>
                <w:szCs w:val="16"/>
                <w:color w:val="auto"/>
              </w:rPr>
              <w:t>1,049,844</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1,175,376</w:t>
            </w:r>
          </w:p>
        </w:tc>
        <w:tc>
          <w:tcPr>
            <w:tcW w:w="260" w:type="dxa"/>
            <w:vAlign w:val="bottom"/>
          </w:tcPr>
          <w:p>
            <w:pPr>
              <w:spacing w:after="0"/>
              <w:rPr>
                <w:sz w:val="17"/>
                <w:szCs w:val="17"/>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 RWA Deferred tax assets generated as a result of temporary</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differences in income tax, in excess of 10% of CET1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242,065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238,755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244,220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6"/>
        </w:trPr>
        <w:tc>
          <w:tcPr>
            <w:tcW w:w="4520" w:type="dxa"/>
            <w:vAlign w:val="bottom"/>
          </w:tcPr>
          <w:p>
            <w:pPr>
              <w:ind w:left="140"/>
              <w:spacing w:after="0"/>
              <w:rPr>
                <w:sz w:val="20"/>
                <w:szCs w:val="20"/>
                <w:color w:val="auto"/>
              </w:rPr>
            </w:pPr>
            <w:r>
              <w:rPr>
                <w:rFonts w:ascii="Arial" w:cs="Arial" w:eastAsia="Arial" w:hAnsi="Arial"/>
                <w:sz w:val="16"/>
                <w:szCs w:val="16"/>
                <w:color w:val="auto"/>
              </w:rPr>
              <w:t>(-) RWA assets that exceed 10% of CET1 SBS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80,966</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80" w:type="dxa"/>
            <w:vAlign w:val="bottom"/>
            <w:gridSpan w:val="2"/>
          </w:tcPr>
          <w:p>
            <w:pPr>
              <w:jc w:val="right"/>
              <w:ind w:right="78"/>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2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 RWA difference between excees SBS and Basel methodology</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1,247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rPr>
                <w:sz w:val="20"/>
                <w:szCs w:val="20"/>
                <w:color w:val="auto"/>
              </w:rPr>
            </w:pPr>
            <w:r>
              <w:rPr>
                <w:rFonts w:ascii="Arial" w:cs="Arial" w:eastAsia="Arial" w:hAnsi="Arial"/>
                <w:sz w:val="16"/>
                <w:szCs w:val="16"/>
                <w:color w:val="auto"/>
                <w:w w:val="96"/>
              </w:rPr>
              <w:t>(-) RWA adjustment for state coverage, originated by temporary</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Pr>
          <w:p>
            <w:pPr>
              <w:ind w:left="300"/>
              <w:spacing w:after="0"/>
              <w:rPr>
                <w:sz w:val="20"/>
                <w:szCs w:val="20"/>
                <w:color w:val="auto"/>
              </w:rPr>
            </w:pPr>
            <w:r>
              <w:rPr>
                <w:rFonts w:ascii="Arial" w:cs="Arial" w:eastAsia="Arial" w:hAnsi="Arial"/>
                <w:sz w:val="16"/>
                <w:szCs w:val="16"/>
                <w:color w:val="auto"/>
              </w:rPr>
              <w:t>difference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w w:val="97"/>
              </w:rPr>
              <w:t>(+) RWA Deferred tax assets generated as a result of past losses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Capital ratios</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line="197" w:lineRule="exact"/>
              <w:rPr>
                <w:sz w:val="20"/>
                <w:szCs w:val="20"/>
                <w:color w:val="auto"/>
              </w:rPr>
            </w:pPr>
            <w:r>
              <w:rPr>
                <w:rFonts w:ascii="Arial" w:cs="Arial" w:eastAsia="Arial" w:hAnsi="Arial"/>
                <w:sz w:val="14"/>
                <w:szCs w:val="14"/>
                <w:color w:val="auto"/>
              </w:rPr>
              <w:t xml:space="preserve">Regulatory Tier 1 ratio </w:t>
            </w:r>
            <w:r>
              <w:rPr>
                <w:rFonts w:ascii="Arial" w:cs="Arial" w:eastAsia="Arial" w:hAnsi="Arial"/>
                <w:sz w:val="22"/>
                <w:szCs w:val="22"/>
                <w:color w:val="auto"/>
                <w:vertAlign w:val="superscript"/>
              </w:rPr>
              <w:t>(8)</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17.67%</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14.25%</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13.93%</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-32 bps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-374 bps</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2"/>
                <w:szCs w:val="22"/>
                <w:color w:val="auto"/>
                <w:vertAlign w:val="superscript"/>
              </w:rPr>
              <w:t>(9)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 bps</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9"/>
              </w:rPr>
              <w:t>-285 bps</w:t>
            </w:r>
          </w:p>
        </w:tc>
        <w:tc>
          <w:tcPr>
            <w:tcW w:w="0" w:type="dxa"/>
            <w:vAlign w:val="bottom"/>
          </w:tcPr>
          <w:p>
            <w:pPr>
              <w:spacing w:after="0"/>
              <w:rPr>
                <w:sz w:val="1"/>
                <w:szCs w:val="1"/>
                <w:color w:val="auto"/>
              </w:rPr>
            </w:pPr>
          </w:p>
        </w:tc>
      </w:tr>
      <w:tr>
        <w:trPr>
          <w:trHeight w:val="196"/>
        </w:trPr>
        <w:tc>
          <w:tcPr>
            <w:tcW w:w="4520" w:type="dxa"/>
            <w:vAlign w:val="bottom"/>
          </w:tcPr>
          <w:p>
            <w:pPr>
              <w:spacing w:after="0" w:line="197" w:lineRule="exact"/>
              <w:rPr>
                <w:sz w:val="20"/>
                <w:szCs w:val="20"/>
                <w:color w:val="auto"/>
              </w:rPr>
            </w:pPr>
            <w:r>
              <w:rPr>
                <w:rFonts w:ascii="Arial" w:cs="Arial" w:eastAsia="Arial" w:hAnsi="Arial"/>
                <w:sz w:val="14"/>
                <w:szCs w:val="14"/>
                <w:color w:val="auto"/>
              </w:rPr>
              <w:t xml:space="preserve">Global Capital ratio </w:t>
            </w:r>
            <w:r>
              <w:rPr>
                <w:rFonts w:ascii="Arial" w:cs="Arial" w:eastAsia="Arial" w:hAnsi="Arial"/>
                <w:sz w:val="22"/>
                <w:szCs w:val="22"/>
                <w:color w:val="auto"/>
                <w:vertAlign w:val="superscript"/>
              </w:rPr>
              <w:t>(10)</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19.82%</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16.74%</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16.36%</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-38 bps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-346 bps</w:t>
            </w:r>
          </w:p>
        </w:tc>
        <w:tc>
          <w:tcPr>
            <w:tcW w:w="0" w:type="dxa"/>
            <w:vAlign w:val="bottom"/>
          </w:tcPr>
          <w:p>
            <w:pPr>
              <w:spacing w:after="0"/>
              <w:rPr>
                <w:sz w:val="1"/>
                <w:szCs w:val="1"/>
                <w:color w:val="auto"/>
              </w:rPr>
            </w:pPr>
          </w:p>
        </w:tc>
      </w:tr>
      <w:tr>
        <w:trPr>
          <w:trHeight w:val="22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Risk-weighted assets / Regulatory capital</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2" w:hanging="282"/>
        <w:spacing w:after="0"/>
        <w:tabs>
          <w:tab w:leader="none" w:pos="282" w:val="left"/>
        </w:tabs>
        <w:numPr>
          <w:ilvl w:val="0"/>
          <w:numId w:val="83"/>
        </w:numPr>
        <w:rPr>
          <w:rFonts w:ascii="Arial" w:cs="Arial" w:eastAsia="Arial" w:hAnsi="Arial"/>
          <w:sz w:val="20"/>
          <w:szCs w:val="20"/>
          <w:color w:val="auto"/>
        </w:rPr>
      </w:pPr>
      <w:r>
        <w:rPr>
          <w:rFonts w:ascii="Arial" w:cs="Arial" w:eastAsia="Arial" w:hAnsi="Arial"/>
          <w:sz w:val="20"/>
          <w:szCs w:val="20"/>
          <w:color w:val="auto"/>
        </w:rPr>
        <w:t>Up to 1.25% of total risk-weighted assets.</w:t>
      </w:r>
    </w:p>
    <w:p>
      <w:pPr>
        <w:spacing w:after="0" w:line="6" w:lineRule="exact"/>
        <w:rPr>
          <w:rFonts w:ascii="Arial" w:cs="Arial" w:eastAsia="Arial" w:hAnsi="Arial"/>
          <w:sz w:val="20"/>
          <w:szCs w:val="20"/>
          <w:color w:val="auto"/>
        </w:rPr>
      </w:pPr>
    </w:p>
    <w:p>
      <w:pPr>
        <w:jc w:val="both"/>
        <w:ind w:left="2" w:hanging="2"/>
        <w:spacing w:after="0" w:line="230" w:lineRule="auto"/>
        <w:tabs>
          <w:tab w:leader="none" w:pos="303"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20"/>
          <w:szCs w:val="20"/>
          <w:color w:val="auto"/>
        </w:rPr>
      </w:pPr>
    </w:p>
    <w:p>
      <w:pPr>
        <w:ind w:left="2" w:hanging="2"/>
        <w:spacing w:after="0" w:line="230" w:lineRule="auto"/>
        <w:tabs>
          <w:tab w:leader="none" w:pos="289"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Regulatory Tier 2 Capital = Subordinated debt + Loan loss reserves + Unrestricted Reserves + (0.5 x Unrealized profit and net income in subsidiaries) - (0.5 x Investment in subsidiaries).</w:t>
      </w:r>
    </w:p>
    <w:p>
      <w:pPr>
        <w:ind w:left="2" w:hanging="2"/>
        <w:spacing w:after="0" w:line="230" w:lineRule="auto"/>
        <w:tabs>
          <w:tab w:leader="none" w:pos="283" w:val="left"/>
        </w:tabs>
        <w:numPr>
          <w:ilvl w:val="0"/>
          <w:numId w:val="83"/>
        </w:numPr>
        <w:rPr>
          <w:rFonts w:ascii="Arial" w:cs="Arial" w:eastAsia="Arial" w:hAnsi="Arial"/>
          <w:sz w:val="20"/>
          <w:szCs w:val="20"/>
          <w:color w:val="auto"/>
        </w:rPr>
      </w:pPr>
      <w:r>
        <w:rPr>
          <w:rFonts w:ascii="Arial" w:cs="Arial" w:eastAsia="Arial" w:hAnsi="Arial"/>
          <w:sz w:val="20"/>
          <w:szCs w:val="20"/>
          <w:color w:val="auto"/>
        </w:rPr>
        <w:t>Since July 2012, Total Risk-weighted assets = Credit risk-weighted assets * 1.00 + Capital requirement to cover market risk * 10 + Capital requirement to cover operational risk * 10 * 1.00 (since July 2014)</w:t>
      </w:r>
    </w:p>
    <w:p>
      <w:pPr>
        <w:ind w:left="282" w:hanging="282"/>
        <w:spacing w:after="0" w:line="230" w:lineRule="auto"/>
        <w:tabs>
          <w:tab w:leader="none" w:pos="282" w:val="left"/>
        </w:tabs>
        <w:numPr>
          <w:ilvl w:val="0"/>
          <w:numId w:val="83"/>
        </w:numPr>
        <w:rPr>
          <w:rFonts w:ascii="Arial" w:cs="Arial" w:eastAsia="Arial" w:hAnsi="Arial"/>
          <w:sz w:val="20"/>
          <w:szCs w:val="20"/>
          <w:color w:val="auto"/>
        </w:rPr>
      </w:pPr>
      <w:r>
        <w:rPr>
          <w:rFonts w:ascii="Arial" w:cs="Arial" w:eastAsia="Arial" w:hAnsi="Arial"/>
          <w:sz w:val="20"/>
          <w:szCs w:val="20"/>
          <w:color w:val="auto"/>
        </w:rPr>
        <w:t>It includes capital requirement to cover price and rate risk.</w:t>
      </w:r>
    </w:p>
    <w:p>
      <w:pPr>
        <w:ind w:left="2" w:hanging="2"/>
        <w:spacing w:after="0" w:line="230" w:lineRule="auto"/>
        <w:tabs>
          <w:tab w:leader="none" w:pos="296" w:val="left"/>
        </w:tabs>
        <w:numPr>
          <w:ilvl w:val="0"/>
          <w:numId w:val="83"/>
        </w:numPr>
        <w:rPr>
          <w:rFonts w:ascii="Arial" w:cs="Arial" w:eastAsia="Arial" w:hAnsi="Arial"/>
          <w:sz w:val="20"/>
          <w:szCs w:val="20"/>
          <w:color w:val="auto"/>
        </w:rPr>
      </w:pPr>
      <w:r>
        <w:rPr>
          <w:rFonts w:ascii="Arial" w:cs="Arial" w:eastAsia="Arial" w:hAnsi="Arial"/>
          <w:sz w:val="20"/>
          <w:szCs w:val="20"/>
          <w:color w:val="auto"/>
        </w:rPr>
        <w:t>Common Equity Tier I = Capital + Reserves – 100% of applicable deductions (investment in subsidiaries, goodwill, intangibles and net deferred taxes that rely on future profitability) + retained earnings + unrealized gains.</w:t>
      </w:r>
    </w:p>
    <w:p>
      <w:pPr>
        <w:jc w:val="both"/>
        <w:ind w:left="2" w:hanging="2"/>
        <w:spacing w:after="0" w:line="230" w:lineRule="auto"/>
        <w:tabs>
          <w:tab w:leader="none" w:pos="325" w:val="left"/>
        </w:tabs>
        <w:numPr>
          <w:ilvl w:val="0"/>
          <w:numId w:val="83"/>
        </w:numPr>
        <w:rPr>
          <w:rFonts w:ascii="Arial" w:cs="Arial" w:eastAsia="Arial" w:hAnsi="Arial"/>
          <w:sz w:val="20"/>
          <w:szCs w:val="20"/>
          <w:color w:val="auto"/>
        </w:rPr>
      </w:pPr>
      <w:r>
        <w:rPr>
          <w:rFonts w:ascii="Arial" w:cs="Arial" w:eastAsia="Arial" w:hAnsi="Arial"/>
          <w:sz w:val="20"/>
          <w:szCs w:val="20"/>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20"/>
          <w:szCs w:val="20"/>
          <w:color w:val="auto"/>
        </w:rPr>
      </w:pPr>
    </w:p>
    <w:p>
      <w:pPr>
        <w:ind w:left="282" w:hanging="282"/>
        <w:spacing w:after="0" w:line="230" w:lineRule="auto"/>
        <w:tabs>
          <w:tab w:leader="none" w:pos="282"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Regulatory Tier 1 Capital / Total Risk-weighted assets</w:t>
      </w:r>
    </w:p>
    <w:p>
      <w:pPr>
        <w:ind w:left="282" w:hanging="282"/>
        <w:spacing w:after="0" w:line="230" w:lineRule="auto"/>
        <w:tabs>
          <w:tab w:leader="none" w:pos="282" w:val="left"/>
        </w:tabs>
        <w:numPr>
          <w:ilvl w:val="0"/>
          <w:numId w:val="83"/>
        </w:numPr>
        <w:rPr>
          <w:rFonts w:ascii="Arial" w:cs="Arial" w:eastAsia="Arial" w:hAnsi="Arial"/>
          <w:sz w:val="20"/>
          <w:szCs w:val="20"/>
          <w:color w:val="auto"/>
        </w:rPr>
      </w:pPr>
      <w:r>
        <w:rPr>
          <w:rFonts w:ascii="Arial" w:cs="Arial" w:eastAsia="Arial" w:hAnsi="Arial"/>
          <w:sz w:val="20"/>
          <w:szCs w:val="20"/>
          <w:color w:val="auto"/>
        </w:rPr>
        <w:t>Common Equity Tier I / Adjusted Risk-Weighted Assets</w:t>
      </w:r>
    </w:p>
    <w:p>
      <w:pPr>
        <w:ind w:left="382" w:hanging="382"/>
        <w:spacing w:after="0"/>
        <w:tabs>
          <w:tab w:leader="none" w:pos="382" w:val="left"/>
        </w:tabs>
        <w:numPr>
          <w:ilvl w:val="0"/>
          <w:numId w:val="83"/>
        </w:numPr>
        <w:rPr>
          <w:rFonts w:ascii="Arial" w:cs="Arial" w:eastAsia="Arial" w:hAnsi="Arial"/>
          <w:sz w:val="20"/>
          <w:szCs w:val="20"/>
          <w:color w:val="auto"/>
        </w:rPr>
      </w:pPr>
      <w:r>
        <w:rPr>
          <w:rFonts w:ascii="Arial" w:cs="Arial" w:eastAsia="Arial" w:hAnsi="Arial"/>
          <w:sz w:val="20"/>
          <w:szCs w:val="20"/>
          <w:color w:val="auto"/>
        </w:rPr>
        <w:t>Total Regulatory Capital / Total Risk-weighted assets (legal minimum = 10% since July 2011)</w:t>
      </w:r>
    </w:p>
    <w:p>
      <w:pPr>
        <w:sectPr>
          <w:pgSz w:w="11900" w:h="16838" w:orient="portrait"/>
          <w:cols w:equalWidth="0" w:num="1">
            <w:col w:w="11242"/>
          </w:cols>
          <w:pgMar w:left="318" w:top="765" w:right="339" w:bottom="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 Sep 21 Ratios differ from previously reported, please consider the data presented on this report</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0460"/>
          </w:cols>
          <w:pgMar w:left="320" w:top="120" w:right="1119" w:bottom="1440" w:gutter="0" w:footer="0" w:header="0"/>
        </w:sectPr>
      </w:pPr>
    </w:p>
    <w:bookmarkStart w:id="84" w:name="page85"/>
    <w:bookmarkEnd w:id="84"/>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12.8. Investment Banking &amp; Wealth Management</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Investment Banking &amp; Wealth Management</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Arial" w:cs="Arial" w:eastAsia="Arial" w:hAnsi="Arial"/>
                <w:sz w:val="16"/>
                <w:szCs w:val="16"/>
                <w:b w:val="1"/>
                <w:bCs w:val="1"/>
                <w:color w:val="auto"/>
              </w:rPr>
              <w:t>Investment Banking and Wealth Management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Quarter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1080" w:type="dxa"/>
            <w:vAlign w:val="bottom"/>
            <w:gridSpan w:val="3"/>
          </w:tcPr>
          <w:p>
            <w:pPr>
              <w:ind w:left="680"/>
              <w:spacing w:after="0"/>
              <w:rPr>
                <w:sz w:val="20"/>
                <w:szCs w:val="20"/>
                <w:color w:val="auto"/>
              </w:rPr>
            </w:pPr>
            <w:r>
              <w:rPr>
                <w:rFonts w:ascii="Arial" w:cs="Arial" w:eastAsia="Arial" w:hAnsi="Arial"/>
                <w:sz w:val="16"/>
                <w:szCs w:val="16"/>
                <w:b w:val="1"/>
                <w:bCs w:val="1"/>
                <w:color w:val="auto"/>
              </w:rPr>
              <w:t>Year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 change</w:t>
            </w:r>
          </w:p>
        </w:tc>
      </w:tr>
      <w:tr>
        <w:trPr>
          <w:trHeight w:val="190"/>
        </w:trPr>
        <w:tc>
          <w:tcPr>
            <w:tcW w:w="4000" w:type="dxa"/>
            <w:vAlign w:val="bottom"/>
          </w:tcPr>
          <w:p>
            <w:pPr>
              <w:spacing w:after="0"/>
              <w:rPr>
                <w:sz w:val="20"/>
                <w:szCs w:val="20"/>
                <w:color w:val="auto"/>
              </w:rPr>
            </w:pPr>
            <w:r>
              <w:rPr>
                <w:rFonts w:ascii="Arial" w:cs="Arial" w:eastAsia="Arial" w:hAnsi="Arial"/>
                <w:sz w:val="16"/>
                <w:szCs w:val="16"/>
                <w:b w:val="1"/>
                <w:bCs w:val="1"/>
                <w:color w:val="auto"/>
              </w:rPr>
              <w:t>S/ 000</w:t>
            </w:r>
          </w:p>
        </w:tc>
        <w:tc>
          <w:tcPr>
            <w:tcW w:w="7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4Q20</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3Q21</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4Q21</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QoQ</w:t>
            </w:r>
          </w:p>
        </w:tc>
        <w:tc>
          <w:tcPr>
            <w:tcW w:w="24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YoY</w:t>
            </w:r>
          </w:p>
        </w:tc>
        <w:tc>
          <w:tcPr>
            <w:tcW w:w="2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2021 / 2020</w:t>
            </w:r>
          </w:p>
        </w:tc>
        <w:tc>
          <w:tcPr>
            <w:tcW w:w="220" w:type="dxa"/>
            <w:vAlign w:val="bottom"/>
          </w:tcPr>
          <w:p>
            <w:pPr>
              <w:spacing w:after="0"/>
              <w:rPr>
                <w:sz w:val="16"/>
                <w:szCs w:val="16"/>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14,681</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75,113</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Non-financial income</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302,575</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217,358</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184,296</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-39.1%</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889,305</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793,451</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-10.8%</w:t>
            </w:r>
          </w:p>
        </w:tc>
      </w:tr>
      <w:tr>
        <w:trPr>
          <w:trHeight w:val="196"/>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Fee income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156,753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149,029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155,193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506,505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620,753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w:t>
            </w:r>
          </w:p>
        </w:tc>
      </w:tr>
      <w:tr>
        <w:trPr>
          <w:trHeight w:val="196"/>
        </w:trPr>
        <w:tc>
          <w:tcPr>
            <w:tcW w:w="4000" w:type="dxa"/>
            <w:vAlign w:val="bottom"/>
          </w:tcPr>
          <w:p>
            <w:pPr>
              <w:ind w:left="140"/>
              <w:spacing w:after="0"/>
              <w:rPr>
                <w:sz w:val="20"/>
                <w:szCs w:val="20"/>
                <w:color w:val="auto"/>
              </w:rPr>
            </w:pPr>
            <w:r>
              <w:rPr>
                <w:rFonts w:ascii="Arial" w:cs="Arial" w:eastAsia="Arial" w:hAnsi="Arial"/>
                <w:sz w:val="16"/>
                <w:szCs w:val="16"/>
                <w:color w:val="auto"/>
              </w:rPr>
              <w:t>Net gain on foreign exchange transactions</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-21,862</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-3,033</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15,822</w:t>
            </w: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n.a</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-10,213</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16,807</w:t>
            </w:r>
          </w:p>
        </w:tc>
        <w:tc>
          <w:tcPr>
            <w:tcW w:w="1260" w:type="dxa"/>
            <w:vAlign w:val="bottom"/>
            <w:gridSpan w:val="2"/>
          </w:tcPr>
          <w:p>
            <w:pPr>
              <w:jc w:val="right"/>
              <w:ind w:right="640"/>
              <w:spacing w:after="0"/>
              <w:rPr>
                <w:sz w:val="20"/>
                <w:szCs w:val="20"/>
                <w:color w:val="auto"/>
              </w:rPr>
            </w:pPr>
            <w:r>
              <w:rPr>
                <w:rFonts w:ascii="Arial" w:cs="Arial" w:eastAsia="Arial" w:hAnsi="Arial"/>
                <w:sz w:val="16"/>
                <w:szCs w:val="16"/>
                <w:color w:val="auto"/>
              </w:rPr>
              <w:t>n.a</w:t>
            </w:r>
          </w:p>
        </w:tc>
      </w:tr>
      <w:tr>
        <w:trPr>
          <w:trHeight w:val="196"/>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sales of securities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101,559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-6,334</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312,947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28,588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-90.9%</w:t>
            </w:r>
          </w:p>
        </w:tc>
      </w:tr>
      <w:tr>
        <w:trPr>
          <w:trHeight w:val="196"/>
        </w:trPr>
        <w:tc>
          <w:tcPr>
            <w:tcW w:w="4000" w:type="dxa"/>
            <w:vAlign w:val="bottom"/>
          </w:tcPr>
          <w:p>
            <w:pPr>
              <w:ind w:left="140"/>
              <w:spacing w:after="0"/>
              <w:rPr>
                <w:sz w:val="20"/>
                <w:szCs w:val="20"/>
                <w:color w:val="auto"/>
              </w:rPr>
            </w:pPr>
            <w:r>
              <w:rPr>
                <w:rFonts w:ascii="Arial" w:cs="Arial" w:eastAsia="Arial" w:hAnsi="Arial"/>
                <w:sz w:val="16"/>
                <w:szCs w:val="16"/>
                <w:color w:val="auto"/>
              </w:rPr>
              <w:t>Derivative Result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13,027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42,607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-435</w:t>
            </w: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800" w:type="dxa"/>
            <w:vAlign w:val="bottom"/>
            <w:gridSpan w:val="2"/>
          </w:tcPr>
          <w:p>
            <w:pPr>
              <w:jc w:val="right"/>
              <w:ind w:right="440"/>
              <w:spacing w:after="0"/>
              <w:rPr>
                <w:sz w:val="20"/>
                <w:szCs w:val="20"/>
                <w:color w:val="auto"/>
              </w:rPr>
            </w:pPr>
            <w:r>
              <w:rPr>
                <w:rFonts w:ascii="Arial" w:cs="Arial" w:eastAsia="Arial" w:hAnsi="Arial"/>
                <w:sz w:val="16"/>
                <w:szCs w:val="16"/>
                <w:color w:val="auto"/>
              </w:rPr>
              <w:t>n.a</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-11,372</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112,884</w:t>
            </w:r>
          </w:p>
        </w:tc>
        <w:tc>
          <w:tcPr>
            <w:tcW w:w="1260" w:type="dxa"/>
            <w:vAlign w:val="bottom"/>
            <w:gridSpan w:val="2"/>
          </w:tcPr>
          <w:p>
            <w:pPr>
              <w:jc w:val="right"/>
              <w:ind w:right="640"/>
              <w:spacing w:after="0"/>
              <w:rPr>
                <w:sz w:val="20"/>
                <w:szCs w:val="20"/>
                <w:color w:val="auto"/>
              </w:rPr>
            </w:pPr>
            <w:r>
              <w:rPr>
                <w:rFonts w:ascii="Arial" w:cs="Arial" w:eastAsia="Arial" w:hAnsi="Arial"/>
                <w:sz w:val="16"/>
                <w:szCs w:val="16"/>
                <w:color w:val="auto"/>
              </w:rPr>
              <w:t>n.a</w:t>
            </w:r>
          </w:p>
        </w:tc>
      </w:tr>
      <w:tr>
        <w:trPr>
          <w:trHeight w:val="196"/>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Result from exposure to the exchange rate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-10,599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763</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26,748</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-22,532</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n.a</w:t>
            </w:r>
          </w:p>
        </w:tc>
      </w:tr>
      <w:tr>
        <w:trPr>
          <w:trHeight w:val="196"/>
        </w:trPr>
        <w:tc>
          <w:tcPr>
            <w:tcW w:w="400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47,427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4,564</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19,287</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322.6%</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-59.3%</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64,690</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36,951</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-42.9%</w:t>
            </w:r>
          </w:p>
        </w:tc>
      </w:tr>
      <w:tr>
        <w:trPr>
          <w:trHeight w:val="221"/>
        </w:trPr>
        <w:tc>
          <w:tcPr>
            <w:tcW w:w="4000" w:type="dxa"/>
            <w:vAlign w:val="bottom"/>
            <w:shd w:val="clear" w:color="auto" w:fill="CCEEFF"/>
          </w:tcPr>
          <w:p>
            <w:pPr>
              <w:spacing w:after="0" w:line="221" w:lineRule="exact"/>
              <w:rPr>
                <w:sz w:val="20"/>
                <w:szCs w:val="20"/>
                <w:color w:val="auto"/>
              </w:rPr>
            </w:pPr>
            <w:r>
              <w:rPr>
                <w:rFonts w:ascii="Arial" w:cs="Arial" w:eastAsia="Arial" w:hAnsi="Arial"/>
                <w:sz w:val="15"/>
                <w:szCs w:val="15"/>
                <w:color w:val="auto"/>
              </w:rPr>
              <w:t xml:space="preserve">Operating expenses </w:t>
            </w:r>
            <w:r>
              <w:rPr>
                <w:rFonts w:ascii="Arial" w:cs="Arial" w:eastAsia="Arial" w:hAnsi="Arial"/>
                <w:sz w:val="25"/>
                <w:szCs w:val="25"/>
                <w:color w:val="auto"/>
                <w:vertAlign w:val="superscript"/>
              </w:rPr>
              <w:t>(1)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-225,503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-166,716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-189,766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-728,584</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-675,254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96,421</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64,932</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9,211</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-85.8%</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-90.4%</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229,125</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193,310</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-15.6%</w:t>
            </w:r>
          </w:p>
        </w:tc>
      </w:tr>
      <w:tr>
        <w:trPr>
          <w:trHeight w:val="197"/>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-12,595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-9,284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n.a</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n.a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-36,535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-25,388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-30.5%</w:t>
            </w:r>
          </w:p>
        </w:tc>
      </w:tr>
      <w:tr>
        <w:trPr>
          <w:trHeight w:val="220"/>
        </w:trPr>
        <w:tc>
          <w:tcPr>
            <w:tcW w:w="40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453</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1,537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923</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-39.9%</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103.8%</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816</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4,032</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394.1%</w:t>
            </w:r>
          </w:p>
        </w:tc>
      </w:tr>
      <w:tr>
        <w:trPr>
          <w:trHeight w:val="221"/>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83,373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54,111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8,635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-84.0%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-89.6%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191,774</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163,890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-14.5%</w:t>
            </w:r>
          </w:p>
        </w:tc>
      </w:tr>
    </w:tbl>
    <w:p>
      <w:pPr>
        <w:spacing w:after="0" w:line="202" w:lineRule="exact"/>
        <w:rPr>
          <w:sz w:val="20"/>
          <w:szCs w:val="20"/>
          <w:color w:val="auto"/>
        </w:rPr>
      </w:pPr>
    </w:p>
    <w:p>
      <w:pPr>
        <w:ind w:left="2"/>
        <w:spacing w:after="0"/>
        <w:rPr>
          <w:sz w:val="20"/>
          <w:szCs w:val="20"/>
          <w:color w:val="auto"/>
        </w:rPr>
      </w:pPr>
      <w:r>
        <w:rPr>
          <w:rFonts w:ascii="Arial" w:cs="Arial" w:eastAsia="Arial" w:hAnsi="Arial"/>
          <w:sz w:val="20"/>
          <w:szCs w:val="20"/>
          <w:color w:val="auto"/>
        </w:rPr>
        <w:t>* Unaudited results.</w:t>
      </w:r>
    </w:p>
    <w:p>
      <w:pPr>
        <w:spacing w:after="0" w:line="7" w:lineRule="exact"/>
        <w:rPr>
          <w:sz w:val="20"/>
          <w:szCs w:val="20"/>
          <w:color w:val="auto"/>
        </w:rPr>
      </w:pPr>
    </w:p>
    <w:p>
      <w:pPr>
        <w:ind w:left="2" w:hanging="2"/>
        <w:spacing w:after="0" w:line="236" w:lineRule="auto"/>
        <w:tabs>
          <w:tab w:leader="none" w:pos="307" w:val="left"/>
        </w:tabs>
        <w:numPr>
          <w:ilvl w:val="0"/>
          <w:numId w:val="84"/>
        </w:numPr>
        <w:rPr>
          <w:rFonts w:ascii="Arial" w:cs="Arial" w:eastAsia="Arial" w:hAnsi="Arial"/>
          <w:sz w:val="20"/>
          <w:szCs w:val="20"/>
          <w:color w:val="auto"/>
        </w:rPr>
      </w:pPr>
      <w:r>
        <w:rPr>
          <w:rFonts w:ascii="Arial" w:cs="Arial" w:eastAsia="Arial" w:hAnsi="Arial"/>
          <w:sz w:val="20"/>
          <w:szCs w:val="20"/>
          <w:color w:val="auto"/>
        </w:rPr>
        <w:t>Includes: Salaries and employee benefits + Administrative expenses + Assigned expenses + Depreciation and amortization + Tax and contributions + Other expenses.</w:t>
      </w:r>
    </w:p>
    <w:p>
      <w:pPr>
        <w:spacing w:after="0" w:line="200" w:lineRule="exact"/>
        <w:rPr>
          <w:sz w:val="20"/>
          <w:szCs w:val="20"/>
          <w:color w:val="auto"/>
        </w:rPr>
      </w:pPr>
    </w:p>
    <w:p>
      <w:pPr>
        <w:spacing w:after="0" w:line="230"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2"/>
          </w:cols>
          <w:pgMar w:left="318" w:top="765" w:right="339" w:bottom="1440" w:gutter="0" w:footer="0" w:header="0"/>
        </w:sectPr>
      </w:pPr>
    </w:p>
    <w:bookmarkStart w:id="85" w:name="page86"/>
    <w:bookmarkEnd w:id="85"/>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12.9. Grupo Pacifico</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GRUPO PACIFICO</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 in thousands )</w:t>
      </w:r>
    </w:p>
    <w:p>
      <w:pPr>
        <w:spacing w:after="0" w:line="19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 change</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0"/>
        </w:trPr>
        <w:tc>
          <w:tcPr>
            <w:tcW w:w="2320" w:type="dxa"/>
            <w:vAlign w:val="bottom"/>
          </w:tcPr>
          <w:p>
            <w:pPr>
              <w:spacing w:after="0"/>
              <w:rPr>
                <w:sz w:val="16"/>
                <w:szCs w:val="16"/>
                <w:color w:val="auto"/>
              </w:rPr>
            </w:pPr>
          </w:p>
        </w:tc>
        <w:tc>
          <w:tcPr>
            <w:tcW w:w="11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Dec20</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Sep 21</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Dec 21</w:t>
            </w:r>
          </w:p>
        </w:tc>
        <w:tc>
          <w:tcPr>
            <w:tcW w:w="220" w:type="dxa"/>
            <w:vAlign w:val="bottom"/>
          </w:tcPr>
          <w:p>
            <w:pPr>
              <w:spacing w:after="0"/>
              <w:rPr>
                <w:sz w:val="16"/>
                <w:szCs w:val="16"/>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QoQ</w:t>
            </w:r>
          </w:p>
        </w:tc>
        <w:tc>
          <w:tcPr>
            <w:tcW w:w="3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YoY</w:t>
            </w:r>
          </w:p>
        </w:tc>
        <w:tc>
          <w:tcPr>
            <w:tcW w:w="180" w:type="dxa"/>
            <w:vAlign w:val="bottom"/>
          </w:tcPr>
          <w:p>
            <w:pPr>
              <w:spacing w:after="0"/>
              <w:rPr>
                <w:sz w:val="16"/>
                <w:szCs w:val="16"/>
                <w:color w:val="auto"/>
              </w:rPr>
            </w:pPr>
          </w:p>
        </w:tc>
      </w:tr>
      <w:tr>
        <w:trPr>
          <w:trHeight w:val="189"/>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16,021,597</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15,949,391</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16,487,225</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r>
      <w:tr>
        <w:trPr>
          <w:trHeight w:val="196"/>
        </w:trPr>
        <w:tc>
          <w:tcPr>
            <w:tcW w:w="2320" w:type="dxa"/>
            <w:vAlign w:val="bottom"/>
          </w:tcPr>
          <w:p>
            <w:pPr>
              <w:spacing w:after="0" w:line="197" w:lineRule="exact"/>
              <w:rPr>
                <w:sz w:val="20"/>
                <w:szCs w:val="20"/>
                <w:color w:val="auto"/>
              </w:rPr>
            </w:pPr>
            <w:r>
              <w:rPr>
                <w:rFonts w:ascii="Arial" w:cs="Arial" w:eastAsia="Arial" w:hAnsi="Arial"/>
                <w:sz w:val="14"/>
                <w:szCs w:val="14"/>
                <w:color w:val="auto"/>
              </w:rPr>
              <w:t xml:space="preserve">Invesment on securities </w:t>
            </w:r>
            <w:r>
              <w:rPr>
                <w:rFonts w:ascii="Arial" w:cs="Arial" w:eastAsia="Arial" w:hAnsi="Arial"/>
                <w:sz w:val="22"/>
                <w:szCs w:val="22"/>
                <w:color w:val="auto"/>
                <w:vertAlign w:val="superscript"/>
              </w:rPr>
              <w:t>(6)</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12,348,185</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12,129,220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12,491,114</w:t>
            </w:r>
          </w:p>
        </w:tc>
        <w:tc>
          <w:tcPr>
            <w:tcW w:w="7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Technical reserves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11,694,653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12,531,003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12,543,226</w:t>
            </w:r>
          </w:p>
        </w:tc>
        <w:tc>
          <w:tcPr>
            <w:tcW w:w="7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Net equity</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2,971,337</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1,895,643</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2,280,033</w:t>
            </w:r>
          </w:p>
        </w:tc>
        <w:tc>
          <w:tcPr>
            <w:tcW w:w="7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20.3%</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-23.3%</w:t>
            </w:r>
          </w:p>
        </w:tc>
      </w:tr>
    </w:tbl>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Quarter</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 change</w:t>
            </w:r>
          </w:p>
        </w:tc>
        <w:tc>
          <w:tcPr>
            <w:tcW w:w="1160" w:type="dxa"/>
            <w:vAlign w:val="bottom"/>
            <w:gridSpan w:val="3"/>
          </w:tcPr>
          <w:p>
            <w:pPr>
              <w:ind w:left="800"/>
              <w:spacing w:after="0"/>
              <w:rPr>
                <w:sz w:val="20"/>
                <w:szCs w:val="20"/>
                <w:color w:val="auto"/>
              </w:rPr>
            </w:pPr>
            <w:r>
              <w:rPr>
                <w:rFonts w:ascii="Arial" w:cs="Arial" w:eastAsia="Arial" w:hAnsi="Arial"/>
                <w:sz w:val="16"/>
                <w:szCs w:val="16"/>
                <w:b w:val="1"/>
                <w:bCs w:val="1"/>
                <w:color w:val="auto"/>
                <w:w w:val="97"/>
              </w:rPr>
              <w:t>Year</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4Q20</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4Q21</w:t>
            </w:r>
          </w:p>
        </w:tc>
        <w:tc>
          <w:tcPr>
            <w:tcW w:w="24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QoQ</w:t>
            </w: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YoY</w:t>
            </w:r>
          </w:p>
        </w:tc>
        <w:tc>
          <w:tcPr>
            <w:tcW w:w="2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Net earned premiums</w:t>
            </w:r>
          </w:p>
        </w:tc>
        <w:tc>
          <w:tcPr>
            <w:tcW w:w="740" w:type="dxa"/>
            <w:vAlign w:val="bottom"/>
          </w:tcPr>
          <w:p>
            <w:pPr>
              <w:jc w:val="right"/>
              <w:spacing w:after="0"/>
              <w:rPr>
                <w:sz w:val="20"/>
                <w:szCs w:val="20"/>
                <w:color w:val="auto"/>
              </w:rPr>
            </w:pPr>
            <w:r>
              <w:rPr>
                <w:rFonts w:ascii="Arial" w:cs="Arial" w:eastAsia="Arial" w:hAnsi="Arial"/>
                <w:sz w:val="16"/>
                <w:szCs w:val="16"/>
                <w:color w:val="auto"/>
              </w:rPr>
              <w:t>657,373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677,204</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714,026</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840" w:type="dxa"/>
            <w:vAlign w:val="bottom"/>
          </w:tcPr>
          <w:p>
            <w:pPr>
              <w:jc w:val="right"/>
              <w:spacing w:after="0"/>
              <w:rPr>
                <w:sz w:val="20"/>
                <w:szCs w:val="20"/>
                <w:color w:val="auto"/>
              </w:rPr>
            </w:pPr>
            <w:r>
              <w:rPr>
                <w:rFonts w:ascii="Arial" w:cs="Arial" w:eastAsia="Arial" w:hAnsi="Arial"/>
                <w:sz w:val="16"/>
                <w:szCs w:val="16"/>
                <w:color w:val="auto"/>
              </w:rPr>
              <w:t>2,461,195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2,686,710</w:t>
            </w:r>
          </w:p>
        </w:tc>
        <w:tc>
          <w:tcPr>
            <w:tcW w:w="2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claims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(495,532)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(517,950)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(509,279)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(1,731,944)</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(2,346,469)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Net fees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(173,855)</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(149,570)</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(165,647)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(572,234)</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(602,506)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Net underwriting expenses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(11,234)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(35,798)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(18,792)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(128,488)</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(115,944)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b w:val="1"/>
                <w:bCs w:val="1"/>
                <w:color w:val="auto"/>
              </w:rPr>
              <w:t>Underwriting result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(23,247)</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(26,115)</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20,309</w:t>
            </w: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n.a.</w:t>
            </w: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n.a.</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28,529</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(378,210)</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Medical services gross margin</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#DIV/0!</w:t>
            </w: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#DIV/0!</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#DIV/0!</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Net financial income</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137,684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182,019</w:t>
            </w:r>
          </w:p>
        </w:tc>
        <w:tc>
          <w:tcPr>
            <w:tcW w:w="780" w:type="dxa"/>
            <w:vAlign w:val="bottom"/>
          </w:tcPr>
          <w:p>
            <w:pPr>
              <w:jc w:val="right"/>
              <w:spacing w:after="0"/>
              <w:rPr>
                <w:sz w:val="20"/>
                <w:szCs w:val="20"/>
                <w:color w:val="auto"/>
              </w:rPr>
            </w:pPr>
            <w:r>
              <w:rPr>
                <w:rFonts w:ascii="Arial" w:cs="Arial" w:eastAsia="Arial" w:hAnsi="Arial"/>
                <w:sz w:val="16"/>
                <w:szCs w:val="16"/>
                <w:color w:val="auto"/>
              </w:rPr>
              <w:t>163,616</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18.8%</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559,784</w:t>
            </w: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654,276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Total expenses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(119,900)</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(111,326)</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(131,029)</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9.3%</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(443,626)</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(455,035)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Other income</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16,424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16,413</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17,650</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46,170</w:t>
            </w: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47,481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Traslations results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(1,559)</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89"/>
              </w:rPr>
              <w:t>n.a.</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-31.5%</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-2,036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EPS business deduction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16,625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12,994</w:t>
            </w:r>
          </w:p>
        </w:tc>
        <w:tc>
          <w:tcPr>
            <w:tcW w:w="780" w:type="dxa"/>
            <w:vAlign w:val="bottom"/>
          </w:tcPr>
          <w:p>
            <w:pPr>
              <w:jc w:val="right"/>
              <w:spacing w:after="0"/>
              <w:rPr>
                <w:sz w:val="20"/>
                <w:szCs w:val="20"/>
                <w:color w:val="auto"/>
              </w:rPr>
            </w:pPr>
            <w:r>
              <w:rPr>
                <w:rFonts w:ascii="Arial" w:cs="Arial" w:eastAsia="Arial" w:hAnsi="Arial"/>
                <w:sz w:val="16"/>
                <w:szCs w:val="16"/>
                <w:color w:val="auto"/>
              </w:rPr>
              <w:t>8,785</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-47.2%</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60,034</w:t>
            </w: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53,956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Medical Assistance insurance deduction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(17,079)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(10,426)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(13,965)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(52,020)</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(47,176)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Income tax</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391</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(333)</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(1,486)</w:t>
            </w: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n.a.</w:t>
            </w: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82"/>
              </w:rPr>
              <w:t>n.a.</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(2,197)</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(5,247)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b w:val="1"/>
                <w:bCs w:val="1"/>
                <w:color w:val="auto"/>
              </w:rPr>
              <w:t>Income before minority interest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8,621</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63,773</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62,321</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w:t>
            </w: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n.a.</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194,639</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(130,491)</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-167.0%</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(1,245)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(3,796)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(4,394)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7,701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62,529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61,560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w:t>
            </w: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4"/>
              </w:rPr>
              <w:t>n.a.</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190,843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(134,885)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-170.7%</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Ratios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Ceded</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20.6%</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16.8%</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21.4%</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460 bps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80 bps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200 bps</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Loss ratio </w:t>
            </w:r>
            <w:r>
              <w:rPr>
                <w:rFonts w:ascii="Arial" w:cs="Arial" w:eastAsia="Arial" w:hAnsi="Arial"/>
                <w:sz w:val="22"/>
                <w:szCs w:val="22"/>
                <w:color w:val="auto"/>
                <w:vertAlign w:val="superscript"/>
              </w:rPr>
              <w:t>(1)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-410 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70.4%</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1690 bps</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20"/>
                <w:szCs w:val="20"/>
                <w:color w:val="auto"/>
              </w:rPr>
            </w:pPr>
            <w:r>
              <w:rPr>
                <w:rFonts w:ascii="Arial" w:cs="Arial" w:eastAsia="Arial" w:hAnsi="Arial"/>
                <w:sz w:val="16"/>
                <w:szCs w:val="16"/>
                <w:color w:val="auto"/>
              </w:rPr>
              <w:t>Fees + underwriting expenses, net / net</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-160 bps</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-240 bps</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3"/>
              </w:rPr>
              <w:t>-180 bps</w:t>
            </w:r>
          </w:p>
        </w:tc>
        <w:tc>
          <w:tcPr>
            <w:tcW w:w="0" w:type="dxa"/>
            <w:vAlign w:val="bottom"/>
          </w:tcPr>
          <w:p>
            <w:pPr>
              <w:spacing w:after="0"/>
              <w:rPr>
                <w:sz w:val="1"/>
                <w:szCs w:val="1"/>
                <w:color w:val="auto"/>
              </w:rPr>
            </w:pPr>
          </w:p>
        </w:tc>
      </w:tr>
      <w:tr>
        <w:trPr>
          <w:trHeight w:val="110"/>
        </w:trPr>
        <w:tc>
          <w:tcPr>
            <w:tcW w:w="2920" w:type="dxa"/>
            <w:vAlign w:val="bottom"/>
            <w:vMerge w:val="restart"/>
          </w:tcPr>
          <w:p>
            <w:pPr>
              <w:ind w:left="140"/>
              <w:spacing w:after="0"/>
              <w:rPr>
                <w:sz w:val="20"/>
                <w:szCs w:val="20"/>
                <w:color w:val="auto"/>
              </w:rPr>
            </w:pPr>
            <w:r>
              <w:rPr>
                <w:rFonts w:ascii="Arial" w:cs="Arial" w:eastAsia="Arial" w:hAnsi="Arial"/>
                <w:sz w:val="16"/>
                <w:szCs w:val="16"/>
                <w:color w:val="auto"/>
              </w:rPr>
              <w:t>earned premiums</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28.2%</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27.4%</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25.8%</w:t>
            </w: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9"/>
                <w:szCs w:val="9"/>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26.7%</w:t>
            </w: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92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w w:val="94"/>
              </w:rPr>
              <w:t>Underwriting results / net earned premiums</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w w:val="94"/>
              </w:rPr>
              <w:t>Operating expenses / net earned premiums</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16.4%</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18.4%</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200 bps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20 bps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16.9%</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-110 bps</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line="197" w:lineRule="exact"/>
              <w:rPr>
                <w:sz w:val="20"/>
                <w:szCs w:val="20"/>
                <w:color w:val="auto"/>
              </w:rPr>
            </w:pPr>
            <w:r>
              <w:rPr>
                <w:rFonts w:ascii="Arial" w:cs="Arial" w:eastAsia="Arial" w:hAnsi="Arial"/>
                <w:sz w:val="22"/>
                <w:szCs w:val="22"/>
                <w:color w:val="auto"/>
                <w:vertAlign w:val="subscript"/>
              </w:rPr>
              <w:t>ROAE</w:t>
            </w:r>
            <w:r>
              <w:rPr>
                <w:rFonts w:ascii="Arial" w:cs="Arial" w:eastAsia="Arial" w:hAnsi="Arial"/>
                <w:sz w:val="11"/>
                <w:szCs w:val="11"/>
                <w:color w:val="auto"/>
              </w:rPr>
              <w:t xml:space="preserve"> (2)(3)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1070 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-1170 bps</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Return on written premiums</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0.7%</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5.6%</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4.8%</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-80 bps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410 bps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-830 bps</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Combined ratio of Life </w:t>
            </w:r>
            <w:r>
              <w:rPr>
                <w:rFonts w:ascii="Arial" w:cs="Arial" w:eastAsia="Arial" w:hAnsi="Arial"/>
                <w:sz w:val="22"/>
                <w:szCs w:val="22"/>
                <w:color w:val="auto"/>
                <w:vertAlign w:val="superscript"/>
              </w:rPr>
              <w:t>(4)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-3890 bps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-3890 bps</w:t>
            </w:r>
          </w:p>
        </w:tc>
        <w:tc>
          <w:tcPr>
            <w:tcW w:w="0" w:type="dxa"/>
            <w:vAlign w:val="bottom"/>
          </w:tcPr>
          <w:p>
            <w:pPr>
              <w:spacing w:after="0"/>
              <w:rPr>
                <w:sz w:val="1"/>
                <w:szCs w:val="1"/>
                <w:color w:val="auto"/>
              </w:rPr>
            </w:pPr>
          </w:p>
        </w:tc>
      </w:tr>
      <w:tr>
        <w:trPr>
          <w:trHeight w:val="166"/>
        </w:trPr>
        <w:tc>
          <w:tcPr>
            <w:tcW w:w="2920" w:type="dxa"/>
            <w:vAlign w:val="bottom"/>
          </w:tcPr>
          <w:p>
            <w:pPr>
              <w:spacing w:after="0" w:line="166" w:lineRule="exact"/>
              <w:rPr>
                <w:sz w:val="20"/>
                <w:szCs w:val="20"/>
                <w:color w:val="auto"/>
              </w:rPr>
            </w:pPr>
            <w:r>
              <w:rPr>
                <w:rFonts w:ascii="Arial" w:cs="Arial" w:eastAsia="Arial" w:hAnsi="Arial"/>
                <w:sz w:val="12"/>
                <w:szCs w:val="12"/>
                <w:color w:val="auto"/>
              </w:rPr>
              <w:t xml:space="preserve">Combined ratio of P&amp;C </w:t>
            </w:r>
            <w:r>
              <w:rPr>
                <w:rFonts w:ascii="Arial" w:cs="Arial" w:eastAsia="Arial" w:hAnsi="Arial"/>
                <w:sz w:val="19"/>
                <w:szCs w:val="19"/>
                <w:color w:val="auto"/>
                <w:vertAlign w:val="superscript"/>
              </w:rPr>
              <w:t>(5)</w:t>
            </w:r>
          </w:p>
        </w:tc>
        <w:tc>
          <w:tcPr>
            <w:tcW w:w="98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81.4%</w:t>
            </w:r>
          </w:p>
        </w:tc>
        <w:tc>
          <w:tcPr>
            <w:tcW w:w="100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94.1%</w:t>
            </w:r>
          </w:p>
        </w:tc>
        <w:tc>
          <w:tcPr>
            <w:tcW w:w="102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86.5%</w:t>
            </w:r>
          </w:p>
        </w:tc>
        <w:tc>
          <w:tcPr>
            <w:tcW w:w="1000" w:type="dxa"/>
            <w:vAlign w:val="bottom"/>
            <w:gridSpan w:val="2"/>
          </w:tcPr>
          <w:p>
            <w:pPr>
              <w:jc w:val="right"/>
              <w:ind w:right="260"/>
              <w:spacing w:after="0" w:line="166" w:lineRule="exact"/>
              <w:rPr>
                <w:sz w:val="20"/>
                <w:szCs w:val="20"/>
                <w:color w:val="auto"/>
              </w:rPr>
            </w:pPr>
            <w:r>
              <w:rPr>
                <w:rFonts w:ascii="Arial" w:cs="Arial" w:eastAsia="Arial" w:hAnsi="Arial"/>
                <w:sz w:val="16"/>
                <w:szCs w:val="16"/>
                <w:color w:val="auto"/>
              </w:rPr>
              <w:t>-760 bps</w:t>
            </w:r>
          </w:p>
        </w:tc>
        <w:tc>
          <w:tcPr>
            <w:tcW w:w="1020" w:type="dxa"/>
            <w:vAlign w:val="bottom"/>
            <w:gridSpan w:val="2"/>
          </w:tcPr>
          <w:p>
            <w:pPr>
              <w:jc w:val="right"/>
              <w:ind w:right="240"/>
              <w:spacing w:after="0" w:line="166" w:lineRule="exact"/>
              <w:rPr>
                <w:sz w:val="20"/>
                <w:szCs w:val="20"/>
                <w:color w:val="auto"/>
              </w:rPr>
            </w:pPr>
            <w:r>
              <w:rPr>
                <w:rFonts w:ascii="Arial" w:cs="Arial" w:eastAsia="Arial" w:hAnsi="Arial"/>
                <w:sz w:val="16"/>
                <w:szCs w:val="16"/>
                <w:color w:val="auto"/>
              </w:rPr>
              <w:t>510 bps</w:t>
            </w:r>
          </w:p>
        </w:tc>
        <w:tc>
          <w:tcPr>
            <w:tcW w:w="108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81.4%</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line="166" w:lineRule="exact"/>
              <w:rPr>
                <w:sz w:val="20"/>
                <w:szCs w:val="20"/>
                <w:color w:val="auto"/>
              </w:rPr>
            </w:pPr>
            <w:r>
              <w:rPr>
                <w:rFonts w:ascii="Arial" w:cs="Arial" w:eastAsia="Arial" w:hAnsi="Arial"/>
                <w:sz w:val="16"/>
                <w:szCs w:val="16"/>
                <w:color w:val="auto"/>
              </w:rPr>
              <w:t>86.5%</w:t>
            </w:r>
          </w:p>
        </w:tc>
        <w:tc>
          <w:tcPr>
            <w:tcW w:w="114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510 bps</w:t>
            </w:r>
          </w:p>
        </w:tc>
        <w:tc>
          <w:tcPr>
            <w:tcW w:w="0" w:type="dxa"/>
            <w:vAlign w:val="bottom"/>
          </w:tcPr>
          <w:p>
            <w:pPr>
              <w:spacing w:after="0"/>
              <w:rPr>
                <w:sz w:val="1"/>
                <w:szCs w:val="1"/>
                <w:color w:val="auto"/>
              </w:rPr>
            </w:pPr>
          </w:p>
        </w:tc>
      </w:tr>
      <w:tr>
        <w:trPr>
          <w:trHeight w:val="248"/>
        </w:trPr>
        <w:tc>
          <w:tcPr>
            <w:tcW w:w="2920" w:type="dxa"/>
            <w:vAlign w:val="bottom"/>
          </w:tcPr>
          <w:p>
            <w:pPr>
              <w:spacing w:after="0" w:line="184" w:lineRule="exact"/>
              <w:rPr>
                <w:sz w:val="20"/>
                <w:szCs w:val="20"/>
                <w:color w:val="auto"/>
              </w:rPr>
            </w:pPr>
            <w:r>
              <w:rPr>
                <w:rFonts w:ascii="Arial" w:cs="Arial" w:eastAsia="Arial" w:hAnsi="Arial"/>
                <w:sz w:val="16"/>
                <w:szCs w:val="16"/>
                <w:color w:val="auto"/>
              </w:rPr>
              <w:t>Equity requirement ratio</w:t>
            </w:r>
            <w:r>
              <w:rPr>
                <w:rFonts w:ascii="MS PGothic" w:cs="MS PGothic" w:eastAsia="MS PGothic" w:hAnsi="MS PGothic"/>
                <w:sz w:val="16"/>
                <w:szCs w:val="16"/>
                <w:color w:val="auto"/>
              </w:rPr>
              <w:t>⁽⁷⁾</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1.34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1.19</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1.18</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-150 bps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-1600 bps</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1.18</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-1600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5020" cy="1403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5020" cy="140335"/>
                    </a:xfrm>
                    <a:prstGeom prst="rect">
                      <a:avLst/>
                    </a:prstGeom>
                    <a:noFill/>
                  </pic:spPr>
                </pic:pic>
              </a:graphicData>
            </a:graphic>
          </wp:anchor>
        </w:drawing>
      </w:r>
    </w:p>
    <w:p>
      <w:pPr>
        <w:ind w:left="2"/>
        <w:spacing w:after="0" w:line="230" w:lineRule="auto"/>
        <w:rPr>
          <w:sz w:val="20"/>
          <w:szCs w:val="20"/>
          <w:color w:val="auto"/>
        </w:rPr>
      </w:pPr>
      <w:r>
        <w:rPr>
          <w:rFonts w:ascii="Arial" w:cs="Arial" w:eastAsia="Arial" w:hAnsi="Arial"/>
          <w:sz w:val="20"/>
          <w:szCs w:val="20"/>
          <w:color w:val="auto"/>
        </w:rPr>
        <w:t>*Financial statements without consolidation adjustments.</w:t>
      </w:r>
    </w:p>
    <w:p>
      <w:pPr>
        <w:ind w:left="282" w:hanging="282"/>
        <w:spacing w:after="0" w:line="230" w:lineRule="auto"/>
        <w:tabs>
          <w:tab w:leader="none" w:pos="2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Excluding investments in real estate.</w:t>
      </w:r>
    </w:p>
    <w:p>
      <w:pPr>
        <w:ind w:left="282" w:hanging="282"/>
        <w:spacing w:after="0" w:line="230" w:lineRule="auto"/>
        <w:tabs>
          <w:tab w:leader="none" w:pos="2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Net claims / Net earned premiums.</w:t>
      </w:r>
    </w:p>
    <w:p>
      <w:pPr>
        <w:ind w:left="282" w:hanging="282"/>
        <w:spacing w:after="0" w:line="230" w:lineRule="auto"/>
        <w:tabs>
          <w:tab w:leader="none" w:pos="2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Includes unrealized gains.</w:t>
      </w:r>
    </w:p>
    <w:p>
      <w:pPr>
        <w:ind w:left="282" w:hanging="282"/>
        <w:spacing w:after="0" w:line="230" w:lineRule="auto"/>
        <w:tabs>
          <w:tab w:leader="none" w:pos="2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Annualized and average are determined as the average of period beginning and period ending.</w:t>
      </w:r>
    </w:p>
    <w:p>
      <w:pPr>
        <w:ind w:left="2" w:hanging="2"/>
        <w:spacing w:after="0" w:line="242" w:lineRule="auto"/>
        <w:tabs>
          <w:tab w:leader="none" w:pos="293" w:val="left"/>
        </w:tabs>
        <w:numPr>
          <w:ilvl w:val="0"/>
          <w:numId w:val="85"/>
        </w:numPr>
        <w:rPr>
          <w:rFonts w:ascii="Arial" w:cs="Arial" w:eastAsia="Arial" w:hAnsi="Arial"/>
          <w:sz w:val="19"/>
          <w:szCs w:val="19"/>
          <w:color w:val="auto"/>
        </w:rPr>
      </w:pPr>
      <w:r>
        <w:rPr>
          <w:rFonts w:ascii="Arial" w:cs="Arial" w:eastAsia="Arial" w:hAnsi="Arial"/>
          <w:sz w:val="19"/>
          <w:szCs w:val="19"/>
          <w:color w:val="auto"/>
        </w:rPr>
        <w:t>(Net claims / Net earned premiums) + Reserves / Net earned premiums) + [(Acquisition cost + total expenses) / Net earned premiums] - (Net Financial Income without real state sales, securities sales, impairment loss and fluctuation / Net earned premiums).</w:t>
      </w:r>
    </w:p>
    <w:p>
      <w:pPr>
        <w:spacing w:after="0" w:line="1" w:lineRule="exact"/>
        <w:rPr>
          <w:rFonts w:ascii="Arial" w:cs="Arial" w:eastAsia="Arial" w:hAnsi="Arial"/>
          <w:sz w:val="19"/>
          <w:szCs w:val="19"/>
          <w:color w:val="auto"/>
        </w:rPr>
      </w:pPr>
    </w:p>
    <w:p>
      <w:pPr>
        <w:ind w:left="282" w:hanging="282"/>
        <w:spacing w:after="0" w:line="230" w:lineRule="auto"/>
        <w:tabs>
          <w:tab w:leader="none" w:pos="2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(Net claims / Net earned premiums) + [(Acquisition cost + total expenses) / Net earned premiums].</w:t>
      </w:r>
    </w:p>
    <w:p>
      <w:pPr>
        <w:ind w:left="282" w:hanging="282"/>
        <w:spacing w:after="0"/>
        <w:tabs>
          <w:tab w:leader="none" w:pos="2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Support to cover credit risk, market risk and operational risk.</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7"/>
          <w:szCs w:val="17"/>
          <w:color w:val="auto"/>
        </w:rPr>
        <w:t>From 1Q15 and on, Grupo Pacifico’s financial statements reflect the the agreement with Banmédica (in equal parts) of the businesses of:</w:t>
      </w:r>
    </w:p>
    <w:p>
      <w:pPr>
        <w:spacing w:after="0" w:line="253" w:lineRule="exact"/>
        <w:rPr>
          <w:sz w:val="20"/>
          <w:szCs w:val="20"/>
          <w:color w:val="auto"/>
        </w:rPr>
      </w:pPr>
    </w:p>
    <w:p>
      <w:pPr>
        <w:ind w:left="582" w:hanging="287"/>
        <w:spacing w:after="0"/>
        <w:tabs>
          <w:tab w:leader="none" w:pos="5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private health insurance managed by Grupo Pacífico and included in its Financial Statements in each of the accounting lines;</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corporate health insurance (dependent workers); and</w:t>
      </w:r>
    </w:p>
    <w:p>
      <w:pPr>
        <w:spacing w:after="0" w:line="233" w:lineRule="exact"/>
        <w:rPr>
          <w:rFonts w:ascii="Arial" w:cs="Arial" w:eastAsia="Arial" w:hAnsi="Arial"/>
          <w:sz w:val="16"/>
          <w:szCs w:val="16"/>
          <w:color w:val="auto"/>
        </w:rPr>
      </w:pPr>
    </w:p>
    <w:p>
      <w:pPr>
        <w:ind w:left="582" w:hanging="287"/>
        <w:spacing w:after="0"/>
        <w:tabs>
          <w:tab w:leader="none" w:pos="5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medical services.</w:t>
      </w:r>
    </w:p>
    <w:p>
      <w:pPr>
        <w:spacing w:after="0" w:line="227" w:lineRule="exact"/>
        <w:rPr>
          <w:sz w:val="20"/>
          <w:szCs w:val="20"/>
          <w:color w:val="auto"/>
        </w:rPr>
      </w:pPr>
    </w:p>
    <w:p>
      <w:pPr>
        <w:jc w:val="both"/>
        <w:ind w:left="2"/>
        <w:spacing w:after="0"/>
        <w:rPr>
          <w:sz w:val="20"/>
          <w:szCs w:val="20"/>
          <w:color w:val="auto"/>
        </w:rPr>
      </w:pPr>
      <w:r>
        <w:rPr>
          <w:rFonts w:ascii="Arial" w:cs="Arial" w:eastAsia="Arial" w:hAnsi="Arial"/>
          <w:sz w:val="20"/>
          <w:szCs w:val="20"/>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94" w:lineRule="exact"/>
        <w:rPr>
          <w:sz w:val="20"/>
          <w:szCs w:val="20"/>
          <w:color w:val="auto"/>
        </w:rPr>
      </w:pPr>
    </w:p>
    <w:p>
      <w:pPr>
        <w:jc w:val="both"/>
        <w:ind w:left="2"/>
        <w:spacing w:after="0" w:line="250" w:lineRule="auto"/>
        <w:rPr>
          <w:sz w:val="20"/>
          <w:szCs w:val="20"/>
          <w:color w:val="auto"/>
        </w:rPr>
      </w:pPr>
      <w:r>
        <w:rPr>
          <w:rFonts w:ascii="Arial" w:cs="Arial" w:eastAsia="Arial" w:hAnsi="Arial"/>
          <w:sz w:val="20"/>
          <w:szCs w:val="20"/>
          <w:color w:val="auto"/>
        </w:rPr>
        <w:t>As explained before, corporate health insurance and medical services businesses are consolidated by Banmedica. The following table reflects the consolidated results from which Grupo Pacifico receives the 50% net income.</w:t>
      </w:r>
    </w:p>
    <w:p>
      <w:pPr>
        <w:sectPr>
          <w:pgSz w:w="11900" w:h="16838" w:orient="portrait"/>
          <w:cols w:equalWidth="0" w:num="1">
            <w:col w:w="11242"/>
          </w:cols>
          <w:pgMar w:left="318" w:top="765" w:right="339" w:bottom="207" w:gutter="0" w:footer="0" w:header="0"/>
        </w:sectPr>
      </w:pPr>
    </w:p>
    <w:p>
      <w:pPr>
        <w:spacing w:after="0" w:line="200" w:lineRule="exact"/>
        <w:rPr>
          <w:sz w:val="20"/>
          <w:szCs w:val="20"/>
          <w:color w:val="auto"/>
        </w:rPr>
      </w:pPr>
    </w:p>
    <w:p>
      <w:pPr>
        <w:spacing w:after="0" w:line="220" w:lineRule="exact"/>
        <w:rPr>
          <w:sz w:val="20"/>
          <w:szCs w:val="20"/>
          <w:color w:val="auto"/>
        </w:rPr>
      </w:pPr>
    </w:p>
    <w:p>
      <w:pPr>
        <w:ind w:left="10342"/>
        <w:spacing w:after="0"/>
        <w:rPr>
          <w:sz w:val="20"/>
          <w:szCs w:val="20"/>
          <w:color w:val="auto"/>
        </w:rPr>
      </w:pPr>
      <w:r>
        <w:rPr>
          <w:rFonts w:ascii="Arial" w:cs="Arial" w:eastAsia="Arial" w:hAnsi="Arial"/>
          <w:sz w:val="10"/>
          <w:szCs w:val="10"/>
          <w:color w:val="auto"/>
        </w:rPr>
        <w:t>76</w:t>
      </w:r>
    </w:p>
    <w:p>
      <w:pPr>
        <w:sectPr>
          <w:pgSz w:w="11900" w:h="16838" w:orient="portrait"/>
          <w:cols w:equalWidth="0" w:num="1">
            <w:col w:w="11242"/>
          </w:cols>
          <w:pgMar w:left="318" w:top="765" w:right="339" w:bottom="207" w:gutter="0" w:footer="0" w:header="0"/>
          <w:type w:val="continuous"/>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735330</wp:posOffset>
            </wp:positionV>
            <wp:extent cx="7145020"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page">
              <wp:posOffset>6965315</wp:posOffset>
            </wp:positionH>
            <wp:positionV relativeFrom="page">
              <wp:posOffset>88900</wp:posOffset>
            </wp:positionV>
            <wp:extent cx="381635" cy="5842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Corporate health insurance and Medical services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in thousands )</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Quarter</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Arial" w:cs="Arial" w:eastAsia="Arial" w:hAnsi="Arial"/>
                <w:sz w:val="16"/>
                <w:szCs w:val="16"/>
                <w:b w:val="1"/>
                <w:bCs w:val="1"/>
                <w:color w:val="auto"/>
                <w:w w:val="96"/>
              </w:rPr>
              <w:t>% change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ind w:left="840"/>
              <w:spacing w:after="0"/>
              <w:rPr>
                <w:sz w:val="20"/>
                <w:szCs w:val="20"/>
                <w:color w:val="auto"/>
              </w:rPr>
            </w:pPr>
            <w:r>
              <w:rPr>
                <w:rFonts w:ascii="Arial" w:cs="Arial" w:eastAsia="Arial" w:hAnsi="Arial"/>
                <w:sz w:val="16"/>
                <w:szCs w:val="16"/>
                <w:b w:val="1"/>
                <w:bCs w:val="1"/>
                <w:color w:val="auto"/>
              </w:rPr>
              <w:t>Year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2560" w:type="dxa"/>
            <w:vAlign w:val="bottom"/>
            <w:vMerge w:val="restart"/>
          </w:tcPr>
          <w:p>
            <w:pPr>
              <w:spacing w:after="0"/>
              <w:rPr>
                <w:sz w:val="20"/>
                <w:szCs w:val="20"/>
                <w:color w:val="auto"/>
              </w:rPr>
            </w:pPr>
            <w:r>
              <w:rPr>
                <w:rFonts w:ascii="Arial" w:cs="Arial" w:eastAsia="Arial" w:hAnsi="Arial"/>
                <w:sz w:val="16"/>
                <w:szCs w:val="16"/>
                <w:b w:val="1"/>
                <w:bCs w:val="1"/>
                <w:color w:val="auto"/>
              </w:rPr>
              <w:t>Results</w:t>
            </w:r>
          </w:p>
        </w:tc>
        <w:tc>
          <w:tcPr>
            <w:tcW w:w="10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4Q20</w:t>
            </w:r>
          </w:p>
        </w:tc>
        <w:tc>
          <w:tcPr>
            <w:tcW w:w="10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3Q21</w:t>
            </w: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97"/>
              </w:rPr>
              <w:t>QoQ</w:t>
            </w:r>
          </w:p>
        </w:tc>
        <w:tc>
          <w:tcPr>
            <w:tcW w:w="6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6"/>
              </w:rPr>
              <w:t>YoY</w:t>
            </w:r>
          </w:p>
        </w:tc>
        <w:tc>
          <w:tcPr>
            <w:tcW w:w="280" w:type="dxa"/>
            <w:vAlign w:val="bottom"/>
          </w:tcPr>
          <w:p>
            <w:pPr>
              <w:spacing w:after="0"/>
              <w:rPr>
                <w:sz w:val="16"/>
                <w:szCs w:val="16"/>
                <w:color w:val="auto"/>
              </w:rPr>
            </w:pPr>
          </w:p>
        </w:tc>
        <w:tc>
          <w:tcPr>
            <w:tcW w:w="88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 / 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60" w:type="dxa"/>
            <w:vAlign w:val="bottom"/>
            <w:vMerge w:val="continue"/>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Net earned premiums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288,742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301,598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303,539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1,119,511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1,171,433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6"/>
                <w:szCs w:val="16"/>
                <w:color w:val="auto"/>
              </w:rPr>
              <w:t>Net claims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(223,322)</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(259,820)</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(271,100)</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21.4%</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(854,107)</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(1,019,908)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Net fees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(11,583)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(12,836)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(13,613)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(47,341)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(50,990)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Arial" w:cs="Arial" w:eastAsia="Arial" w:hAnsi="Arial"/>
                <w:sz w:val="16"/>
                <w:szCs w:val="16"/>
                <w:color w:val="auto"/>
              </w:rPr>
              <w:t>Net underwriting expenses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(1,997)</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(2,566)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(2,282)</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14.3%</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(10,418)</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(10,137)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Underwriting result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51,839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26,376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16,544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-37.3%</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-68.1%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207,645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90,397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-56.5%</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Net financial income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-23.9%</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5,851</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6,217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Arial" w:cs="Arial" w:eastAsia="Arial" w:hAnsi="Arial"/>
                <w:sz w:val="16"/>
                <w:szCs w:val="16"/>
                <w:color w:val="auto"/>
              </w:rPr>
              <w:t>Total expenses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(28,515)</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(22,725)</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(25,499)</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(86,281)</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(88,112)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2,280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3,940</w:t>
            </w:r>
          </w:p>
        </w:tc>
        <w:tc>
          <w:tcPr>
            <w:tcW w:w="1380" w:type="dxa"/>
            <w:vAlign w:val="bottom"/>
            <w:gridSpan w:val="3"/>
            <w:shd w:val="clear" w:color="auto" w:fill="CCEEFF"/>
          </w:tcPr>
          <w:p>
            <w:pPr>
              <w:jc w:val="center"/>
              <w:ind w:right="540"/>
              <w:spacing w:after="0"/>
              <w:rPr>
                <w:sz w:val="20"/>
                <w:szCs w:val="20"/>
                <w:color w:val="auto"/>
              </w:rPr>
            </w:pPr>
            <w:r>
              <w:rPr>
                <w:rFonts w:ascii="Arial" w:cs="Arial" w:eastAsia="Arial" w:hAnsi="Arial"/>
                <w:sz w:val="16"/>
                <w:szCs w:val="16"/>
                <w:color w:val="auto"/>
                <w:w w:val="89"/>
              </w:rPr>
              <w:t>n.a.</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3,199</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6"/>
                <w:szCs w:val="16"/>
                <w:color w:val="auto"/>
              </w:rPr>
              <w:t>Traslations results</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271</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5,087</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(2,818)</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-155.4%</w:t>
            </w:r>
          </w:p>
        </w:tc>
        <w:tc>
          <w:tcPr>
            <w:tcW w:w="240" w:type="dxa"/>
            <w:vAlign w:val="bottom"/>
          </w:tcPr>
          <w:p>
            <w:pPr>
              <w:spacing w:after="0"/>
              <w:rPr>
                <w:sz w:val="19"/>
                <w:szCs w:val="19"/>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3,352</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6,659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197"/>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(9,023)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(8,175)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(42,202)</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(13,436)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380" w:type="dxa"/>
            <w:vAlign w:val="bottom"/>
            <w:gridSpan w:val="3"/>
          </w:tcPr>
          <w:p>
            <w:pPr>
              <w:spacing w:after="0"/>
              <w:rPr>
                <w:sz w:val="17"/>
                <w:szCs w:val="17"/>
                <w:color w:val="auto"/>
              </w:rPr>
            </w:pPr>
          </w:p>
        </w:tc>
        <w:tc>
          <w:tcPr>
            <w:tcW w:w="88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3"/>
              </w:rPr>
              <w:t>Net income before Medical services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18,523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2,329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(6,601)</w:t>
            </w:r>
          </w:p>
        </w:tc>
        <w:tc>
          <w:tcPr>
            <w:tcW w:w="1380" w:type="dxa"/>
            <w:vAlign w:val="bottom"/>
            <w:gridSpan w:val="3"/>
            <w:shd w:val="clear" w:color="auto" w:fill="CCEEFF"/>
          </w:tcPr>
          <w:p>
            <w:pPr>
              <w:jc w:val="center"/>
              <w:ind w:right="520"/>
              <w:spacing w:after="0"/>
              <w:rPr>
                <w:sz w:val="20"/>
                <w:szCs w:val="20"/>
                <w:color w:val="auto"/>
              </w:rPr>
            </w:pPr>
            <w:r>
              <w:rPr>
                <w:rFonts w:ascii="Arial" w:cs="Arial" w:eastAsia="Arial" w:hAnsi="Arial"/>
                <w:sz w:val="16"/>
                <w:szCs w:val="16"/>
                <w:b w:val="1"/>
                <w:bCs w:val="1"/>
                <w:color w:val="auto"/>
                <w:w w:val="94"/>
              </w:rPr>
              <w:t>n.a.</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-135.6%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91,564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5,227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-94.3%</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of Medical services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14,647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23,575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24,088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64.5%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28,180</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102,352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263.2%</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33,170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25,904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17,487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-32.5%</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-47.3%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119,744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107,579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0" w:type="dxa"/>
            <w:vAlign w:val="bottom"/>
          </w:tcPr>
          <w:p>
            <w:pPr>
              <w:spacing w:after="0"/>
              <w:rPr>
                <w:sz w:val="1"/>
                <w:szCs w:val="1"/>
                <w:color w:val="auto"/>
              </w:rPr>
            </w:pPr>
          </w:p>
        </w:tc>
      </w:tr>
      <w:tr>
        <w:trPr>
          <w:trHeight w:val="602"/>
        </w:trPr>
        <w:tc>
          <w:tcPr>
            <w:tcW w:w="2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39"/>
              <w:spacing w:after="0"/>
              <w:rPr>
                <w:sz w:val="20"/>
                <w:szCs w:val="20"/>
                <w:color w:val="auto"/>
              </w:rPr>
            </w:pPr>
            <w:r>
              <w:rPr>
                <w:rFonts w:ascii="Arial" w:cs="Arial" w:eastAsia="Arial" w:hAnsi="Arial"/>
                <w:sz w:val="13"/>
                <w:szCs w:val="13"/>
                <w:color w:val="auto"/>
              </w:rPr>
              <w:t>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9"/>
        </w:trPr>
        <w:tc>
          <w:tcPr>
            <w:tcW w:w="2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6762115</wp:posOffset>
            </wp:positionH>
            <wp:positionV relativeFrom="paragraph">
              <wp:posOffset>-661670</wp:posOffset>
            </wp:positionV>
            <wp:extent cx="381635" cy="5842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12.10. Prima AFP</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 change</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0"/>
        </w:trPr>
        <w:tc>
          <w:tcPr>
            <w:tcW w:w="2320" w:type="dxa"/>
            <w:vAlign w:val="bottom"/>
          </w:tcPr>
          <w:p>
            <w:pPr>
              <w:spacing w:after="0"/>
              <w:rPr>
                <w:sz w:val="16"/>
                <w:szCs w:val="16"/>
                <w:color w:val="auto"/>
              </w:rPr>
            </w:pPr>
          </w:p>
        </w:tc>
        <w:tc>
          <w:tcPr>
            <w:tcW w:w="11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4Q20</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3Q21</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6"/>
                <w:szCs w:val="16"/>
                <w:color w:val="auto"/>
              </w:rPr>
            </w:pP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QoQ</w:t>
            </w:r>
          </w:p>
        </w:tc>
        <w:tc>
          <w:tcPr>
            <w:tcW w:w="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YoY</w:t>
            </w:r>
          </w:p>
        </w:tc>
        <w:tc>
          <w:tcPr>
            <w:tcW w:w="180" w:type="dxa"/>
            <w:vAlign w:val="bottom"/>
          </w:tcPr>
          <w:p>
            <w:pPr>
              <w:spacing w:after="0"/>
              <w:rPr>
                <w:sz w:val="16"/>
                <w:szCs w:val="16"/>
                <w:color w:val="auto"/>
              </w:rPr>
            </w:pPr>
          </w:p>
        </w:tc>
      </w:tr>
      <w:tr>
        <w:trPr>
          <w:trHeight w:val="189"/>
        </w:trPr>
        <w:tc>
          <w:tcPr>
            <w:tcW w:w="2320" w:type="dxa"/>
            <w:vAlign w:val="bottom"/>
          </w:tcPr>
          <w:p>
            <w:pPr>
              <w:spacing w:after="0"/>
              <w:rPr>
                <w:sz w:val="20"/>
                <w:szCs w:val="20"/>
                <w:color w:val="auto"/>
              </w:rPr>
            </w:pPr>
            <w:r>
              <w:rPr>
                <w:rFonts w:ascii="Arial" w:cs="Arial" w:eastAsia="Arial" w:hAnsi="Arial"/>
                <w:sz w:val="16"/>
                <w:szCs w:val="16"/>
                <w:color w:val="auto"/>
              </w:rPr>
              <w:t>Total assets</w:t>
            </w:r>
          </w:p>
        </w:tc>
        <w:tc>
          <w:tcPr>
            <w:tcW w:w="1100" w:type="dxa"/>
            <w:vAlign w:val="bottom"/>
          </w:tcPr>
          <w:p>
            <w:pPr>
              <w:jc w:val="right"/>
              <w:spacing w:after="0"/>
              <w:rPr>
                <w:sz w:val="20"/>
                <w:szCs w:val="20"/>
                <w:color w:val="auto"/>
              </w:rPr>
            </w:pPr>
            <w:r>
              <w:rPr>
                <w:rFonts w:ascii="Arial" w:cs="Arial" w:eastAsia="Arial" w:hAnsi="Arial"/>
                <w:sz w:val="16"/>
                <w:szCs w:val="16"/>
                <w:color w:val="auto"/>
              </w:rPr>
              <w:t>1,107,706</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796,553</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839,772</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gridSpan w:val="2"/>
          </w:tcPr>
          <w:p>
            <w:pPr>
              <w:ind w:left="100"/>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-24.2%</w:t>
            </w:r>
          </w:p>
        </w:tc>
      </w:tr>
      <w:tr>
        <w:trPr>
          <w:trHeight w:val="19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407,536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257,554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265,185</w:t>
            </w: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-34.9%</w:t>
            </w:r>
          </w:p>
        </w:tc>
      </w:t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Net shareholders' equity</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700,170</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538,999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574,587</w:t>
            </w:r>
          </w:p>
        </w:tc>
        <w:tc>
          <w:tcPr>
            <w:tcW w:w="820" w:type="dxa"/>
            <w:vAlign w:val="bottom"/>
          </w:tcPr>
          <w:p>
            <w:pPr>
              <w:spacing w:after="0"/>
              <w:rPr>
                <w:sz w:val="19"/>
                <w:szCs w:val="19"/>
                <w:color w:val="auto"/>
              </w:rPr>
            </w:pPr>
          </w:p>
        </w:tc>
        <w:tc>
          <w:tcPr>
            <w:tcW w:w="600" w:type="dxa"/>
            <w:vAlign w:val="bottom"/>
            <w:gridSpan w:val="2"/>
          </w:tcPr>
          <w:p>
            <w:pPr>
              <w:ind w:left="100"/>
              <w:spacing w:after="0"/>
              <w:rPr>
                <w:sz w:val="20"/>
                <w:szCs w:val="20"/>
                <w:color w:val="auto"/>
              </w:rPr>
            </w:pPr>
            <w:r>
              <w:rPr>
                <w:rFonts w:ascii="Arial" w:cs="Arial" w:eastAsia="Arial" w:hAnsi="Arial"/>
                <w:sz w:val="16"/>
                <w:szCs w:val="16"/>
                <w:color w:val="auto"/>
              </w:rPr>
              <w:t>6.6%</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-17.9%</w:t>
            </w:r>
          </w:p>
        </w:tc>
      </w:tr>
    </w:tbl>
    <w:p>
      <w:pPr>
        <w:spacing w:after="0" w:line="203" w:lineRule="exact"/>
        <w:rPr>
          <w:sz w:val="20"/>
          <w:szCs w:val="20"/>
          <w:color w:val="auto"/>
        </w:rPr>
      </w:pPr>
    </w:p>
    <w:p>
      <w:pPr>
        <w:ind w:left="20" w:hanging="2"/>
        <w:spacing w:after="0" w:line="250" w:lineRule="auto"/>
        <w:tabs>
          <w:tab w:leader="none" w:pos="304"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net profitability of lace and mutual funds is being presented net of taxes, for which the retroactive change was made (it was presented gross before)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Prima AFP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 thousands, IFRS)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Quarter</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 change</w:t>
            </w:r>
          </w:p>
        </w:tc>
        <w:tc>
          <w:tcPr>
            <w:tcW w:w="1100" w:type="dxa"/>
            <w:vAlign w:val="bottom"/>
            <w:gridSpan w:val="3"/>
          </w:tcPr>
          <w:p>
            <w:pPr>
              <w:ind w:left="700"/>
              <w:spacing w:after="0"/>
              <w:rPr>
                <w:sz w:val="20"/>
                <w:szCs w:val="20"/>
                <w:color w:val="auto"/>
              </w:rPr>
            </w:pPr>
            <w:r>
              <w:rPr>
                <w:rFonts w:ascii="Arial" w:cs="Arial" w:eastAsia="Arial" w:hAnsi="Arial"/>
                <w:sz w:val="16"/>
                <w:szCs w:val="16"/>
                <w:b w:val="1"/>
                <w:bCs w:val="1"/>
                <w:color w:val="auto"/>
              </w:rPr>
              <w:t>Year</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9"/>
              </w:rPr>
              <w:t>% change</w:t>
            </w:r>
          </w:p>
        </w:tc>
      </w:tr>
      <w:tr>
        <w:trPr>
          <w:trHeight w:val="190"/>
        </w:trPr>
        <w:tc>
          <w:tcPr>
            <w:tcW w:w="35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4Q20</w:t>
            </w: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3Q21</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4Q21</w:t>
            </w:r>
          </w:p>
        </w:tc>
        <w:tc>
          <w:tcPr>
            <w:tcW w:w="2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QoQ</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YoY</w:t>
            </w:r>
          </w:p>
        </w:tc>
        <w:tc>
          <w:tcPr>
            <w:tcW w:w="2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2021 / 2020</w:t>
            </w:r>
          </w:p>
        </w:tc>
        <w:tc>
          <w:tcPr>
            <w:tcW w:w="160" w:type="dxa"/>
            <w:vAlign w:val="bottom"/>
          </w:tcPr>
          <w:p>
            <w:pPr>
              <w:spacing w:after="0"/>
              <w:rPr>
                <w:sz w:val="16"/>
                <w:szCs w:val="16"/>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Income from commissions</w:t>
            </w:r>
          </w:p>
        </w:tc>
        <w:tc>
          <w:tcPr>
            <w:tcW w:w="700" w:type="dxa"/>
            <w:vAlign w:val="bottom"/>
          </w:tcPr>
          <w:p>
            <w:pPr>
              <w:jc w:val="right"/>
              <w:spacing w:after="0"/>
              <w:rPr>
                <w:sz w:val="20"/>
                <w:szCs w:val="20"/>
                <w:color w:val="auto"/>
              </w:rPr>
            </w:pPr>
            <w:r>
              <w:rPr>
                <w:rFonts w:ascii="Arial" w:cs="Arial" w:eastAsia="Arial" w:hAnsi="Arial"/>
                <w:sz w:val="16"/>
                <w:szCs w:val="16"/>
                <w:color w:val="auto"/>
              </w:rPr>
              <w:t>87,314</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94,620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89,170</w:t>
            </w:r>
          </w:p>
        </w:tc>
        <w:tc>
          <w:tcPr>
            <w:tcW w:w="2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760" w:type="dxa"/>
            <w:vAlign w:val="bottom"/>
          </w:tcPr>
          <w:p>
            <w:pPr>
              <w:jc w:val="right"/>
              <w:spacing w:after="0"/>
              <w:rPr>
                <w:sz w:val="20"/>
                <w:szCs w:val="20"/>
                <w:color w:val="auto"/>
              </w:rPr>
            </w:pPr>
            <w:r>
              <w:rPr>
                <w:rFonts w:ascii="Arial" w:cs="Arial" w:eastAsia="Arial" w:hAnsi="Arial"/>
                <w:sz w:val="16"/>
                <w:szCs w:val="16"/>
                <w:color w:val="auto"/>
              </w:rPr>
              <w:t>352,085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378,722</w:t>
            </w:r>
          </w:p>
        </w:tc>
        <w:tc>
          <w:tcPr>
            <w:tcW w:w="2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Administrative and sale expenses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(33,670)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(42,006)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(46,757)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(136,563)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(166,053)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r>
      <w:tr>
        <w:trPr>
          <w:trHeight w:val="196"/>
        </w:trPr>
        <w:tc>
          <w:tcPr>
            <w:tcW w:w="35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(5,795)</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(5,845)</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(6,144)</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(24,003)</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(23,454)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47,849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46,769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36,269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-22.5%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191,519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189,215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196"/>
        </w:trPr>
        <w:tc>
          <w:tcPr>
            <w:tcW w:w="3540" w:type="dxa"/>
            <w:vAlign w:val="bottom"/>
          </w:tcPr>
          <w:p>
            <w:pPr>
              <w:spacing w:after="0"/>
              <w:rPr>
                <w:sz w:val="20"/>
                <w:szCs w:val="20"/>
                <w:color w:val="auto"/>
              </w:rPr>
            </w:pPr>
            <w:r>
              <w:rPr>
                <w:rFonts w:ascii="Arial" w:cs="Arial" w:eastAsia="Arial" w:hAnsi="Arial"/>
                <w:sz w:val="16"/>
                <w:szCs w:val="16"/>
                <w:color w:val="auto"/>
                <w:w w:val="94"/>
              </w:rPr>
              <w:t>Other income and expenses, net (profitability of lace)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36,425</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(2,371)</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10,406</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-538.8%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-71.4%</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20,367</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13,058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-35.9%</w:t>
            </w: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tax</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(21,190)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(13,592)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(63,022)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(56,353)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r>
      <w:tr>
        <w:trPr>
          <w:trHeight w:val="196"/>
        </w:trPr>
        <w:tc>
          <w:tcPr>
            <w:tcW w:w="3540" w:type="dxa"/>
            <w:vAlign w:val="bottom"/>
          </w:tcPr>
          <w:p>
            <w:pPr>
              <w:spacing w:after="0"/>
              <w:rPr>
                <w:sz w:val="20"/>
                <w:szCs w:val="20"/>
                <w:color w:val="auto"/>
              </w:rPr>
            </w:pPr>
            <w:r>
              <w:rPr>
                <w:rFonts w:ascii="Arial" w:cs="Arial" w:eastAsia="Arial" w:hAnsi="Arial"/>
                <w:sz w:val="16"/>
                <w:szCs w:val="16"/>
                <w:b w:val="1"/>
                <w:bCs w:val="1"/>
                <w:color w:val="auto"/>
              </w:rPr>
              <w:t>Net income before translation results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63,084</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30,806</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36,275</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17.8%</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-42.5%</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148,863</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145,921</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w:t>
            </w:r>
          </w:p>
        </w:tc>
      </w:tr>
      <w:tr>
        <w:trPr>
          <w:trHeight w:val="19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Translations results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-118.8%</w:t>
            </w:r>
          </w:p>
        </w:tc>
      </w:tr>
      <w:tr>
        <w:trPr>
          <w:trHeight w:val="220"/>
        </w:trPr>
        <w:tc>
          <w:tcPr>
            <w:tcW w:w="3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62,950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31,697</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35,463</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11.9%</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-43.7%</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148,141</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146,057</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-1.4%</w:t>
            </w:r>
          </w:p>
        </w:tc>
      </w:tr>
      <w:tr>
        <w:trPr>
          <w:trHeight w:val="221"/>
        </w:trPr>
        <w:tc>
          <w:tcPr>
            <w:tcW w:w="3540" w:type="dxa"/>
            <w:vAlign w:val="bottom"/>
            <w:shd w:val="clear" w:color="auto" w:fill="CCEEFF"/>
          </w:tcPr>
          <w:p>
            <w:pPr>
              <w:spacing w:after="0" w:line="221" w:lineRule="exact"/>
              <w:rPr>
                <w:sz w:val="20"/>
                <w:szCs w:val="20"/>
                <w:color w:val="auto"/>
              </w:rPr>
            </w:pPr>
            <w:r>
              <w:rPr>
                <w:rFonts w:ascii="Arial" w:cs="Arial" w:eastAsia="Arial" w:hAnsi="Arial"/>
                <w:sz w:val="15"/>
                <w:szCs w:val="15"/>
                <w:b w:val="1"/>
                <w:bCs w:val="1"/>
                <w:color w:val="auto"/>
              </w:rPr>
              <w:t xml:space="preserve">ROAE </w:t>
            </w:r>
            <w:r>
              <w:rPr>
                <w:rFonts w:ascii="Arial" w:cs="Arial" w:eastAsia="Arial" w:hAnsi="Arial"/>
                <w:sz w:val="25"/>
                <w:szCs w:val="25"/>
                <w:b w:val="1"/>
                <w:bCs w:val="1"/>
                <w:color w:val="auto"/>
                <w:vertAlign w:val="superscript"/>
              </w:rPr>
              <w:t>(1)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21.4%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25.5%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405 pbs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97"/>
              </w:rPr>
              <w:t>-1220 pbs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21.2%</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173 pbs</w:t>
            </w:r>
          </w:p>
        </w:tc>
      </w:tr>
    </w:tbl>
    <w:p>
      <w:pPr>
        <w:spacing w:after="0" w:line="208" w:lineRule="exact"/>
        <w:rPr>
          <w:sz w:val="20"/>
          <w:szCs w:val="20"/>
          <w:color w:val="auto"/>
        </w:rPr>
      </w:pPr>
    </w:p>
    <w:p>
      <w:pPr>
        <w:ind w:left="600" w:hanging="435"/>
        <w:spacing w:after="0"/>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Net shareholders' equity includes unrealized gains from Prima's investment portfolio.</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240" w:type="dxa"/>
            <w:vAlign w:val="bottom"/>
          </w:tcPr>
          <w:p>
            <w:pPr>
              <w:spacing w:after="0"/>
              <w:rPr>
                <w:sz w:val="20"/>
                <w:szCs w:val="20"/>
                <w:color w:val="auto"/>
              </w:rPr>
            </w:pPr>
            <w:r>
              <w:rPr>
                <w:rFonts w:ascii="Arial" w:cs="Arial" w:eastAsia="Arial" w:hAnsi="Arial"/>
                <w:sz w:val="16"/>
                <w:szCs w:val="16"/>
                <w:b w:val="1"/>
                <w:bCs w:val="1"/>
                <w:color w:val="auto"/>
              </w:rPr>
              <w:t>Funds under management</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2"/>
        </w:trPr>
        <w:tc>
          <w:tcPr>
            <w:tcW w:w="2240" w:type="dxa"/>
            <w:vAlign w:val="bottom"/>
          </w:tcPr>
          <w:p>
            <w:pPr>
              <w:spacing w:after="0"/>
              <w:rPr>
                <w:sz w:val="20"/>
                <w:szCs w:val="20"/>
                <w:color w:val="auto"/>
              </w:rPr>
            </w:pPr>
            <w:r>
              <w:rPr>
                <w:rFonts w:ascii="Arial" w:cs="Arial" w:eastAsia="Arial" w:hAnsi="Arial"/>
                <w:sz w:val="16"/>
                <w:szCs w:val="16"/>
                <w:b w:val="1"/>
                <w:bCs w:val="1"/>
                <w:color w:val="auto"/>
              </w:rPr>
              <w:t>Funds under management</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Sep 21</w:t>
            </w:r>
          </w:p>
        </w:tc>
        <w:tc>
          <w:tcPr>
            <w:tcW w:w="180" w:type="dxa"/>
            <w:vAlign w:val="bottom"/>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 share</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Dec 21</w:t>
            </w:r>
          </w:p>
        </w:tc>
        <w:tc>
          <w:tcPr>
            <w:tcW w:w="180" w:type="dxa"/>
            <w:vAlign w:val="bottom"/>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 share</w:t>
            </w:r>
          </w:p>
        </w:tc>
        <w:tc>
          <w:tcPr>
            <w:tcW w:w="180" w:type="dxa"/>
            <w:vAlign w:val="bottom"/>
          </w:tcPr>
          <w:p>
            <w:pPr>
              <w:spacing w:after="0"/>
              <w:rPr>
                <w:sz w:val="18"/>
                <w:szCs w:val="18"/>
                <w:color w:val="auto"/>
              </w:rPr>
            </w:pPr>
          </w:p>
        </w:tc>
      </w:tr>
      <w:tr>
        <w:trPr>
          <w:trHeight w:val="190"/>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Fund 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r>
      <w:tr>
        <w:trPr>
          <w:trHeight w:val="196"/>
        </w:trPr>
        <w:tc>
          <w:tcPr>
            <w:tcW w:w="2240" w:type="dxa"/>
            <w:vAlign w:val="bottom"/>
          </w:tcPr>
          <w:p>
            <w:pPr>
              <w:spacing w:after="0"/>
              <w:rPr>
                <w:sz w:val="20"/>
                <w:szCs w:val="20"/>
                <w:color w:val="auto"/>
              </w:rPr>
            </w:pPr>
            <w:r>
              <w:rPr>
                <w:rFonts w:ascii="Arial" w:cs="Arial" w:eastAsia="Arial" w:hAnsi="Arial"/>
                <w:sz w:val="16"/>
                <w:szCs w:val="16"/>
                <w:color w:val="auto"/>
              </w:rPr>
              <w:t>Fund 1</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6,394</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16.5%</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6,286</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15.7%</w:t>
            </w:r>
          </w:p>
        </w:tc>
      </w:tr>
      <w:tr>
        <w:trPr>
          <w:trHeight w:val="196"/>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Fund 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26,698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27,836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69.4%</w:t>
            </w:r>
          </w:p>
        </w:tc>
      </w:tr>
      <w:tr>
        <w:trPr>
          <w:trHeight w:val="196"/>
        </w:trPr>
        <w:tc>
          <w:tcPr>
            <w:tcW w:w="2240" w:type="dxa"/>
            <w:vAlign w:val="bottom"/>
          </w:tcPr>
          <w:p>
            <w:pPr>
              <w:spacing w:after="0"/>
              <w:rPr>
                <w:sz w:val="20"/>
                <w:szCs w:val="20"/>
                <w:color w:val="auto"/>
              </w:rPr>
            </w:pPr>
            <w:r>
              <w:rPr>
                <w:rFonts w:ascii="Arial" w:cs="Arial" w:eastAsia="Arial" w:hAnsi="Arial"/>
                <w:sz w:val="16"/>
                <w:szCs w:val="16"/>
                <w:color w:val="auto"/>
              </w:rPr>
              <w:t>Fund 3</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4,421</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11.4%</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4,725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11.8%</w:t>
            </w:r>
          </w:p>
        </w:tc>
      </w:tr>
      <w:tr>
        <w:trPr>
          <w:trHeight w:val="221"/>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Total S/ Millions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38,719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40,125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Source: SBS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Nominal profitability over the last 12 months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Sep 21 / Sep 20</w:t>
            </w:r>
          </w:p>
        </w:tc>
        <w:tc>
          <w:tcPr>
            <w:tcW w:w="260" w:type="dxa"/>
            <w:vAlign w:val="bottom"/>
          </w:tcPr>
          <w:p>
            <w:pPr>
              <w:spacing w:after="0"/>
              <w:rPr>
                <w:sz w:val="18"/>
                <w:szCs w:val="18"/>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 21 / Dec 20</w:t>
            </w:r>
          </w:p>
        </w:tc>
        <w:tc>
          <w:tcPr>
            <w:tcW w:w="3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Borders>
              <w:right w:val="single" w:sz="8" w:color="CCEEFF"/>
            </w:tcBorders>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Fund 0</w:t>
            </w:r>
          </w:p>
        </w:tc>
        <w:tc>
          <w:tcPr>
            <w:tcW w:w="6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0.7%</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Fund 1</w:t>
            </w:r>
          </w:p>
        </w:tc>
        <w:tc>
          <w:tcPr>
            <w:tcW w:w="2620" w:type="dxa"/>
            <w:vAlign w:val="bottom"/>
            <w:gridSpan w:val="4"/>
          </w:tcPr>
          <w:p>
            <w:pPr>
              <w:jc w:val="right"/>
              <w:ind w:right="140"/>
              <w:spacing w:after="0"/>
              <w:rPr>
                <w:sz w:val="20"/>
                <w:szCs w:val="20"/>
                <w:color w:val="auto"/>
              </w:rPr>
            </w:pPr>
            <w:r>
              <w:rPr>
                <w:rFonts w:ascii="Arial" w:cs="Arial" w:eastAsia="Arial" w:hAnsi="Arial"/>
                <w:sz w:val="16"/>
                <w:szCs w:val="16"/>
                <w:color w:val="auto"/>
              </w:rPr>
              <w:t>4.2%</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Fund 2</w:t>
            </w:r>
          </w:p>
        </w:tc>
        <w:tc>
          <w:tcPr>
            <w:tcW w:w="26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11.7%</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6"/>
                <w:szCs w:val="16"/>
                <w:color w:val="auto"/>
              </w:rPr>
              <w:t>Fund 3</w:t>
            </w:r>
          </w:p>
        </w:tc>
        <w:tc>
          <w:tcPr>
            <w:tcW w:w="2620" w:type="dxa"/>
            <w:vAlign w:val="bottom"/>
            <w:gridSpan w:val="4"/>
          </w:tcPr>
          <w:p>
            <w:pPr>
              <w:jc w:val="right"/>
              <w:ind w:right="140"/>
              <w:spacing w:after="0"/>
              <w:rPr>
                <w:sz w:val="20"/>
                <w:szCs w:val="20"/>
                <w:color w:val="auto"/>
              </w:rPr>
            </w:pPr>
            <w:r>
              <w:rPr>
                <w:rFonts w:ascii="Arial" w:cs="Arial" w:eastAsia="Arial" w:hAnsi="Arial"/>
                <w:sz w:val="16"/>
                <w:szCs w:val="16"/>
                <w:color w:val="auto"/>
              </w:rPr>
              <w:t>23.1%</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18.9%</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AFP fees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Fee based on flow</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6820" w:type="dxa"/>
            <w:vAlign w:val="bottom"/>
            <w:tcBorders>
              <w:bottom w:val="single" w:sz="8" w:color="auto"/>
              <w:right w:val="single" w:sz="8" w:color="auto"/>
            </w:tcBorders>
            <w:gridSpan w:val="6"/>
            <w:shd w:val="clear" w:color="auto" w:fill="CCEEFF"/>
          </w:tcPr>
          <w:p>
            <w:pPr>
              <w:spacing w:after="0"/>
              <w:rPr>
                <w:sz w:val="20"/>
                <w:szCs w:val="20"/>
                <w:color w:val="auto"/>
              </w:rPr>
            </w:pPr>
            <w:r>
              <w:rPr>
                <w:rFonts w:ascii="Arial" w:cs="Arial" w:eastAsia="Arial" w:hAnsi="Arial"/>
                <w:sz w:val="16"/>
                <w:szCs w:val="16"/>
                <w:color w:val="auto"/>
              </w:rPr>
              <w:t>Applied to the affiliates' monthly remuneration.</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Mixed fee</w:t>
            </w:r>
          </w:p>
        </w:tc>
        <w:tc>
          <w:tcPr>
            <w:tcW w:w="6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rPr>
              <w:t>Flow</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6820" w:type="dxa"/>
            <w:vAlign w:val="bottom"/>
            <w:tcBorders>
              <w:right w:val="single" w:sz="8" w:color="auto"/>
            </w:tcBorders>
            <w:gridSpan w:val="6"/>
          </w:tcPr>
          <w:p>
            <w:pPr>
              <w:spacing w:after="0"/>
              <w:rPr>
                <w:sz w:val="20"/>
                <w:szCs w:val="20"/>
                <w:color w:val="auto"/>
              </w:rPr>
            </w:pPr>
            <w:r>
              <w:rPr>
                <w:rFonts w:ascii="Arial" w:cs="Arial" w:eastAsia="Arial" w:hAnsi="Arial"/>
                <w:sz w:val="16"/>
                <w:szCs w:val="16"/>
                <w:color w:val="auto"/>
              </w:rPr>
              <w:t>Applied to the affiliates' monthly remuneration since June 2017. Feb 17- may 17 =0.87%.</w:t>
            </w:r>
          </w:p>
        </w:tc>
        <w:tc>
          <w:tcPr>
            <w:tcW w:w="0" w:type="dxa"/>
            <w:vAlign w:val="bottom"/>
          </w:tcPr>
          <w:p>
            <w:pPr>
              <w:spacing w:after="0"/>
              <w:rPr>
                <w:sz w:val="1"/>
                <w:szCs w:val="1"/>
                <w:color w:val="auto"/>
              </w:rPr>
            </w:pPr>
          </w:p>
        </w:tc>
      </w:tr>
      <w:tr>
        <w:trPr>
          <w:trHeight w:val="184"/>
        </w:trPr>
        <w:tc>
          <w:tcPr>
            <w:tcW w:w="40" w:type="dxa"/>
            <w:vAlign w:val="bottom"/>
            <w:tcBorders>
              <w:right w:val="single" w:sz="8" w:color="auto"/>
            </w:tcBorders>
            <w:shd w:val="clear" w:color="auto" w:fill="000000"/>
          </w:tcPr>
          <w:p>
            <w:pPr>
              <w:spacing w:after="0"/>
              <w:rPr>
                <w:sz w:val="15"/>
                <w:szCs w:val="15"/>
                <w:color w:val="auto"/>
              </w:rPr>
            </w:pPr>
          </w:p>
        </w:tc>
        <w:tc>
          <w:tcPr>
            <w:tcW w:w="1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w:t>
            </w: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820" w:type="dxa"/>
            <w:vAlign w:val="bottom"/>
            <w:tcBorders>
              <w:right w:val="single" w:sz="8" w:color="auto"/>
            </w:tcBorders>
            <w:gridSpan w:val="6"/>
            <w:shd w:val="clear" w:color="auto" w:fill="CCEEFF"/>
          </w:tcPr>
          <w:p>
            <w:pPr>
              <w:spacing w:after="0"/>
              <w:rPr>
                <w:sz w:val="20"/>
                <w:szCs w:val="20"/>
                <w:color w:val="auto"/>
              </w:rPr>
            </w:pPr>
            <w:r>
              <w:rPr>
                <w:rFonts w:ascii="Arial" w:cs="Arial" w:eastAsia="Arial" w:hAnsi="Arial"/>
                <w:sz w:val="16"/>
                <w:szCs w:val="16"/>
                <w:color w:val="auto"/>
                <w:w w:val="93"/>
              </w:rPr>
              <w:t>Applies annualy to the new balance since February 2013 for new affiliates to the system and beginning</w:t>
            </w:r>
          </w:p>
        </w:tc>
        <w:tc>
          <w:tcPr>
            <w:tcW w:w="0" w:type="dxa"/>
            <w:vAlign w:val="bottom"/>
          </w:tcPr>
          <w:p>
            <w:pPr>
              <w:spacing w:after="0"/>
              <w:rPr>
                <w:sz w:val="1"/>
                <w:szCs w:val="1"/>
                <w:color w:val="auto"/>
              </w:rPr>
            </w:pP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6820" w:type="dxa"/>
            <w:vAlign w:val="bottom"/>
            <w:tcBorders>
              <w:bottom w:val="single" w:sz="8" w:color="auto"/>
              <w:right w:val="single" w:sz="8" w:color="auto"/>
            </w:tcBorders>
            <w:gridSpan w:val="6"/>
            <w:shd w:val="clear" w:color="auto" w:fill="CCEEFF"/>
          </w:tcPr>
          <w:p>
            <w:pPr>
              <w:spacing w:after="0"/>
              <w:rPr>
                <w:sz w:val="20"/>
                <w:szCs w:val="20"/>
                <w:color w:val="auto"/>
              </w:rPr>
            </w:pPr>
            <w:r>
              <w:rPr>
                <w:rFonts w:ascii="Arial" w:cs="Arial" w:eastAsia="Arial" w:hAnsi="Arial"/>
                <w:sz w:val="16"/>
                <w:szCs w:val="16"/>
                <w:color w:val="auto"/>
              </w:rPr>
              <w:t>on June 2013 for old affiliates who have chosen this commission scheme.</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Main Indicators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760" w:type="dxa"/>
            <w:vAlign w:val="bottom"/>
            <w:vMerge w:val="restart"/>
          </w:tcPr>
          <w:p>
            <w:pPr>
              <w:spacing w:after="0"/>
              <w:rPr>
                <w:sz w:val="20"/>
                <w:szCs w:val="20"/>
                <w:color w:val="auto"/>
              </w:rPr>
            </w:pPr>
            <w:r>
              <w:rPr>
                <w:rFonts w:ascii="Arial" w:cs="Arial" w:eastAsia="Arial" w:hAnsi="Arial"/>
                <w:sz w:val="16"/>
                <w:szCs w:val="16"/>
                <w:b w:val="1"/>
                <w:bCs w:val="1"/>
                <w:color w:val="auto"/>
              </w:rPr>
              <w:t>Main indicators and market share</w:t>
            </w: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Prima</w:t>
            </w: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System</w:t>
            </w: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 share</w:t>
            </w: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Prima</w:t>
            </w: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System</w:t>
            </w: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 share</w:t>
            </w:r>
          </w:p>
        </w:tc>
        <w:tc>
          <w:tcPr>
            <w:tcW w:w="0" w:type="dxa"/>
            <w:vAlign w:val="bottom"/>
          </w:tcPr>
          <w:p>
            <w:pPr>
              <w:spacing w:after="0"/>
              <w:rPr>
                <w:sz w:val="1"/>
                <w:szCs w:val="1"/>
                <w:color w:val="auto"/>
              </w:rPr>
            </w:pPr>
          </w:p>
        </w:tc>
      </w:tr>
      <w:tr>
        <w:trPr>
          <w:trHeight w:val="114"/>
        </w:trPr>
        <w:tc>
          <w:tcPr>
            <w:tcW w:w="2760" w:type="dxa"/>
            <w:vAlign w:val="bottom"/>
            <w:vMerge w:val="continue"/>
          </w:tcPr>
          <w:p>
            <w:pPr>
              <w:spacing w:after="0"/>
              <w:rPr>
                <w:sz w:val="9"/>
                <w:szCs w:val="9"/>
                <w:color w:val="auto"/>
              </w:rPr>
            </w:pPr>
          </w:p>
        </w:tc>
        <w:tc>
          <w:tcPr>
            <w:tcW w:w="102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3Q21</w:t>
            </w:r>
          </w:p>
        </w:tc>
        <w:tc>
          <w:tcPr>
            <w:tcW w:w="200" w:type="dxa"/>
            <w:vAlign w:val="bottom"/>
            <w:vMerge w:val="restart"/>
          </w:tcPr>
          <w:p>
            <w:pPr>
              <w:spacing w:after="0"/>
              <w:rPr>
                <w:sz w:val="9"/>
                <w:szCs w:val="9"/>
                <w:color w:val="auto"/>
              </w:rPr>
            </w:pPr>
          </w:p>
        </w:tc>
        <w:tc>
          <w:tcPr>
            <w:tcW w:w="102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3Q21</w:t>
            </w:r>
          </w:p>
        </w:tc>
        <w:tc>
          <w:tcPr>
            <w:tcW w:w="180" w:type="dxa"/>
            <w:vAlign w:val="bottom"/>
            <w:vMerge w:val="restart"/>
          </w:tcPr>
          <w:p>
            <w:pPr>
              <w:spacing w:after="0"/>
              <w:rPr>
                <w:sz w:val="9"/>
                <w:szCs w:val="9"/>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w w:val="96"/>
              </w:rPr>
              <w:t>3Q21</w:t>
            </w:r>
          </w:p>
        </w:tc>
        <w:tc>
          <w:tcPr>
            <w:tcW w:w="260" w:type="dxa"/>
            <w:vAlign w:val="bottom"/>
            <w:vMerge w:val="restart"/>
          </w:tcPr>
          <w:p>
            <w:pPr>
              <w:spacing w:after="0"/>
              <w:rPr>
                <w:sz w:val="9"/>
                <w:szCs w:val="9"/>
                <w:color w:val="auto"/>
              </w:rPr>
            </w:pPr>
          </w:p>
        </w:tc>
        <w:tc>
          <w:tcPr>
            <w:tcW w:w="1020" w:type="dxa"/>
            <w:vAlign w:val="bottom"/>
            <w:vMerge w:val="restart"/>
          </w:tcPr>
          <w:p>
            <w:pPr>
              <w:jc w:val="right"/>
              <w:ind w:right="318"/>
              <w:spacing w:after="0"/>
              <w:rPr>
                <w:sz w:val="20"/>
                <w:szCs w:val="20"/>
                <w:color w:val="auto"/>
              </w:rPr>
            </w:pPr>
            <w:r>
              <w:rPr>
                <w:rFonts w:ascii="Arial" w:cs="Arial" w:eastAsia="Arial" w:hAnsi="Arial"/>
                <w:sz w:val="16"/>
                <w:szCs w:val="16"/>
                <w:b w:val="1"/>
                <w:bCs w:val="1"/>
                <w:color w:val="auto"/>
              </w:rPr>
              <w:t>4Q21</w:t>
            </w:r>
          </w:p>
        </w:tc>
        <w:tc>
          <w:tcPr>
            <w:tcW w:w="200" w:type="dxa"/>
            <w:vAlign w:val="bottom"/>
            <w:vMerge w:val="restart"/>
          </w:tcPr>
          <w:p>
            <w:pPr>
              <w:spacing w:after="0"/>
              <w:rPr>
                <w:sz w:val="9"/>
                <w:szCs w:val="9"/>
                <w:color w:val="auto"/>
              </w:rPr>
            </w:pPr>
          </w:p>
        </w:tc>
        <w:tc>
          <w:tcPr>
            <w:tcW w:w="1020" w:type="dxa"/>
            <w:vAlign w:val="bottom"/>
            <w:vMerge w:val="restart"/>
          </w:tcPr>
          <w:p>
            <w:pPr>
              <w:jc w:val="center"/>
              <w:ind w:right="58"/>
              <w:spacing w:after="0"/>
              <w:rPr>
                <w:sz w:val="20"/>
                <w:szCs w:val="20"/>
                <w:color w:val="auto"/>
              </w:rPr>
            </w:pPr>
            <w:r>
              <w:rPr>
                <w:rFonts w:ascii="Arial" w:cs="Arial" w:eastAsia="Arial" w:hAnsi="Arial"/>
                <w:sz w:val="16"/>
                <w:szCs w:val="16"/>
                <w:b w:val="1"/>
                <w:bCs w:val="1"/>
                <w:color w:val="auto"/>
                <w:w w:val="91"/>
              </w:rPr>
              <w:t>4Q21</w:t>
            </w:r>
          </w:p>
        </w:tc>
        <w:tc>
          <w:tcPr>
            <w:tcW w:w="200" w:type="dxa"/>
            <w:vAlign w:val="bottom"/>
            <w:vMerge w:val="restart"/>
          </w:tcPr>
          <w:p>
            <w:pPr>
              <w:spacing w:after="0"/>
              <w:rPr>
                <w:sz w:val="9"/>
                <w:szCs w:val="9"/>
                <w:color w:val="auto"/>
              </w:rPr>
            </w:pPr>
          </w:p>
        </w:tc>
        <w:tc>
          <w:tcPr>
            <w:tcW w:w="1060" w:type="dxa"/>
            <w:vAlign w:val="bottom"/>
            <w:vMerge w:val="restart"/>
          </w:tcPr>
          <w:p>
            <w:pPr>
              <w:jc w:val="center"/>
              <w:ind w:right="58"/>
              <w:spacing w:after="0"/>
              <w:rPr>
                <w:sz w:val="20"/>
                <w:szCs w:val="20"/>
                <w:color w:val="auto"/>
              </w:rPr>
            </w:pPr>
            <w:r>
              <w:rPr>
                <w:rFonts w:ascii="Arial" w:cs="Arial" w:eastAsia="Arial" w:hAnsi="Arial"/>
                <w:sz w:val="16"/>
                <w:szCs w:val="16"/>
                <w:b w:val="1"/>
                <w:bCs w:val="1"/>
                <w:color w:val="auto"/>
                <w:w w:val="91"/>
              </w:rPr>
              <w:t>4Q21</w:t>
            </w:r>
          </w:p>
        </w:tc>
        <w:tc>
          <w:tcPr>
            <w:tcW w:w="1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60" w:type="dxa"/>
            <w:vAlign w:val="bottom"/>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Affiliates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2,351,087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8,120,364</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2,349,596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8,251,977</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96"/>
        </w:trPr>
        <w:tc>
          <w:tcPr>
            <w:tcW w:w="2760" w:type="dxa"/>
            <w:vAlign w:val="bottom"/>
          </w:tcPr>
          <w:p>
            <w:pPr>
              <w:spacing w:after="0" w:line="197" w:lineRule="exact"/>
              <w:rPr>
                <w:sz w:val="20"/>
                <w:szCs w:val="20"/>
                <w:color w:val="auto"/>
              </w:rPr>
            </w:pPr>
            <w:r>
              <w:rPr>
                <w:rFonts w:ascii="Arial" w:cs="Arial" w:eastAsia="Arial" w:hAnsi="Arial"/>
                <w:sz w:val="14"/>
                <w:szCs w:val="14"/>
                <w:color w:val="auto"/>
              </w:rPr>
              <w:t xml:space="preserve">New affiliations </w:t>
            </w:r>
            <w:r>
              <w:rPr>
                <w:rFonts w:ascii="Arial" w:cs="Arial" w:eastAsia="Arial" w:hAnsi="Arial"/>
                <w:sz w:val="22"/>
                <w:szCs w:val="22"/>
                <w:color w:val="auto"/>
                <w:vertAlign w:val="superscript"/>
              </w:rPr>
              <w:t>(1)</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139,360</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138,417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w w:val="99"/>
              </w:rPr>
              <w:t>Funds under management (S/ Millions)</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38,719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129,169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40,125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133,310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6"/>
                <w:szCs w:val="16"/>
                <w:color w:val="auto"/>
              </w:rPr>
              <w:t>Collections (S/ Millions)</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1,016</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3,591</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28.3%</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1,073</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3,647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Voluntary contributions (S/ Millions) </w:t>
            </w:r>
            <w:r>
              <w:rPr>
                <w:rFonts w:ascii="Arial" w:cs="Arial" w:eastAsia="Arial" w:hAnsi="Arial"/>
                <w:sz w:val="22"/>
                <w:szCs w:val="22"/>
                <w:color w:val="auto"/>
                <w:vertAlign w:val="superscript"/>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2,596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1,039</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2,687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47"/>
        </w:trPr>
        <w:tc>
          <w:tcPr>
            <w:tcW w:w="2760" w:type="dxa"/>
            <w:vAlign w:val="bottom"/>
          </w:tcPr>
          <w:p>
            <w:pPr>
              <w:spacing w:after="0" w:line="147" w:lineRule="exact"/>
              <w:rPr>
                <w:sz w:val="20"/>
                <w:szCs w:val="20"/>
                <w:color w:val="auto"/>
              </w:rPr>
            </w:pPr>
            <w:r>
              <w:rPr>
                <w:rFonts w:ascii="Arial" w:cs="Arial" w:eastAsia="Arial" w:hAnsi="Arial"/>
                <w:sz w:val="11"/>
                <w:szCs w:val="11"/>
                <w:color w:val="auto"/>
              </w:rPr>
              <w:t xml:space="preserve">RAM (S/ Millions) </w:t>
            </w:r>
            <w:r>
              <w:rPr>
                <w:rFonts w:ascii="Arial" w:cs="Arial" w:eastAsia="Arial" w:hAnsi="Arial"/>
                <w:sz w:val="17"/>
                <w:szCs w:val="17"/>
                <w:color w:val="auto"/>
                <w:vertAlign w:val="superscript"/>
              </w:rPr>
              <w:t>(2) (3)</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1,316</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4,322</w:t>
            </w:r>
          </w:p>
        </w:tc>
        <w:tc>
          <w:tcPr>
            <w:tcW w:w="1280" w:type="dxa"/>
            <w:vAlign w:val="bottom"/>
            <w:gridSpan w:val="2"/>
          </w:tcPr>
          <w:p>
            <w:pPr>
              <w:jc w:val="right"/>
              <w:ind w:right="120"/>
              <w:spacing w:after="0" w:line="148" w:lineRule="exact"/>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1,323</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4,336</w:t>
            </w:r>
          </w:p>
        </w:tc>
        <w:tc>
          <w:tcPr>
            <w:tcW w:w="1220" w:type="dxa"/>
            <w:vAlign w:val="bottom"/>
            <w:gridSpan w:val="2"/>
          </w:tcPr>
          <w:p>
            <w:pPr>
              <w:jc w:val="right"/>
              <w:ind w:right="20"/>
              <w:spacing w:after="0" w:line="14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7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30.4</w:t>
            </w:r>
          </w:p>
        </w:tc>
        <w:tc>
          <w:tcPr>
            <w:tcW w:w="1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Source: SBS</w:t>
      </w:r>
    </w:p>
    <w:p>
      <w:pPr>
        <w:ind w:left="300" w:hanging="282"/>
        <w:spacing w:after="0" w:line="237" w:lineRule="auto"/>
        <w:tabs>
          <w:tab w:leader="none" w:pos="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As of June 2019, another AFP has the exclusivity of affiliations.</w:t>
      </w:r>
    </w:p>
    <w:p>
      <w:pPr>
        <w:ind w:left="300" w:hanging="282"/>
        <w:spacing w:after="0" w:line="230" w:lineRule="auto"/>
        <w:tabs>
          <w:tab w:leader="none" w:pos="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Information available as of November 2021.</w:t>
      </w:r>
    </w:p>
    <w:p>
      <w:pPr>
        <w:ind w:left="160" w:hanging="142"/>
        <w:spacing w:after="0" w:line="230" w:lineRule="auto"/>
        <w:tabs>
          <w:tab w:leader="none" w:pos="330" w:val="left"/>
        </w:tabs>
        <w:numPr>
          <w:ilvl w:val="0"/>
          <w:numId w:val="89"/>
        </w:numPr>
        <w:rPr>
          <w:rFonts w:ascii="Arial" w:cs="Arial" w:eastAsia="Arial" w:hAnsi="Arial"/>
          <w:sz w:val="20"/>
          <w:szCs w:val="20"/>
          <w:color w:val="auto"/>
        </w:rPr>
      </w:pPr>
      <w:r>
        <w:rPr>
          <w:rFonts w:ascii="Arial" w:cs="Arial" w:eastAsia="Arial" w:hAnsi="Arial"/>
          <w:sz w:val="20"/>
          <w:szCs w:val="20"/>
          <w:color w:val="auto"/>
        </w:rPr>
        <w:t>Prima AFP estimate: Average of aggregated income for flow during the last 4 months, excluding special collections and voluntary contribution fees.</w:t>
      </w:r>
    </w:p>
    <w:p>
      <w:pPr>
        <w:ind w:left="120"/>
        <w:spacing w:after="0"/>
        <w:rPr>
          <w:rFonts w:ascii="Arial" w:cs="Arial" w:eastAsia="Arial" w:hAnsi="Arial"/>
          <w:sz w:val="20"/>
          <w:szCs w:val="20"/>
          <w:color w:val="auto"/>
        </w:rPr>
      </w:pPr>
      <w:r>
        <w:rPr>
          <w:rFonts w:ascii="Arial" w:cs="Arial" w:eastAsia="Arial" w:hAnsi="Arial"/>
          <w:sz w:val="20"/>
          <w:szCs w:val="20"/>
          <w:color w:val="auto"/>
        </w:rPr>
        <w:t>.</w:t>
      </w:r>
    </w:p>
    <w:p>
      <w:pPr>
        <w:sectPr>
          <w:pgSz w:w="11900" w:h="16838" w:orient="portrait"/>
          <w:cols w:equalWidth="0" w:num="1">
            <w:col w:w="11260"/>
          </w:cols>
          <w:pgMar w:left="300" w:top="765" w:right="339" w:bottom="0" w:gutter="0" w:footer="0" w:header="0"/>
        </w:sectPr>
      </w:pPr>
    </w:p>
    <w:p>
      <w:pPr>
        <w:spacing w:after="0" w:line="211" w:lineRule="exact"/>
        <w:rPr>
          <w:sz w:val="20"/>
          <w:szCs w:val="20"/>
          <w:color w:val="auto"/>
        </w:rPr>
      </w:pPr>
    </w:p>
    <w:p>
      <w:pPr>
        <w:ind w:left="10360"/>
        <w:spacing w:after="0"/>
        <w:rPr>
          <w:sz w:val="20"/>
          <w:szCs w:val="20"/>
          <w:color w:val="auto"/>
        </w:rPr>
      </w:pPr>
      <w:r>
        <w:rPr>
          <w:rFonts w:ascii="Arial" w:cs="Arial" w:eastAsia="Arial" w:hAnsi="Arial"/>
          <w:sz w:val="10"/>
          <w:szCs w:val="10"/>
          <w:color w:val="auto"/>
        </w:rPr>
        <w:t>78</w:t>
      </w:r>
    </w:p>
    <w:p>
      <w:pPr>
        <w:sectPr>
          <w:pgSz w:w="11900" w:h="16838" w:orient="portrait"/>
          <w:cols w:equalWidth="0" w:num="1">
            <w:col w:w="11260"/>
          </w:cols>
          <w:pgMar w:left="300" w:top="765" w:right="339" w:bottom="0" w:gutter="0" w:footer="0" w:header="0"/>
          <w:type w:val="continuous"/>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735330</wp:posOffset>
            </wp:positionV>
            <wp:extent cx="7145020"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page">
              <wp:posOffset>6965315</wp:posOffset>
            </wp:positionH>
            <wp:positionV relativeFrom="page">
              <wp:posOffset>88900</wp:posOffset>
            </wp:positionV>
            <wp:extent cx="381635" cy="5842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12.11. Portfolio Quality indicators by Business Segment</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10160</wp:posOffset>
            </wp:positionV>
            <wp:extent cx="5298440" cy="20256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98440" cy="202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10160</wp:posOffset>
            </wp:positionV>
            <wp:extent cx="5298440" cy="20415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9844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10160</wp:posOffset>
            </wp:positionV>
            <wp:extent cx="5298440" cy="23609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98440"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647700</wp:posOffset>
            </wp:positionV>
            <wp:extent cx="7145020"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1270</wp:posOffset>
            </wp:positionV>
            <wp:extent cx="381635" cy="5842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0460"/>
          </w:cols>
          <w:pgMar w:left="320" w:top="765" w:right="1119" w:bottom="1440" w:gutter="0" w:footer="0" w:header="0"/>
        </w:sectPr>
      </w:pPr>
    </w:p>
    <w:bookmarkStart w:id="91" w:name="page92"/>
    <w:bookmarkEnd w:id="91"/>
    <w:p>
      <w:pPr>
        <w:jc w:val="center"/>
        <w:ind w:right="3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10160</wp:posOffset>
            </wp:positionV>
            <wp:extent cx="5298440" cy="20961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98440" cy="209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10160</wp:posOffset>
            </wp:positionV>
            <wp:extent cx="5298440" cy="22517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98440" cy="225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31750</wp:posOffset>
            </wp:positionV>
            <wp:extent cx="5298440" cy="2072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9844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647700</wp:posOffset>
            </wp:positionV>
            <wp:extent cx="7145020"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1270</wp:posOffset>
            </wp:positionV>
            <wp:extent cx="381635" cy="5842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764" w:right="1119" w:bottom="1440" w:gutter="0" w:footer="0" w:header="0"/>
        </w:sectPr>
      </w:pPr>
    </w:p>
    <w:bookmarkStart w:id="92" w:name="page93"/>
    <w:bookmarkEnd w:id="92"/>
    <w:p>
      <w:pPr>
        <w:jc w:val="center"/>
        <w:ind w:right="3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10160</wp:posOffset>
            </wp:positionV>
            <wp:extent cx="5298440" cy="20878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98440" cy="208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32385</wp:posOffset>
            </wp:positionV>
            <wp:extent cx="5298440" cy="21818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98440" cy="218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647700</wp:posOffset>
            </wp:positionV>
            <wp:extent cx="7145020"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1270</wp:posOffset>
            </wp:positionV>
            <wp:extent cx="381635" cy="5842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9340"/>
          </w:cols>
          <w:pgMar w:left="1440" w:top="765" w:right="1119" w:bottom="1440" w:gutter="0" w:footer="0" w:header="0"/>
        </w:sectPr>
      </w:pPr>
    </w:p>
    <w:bookmarkStart w:id="93" w:name="page94"/>
    <w:bookmarkEnd w:id="93"/>
    <w:p>
      <w:pPr>
        <w:ind w:lef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12.12.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150495</wp:posOffset>
            </wp:positionV>
            <wp:extent cx="5267325" cy="51892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67325" cy="518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2" w:hanging="282"/>
        <w:spacing w:after="0"/>
        <w:tabs>
          <w:tab w:leader="none" w:pos="282" w:val="left"/>
        </w:tabs>
        <w:numPr>
          <w:ilvl w:val="0"/>
          <w:numId w:val="90"/>
        </w:numPr>
        <w:rPr>
          <w:rFonts w:ascii="Arial" w:cs="Arial" w:eastAsia="Arial" w:hAnsi="Arial"/>
          <w:sz w:val="20"/>
          <w:szCs w:val="20"/>
          <w:color w:val="auto"/>
        </w:rPr>
      </w:pPr>
      <w:r>
        <w:rPr>
          <w:rFonts w:ascii="Arial" w:cs="Arial" w:eastAsia="Arial" w:hAnsi="Arial"/>
          <w:sz w:val="20"/>
          <w:szCs w:val="20"/>
          <w:color w:val="auto"/>
        </w:rPr>
        <w:t>Averages are determined as the average of period-beginning and period-ending balances.</w:t>
      </w:r>
    </w:p>
    <w:p>
      <w:pPr>
        <w:spacing w:after="0" w:line="6" w:lineRule="exact"/>
        <w:rPr>
          <w:rFonts w:ascii="Arial" w:cs="Arial" w:eastAsia="Arial" w:hAnsi="Arial"/>
          <w:sz w:val="20"/>
          <w:szCs w:val="20"/>
          <w:color w:val="auto"/>
        </w:rPr>
      </w:pPr>
    </w:p>
    <w:p>
      <w:pPr>
        <w:ind w:left="282" w:hanging="282"/>
        <w:spacing w:after="0"/>
        <w:tabs>
          <w:tab w:leader="none" w:pos="282"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total deposits, due to banks and correspondents, BCRP instruments, repurchase agreements and bonds and notes issued.</w:t>
      </w:r>
    </w:p>
    <w:p>
      <w:pPr>
        <w:spacing w:after="0" w:line="25" w:lineRule="exact"/>
        <w:rPr>
          <w:rFonts w:ascii="Arial" w:cs="Arial" w:eastAsia="Arial" w:hAnsi="Arial"/>
          <w:sz w:val="17"/>
          <w:szCs w:val="17"/>
          <w:color w:val="auto"/>
        </w:rPr>
      </w:pPr>
    </w:p>
    <w:p>
      <w:pPr>
        <w:ind w:left="282" w:hanging="282"/>
        <w:spacing w:after="0" w:line="230" w:lineRule="auto"/>
        <w:tabs>
          <w:tab w:leader="none" w:pos="282" w:val="left"/>
        </w:tabs>
        <w:numPr>
          <w:ilvl w:val="0"/>
          <w:numId w:val="90"/>
        </w:numPr>
        <w:rPr>
          <w:rFonts w:ascii="Arial" w:cs="Arial" w:eastAsia="Arial" w:hAnsi="Arial"/>
          <w:sz w:val="20"/>
          <w:szCs w:val="20"/>
          <w:color w:val="auto"/>
        </w:rPr>
      </w:pPr>
      <w:r>
        <w:rPr>
          <w:rFonts w:ascii="Arial" w:cs="Arial" w:eastAsia="Arial" w:hAnsi="Arial"/>
          <w:sz w:val="20"/>
          <w:szCs w:val="20"/>
          <w:color w:val="auto"/>
        </w:rPr>
        <w:t>Does not include Life insurance business.</w:t>
      </w:r>
    </w:p>
    <w:p>
      <w:pPr>
        <w:jc w:val="both"/>
        <w:ind w:left="2" w:hanging="2"/>
        <w:spacing w:after="0" w:line="230" w:lineRule="auto"/>
        <w:tabs>
          <w:tab w:leader="none" w:pos="2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20"/>
          <w:szCs w:val="20"/>
          <w:color w:val="auto"/>
        </w:rPr>
      </w:pPr>
    </w:p>
    <w:p>
      <w:pPr>
        <w:ind w:left="282" w:hanging="282"/>
        <w:spacing w:after="0"/>
        <w:tabs>
          <w:tab w:leader="none" w:pos="282"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Includes investment in subsidiaries, goodwill, intangibles and deferred tax that rely on future profitability.</w:t>
      </w:r>
    </w:p>
    <w:p>
      <w:pPr>
        <w:spacing w:after="0" w:line="200" w:lineRule="exact"/>
        <w:rPr>
          <w:sz w:val="20"/>
          <w:szCs w:val="20"/>
          <w:color w:val="auto"/>
        </w:rPr>
      </w:pPr>
    </w:p>
    <w:p>
      <w:pPr>
        <w:spacing w:after="0" w:line="232" w:lineRule="exact"/>
        <w:rPr>
          <w:sz w:val="20"/>
          <w:szCs w:val="20"/>
          <w:color w:val="auto"/>
        </w:rPr>
      </w:pPr>
    </w:p>
    <w:p>
      <w:pPr>
        <w:ind w:left="10342"/>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145020"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1270</wp:posOffset>
            </wp:positionV>
            <wp:extent cx="381635" cy="5842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p>
      <w:pPr>
        <w:sectPr>
          <w:pgSz w:w="11900" w:h="16838" w:orient="portrait"/>
          <w:cols w:equalWidth="0" w:num="1">
            <w:col w:w="11262"/>
          </w:cols>
          <w:pgMar w:left="318" w:top="765" w:right="31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685165</wp:posOffset>
            </wp:positionH>
            <wp:positionV relativeFrom="page">
              <wp:posOffset>88900</wp:posOffset>
            </wp:positionV>
            <wp:extent cx="6178550" cy="3117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178550" cy="311785"/>
                    </a:xfrm>
                    <a:prstGeom prst="rect">
                      <a:avLst/>
                    </a:prstGeom>
                    <a:noFill/>
                  </pic:spPr>
                </pic:pic>
              </a:graphicData>
            </a:graphic>
          </wp:anchor>
        </w:drawing>
        <w:t>12.13. Glossary of terms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396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Government Program Loans (“GP or GP loans”)</w:t>
            </w:r>
          </w:p>
        </w:tc>
        <w:tc>
          <w:tcPr>
            <w:tcW w:w="728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Loan Portfolio related to Reactiva Peru and FAE-Mype programs to respond quickly and effectively to</w:t>
            </w:r>
          </w:p>
        </w:tc>
        <w:tc>
          <w:tcPr>
            <w:tcW w:w="0" w:type="dxa"/>
            <w:vAlign w:val="bottom"/>
          </w:tcPr>
          <w:p>
            <w:pPr>
              <w:spacing w:after="0"/>
              <w:rPr>
                <w:sz w:val="1"/>
                <w:szCs w:val="1"/>
                <w:color w:val="auto"/>
              </w:rPr>
            </w:pPr>
          </w:p>
        </w:tc>
      </w:tr>
      <w:tr>
        <w:trPr>
          <w:trHeight w:val="110"/>
        </w:trPr>
        <w:tc>
          <w:tcPr>
            <w:tcW w:w="3960" w:type="dxa"/>
            <w:vAlign w:val="bottom"/>
            <w:tcBorders>
              <w:left w:val="single" w:sz="8" w:color="auto"/>
              <w:right w:val="single" w:sz="8" w:color="auto"/>
            </w:tcBorders>
            <w:vMerge w:val="continue"/>
          </w:tcPr>
          <w:p>
            <w:pPr>
              <w:spacing w:after="0"/>
              <w:rPr>
                <w:sz w:val="9"/>
                <w:szCs w:val="9"/>
                <w:color w:val="auto"/>
              </w:rPr>
            </w:pPr>
          </w:p>
        </w:tc>
        <w:tc>
          <w:tcPr>
            <w:tcW w:w="7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liquidity needs and maintain the payment chain.</w:t>
            </w:r>
          </w:p>
        </w:tc>
        <w:tc>
          <w:tcPr>
            <w:tcW w:w="0" w:type="dxa"/>
            <w:vAlign w:val="bottom"/>
          </w:tcPr>
          <w:p>
            <w:pPr>
              <w:spacing w:after="0"/>
              <w:rPr>
                <w:sz w:val="1"/>
                <w:szCs w:val="1"/>
                <w:color w:val="auto"/>
              </w:rPr>
            </w:pPr>
          </w:p>
        </w:tc>
      </w:tr>
      <w:tr>
        <w:trPr>
          <w:trHeight w:val="104"/>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Structural Loans</w:t>
            </w:r>
          </w:p>
        </w:tc>
        <w:tc>
          <w:tcPr>
            <w:tcW w:w="7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Loan Portfolio excluding GP Loans.</w:t>
            </w:r>
          </w:p>
        </w:tc>
        <w:tc>
          <w:tcPr>
            <w:tcW w:w="0" w:type="dxa"/>
            <w:vAlign w:val="bottom"/>
          </w:tcPr>
          <w:p>
            <w:pPr>
              <w:spacing w:after="0"/>
              <w:rPr>
                <w:sz w:val="1"/>
                <w:szCs w:val="1"/>
                <w:color w:val="auto"/>
              </w:rPr>
            </w:pPr>
          </w:p>
        </w:tc>
      </w:tr>
      <w:tr>
        <w:trPr>
          <w:trHeight w:val="184"/>
        </w:trPr>
        <w:tc>
          <w:tcPr>
            <w:tcW w:w="3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Non-Recurring Events at Interest Income</w:t>
            </w:r>
          </w:p>
        </w:tc>
        <w:tc>
          <w:tcPr>
            <w:tcW w:w="72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Impairment charge (related to the government facility that allowed for deferrement of certain installments at</w:t>
            </w:r>
          </w:p>
        </w:tc>
        <w:tc>
          <w:tcPr>
            <w:tcW w:w="0" w:type="dxa"/>
            <w:vAlign w:val="bottom"/>
          </w:tcPr>
          <w:p>
            <w:pPr>
              <w:spacing w:after="0"/>
              <w:rPr>
                <w:sz w:val="1"/>
                <w:szCs w:val="1"/>
                <w:color w:val="auto"/>
              </w:rPr>
            </w:pPr>
          </w:p>
        </w:tc>
      </w:tr>
      <w:tr>
        <w:trPr>
          <w:trHeight w:val="110"/>
        </w:trPr>
        <w:tc>
          <w:tcPr>
            <w:tcW w:w="3960" w:type="dxa"/>
            <w:vAlign w:val="bottom"/>
            <w:tcBorders>
              <w:left w:val="single" w:sz="8" w:color="auto"/>
              <w:right w:val="single" w:sz="8" w:color="auto"/>
            </w:tcBorders>
            <w:vMerge w:val="continue"/>
          </w:tcPr>
          <w:p>
            <w:pPr>
              <w:spacing w:after="0"/>
              <w:rPr>
                <w:sz w:val="9"/>
                <w:szCs w:val="9"/>
                <w:color w:val="auto"/>
              </w:rPr>
            </w:pPr>
          </w:p>
        </w:tc>
        <w:tc>
          <w:tcPr>
            <w:tcW w:w="7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zero cost) and subsequent amortization thereof.</w:t>
            </w:r>
          </w:p>
        </w:tc>
        <w:tc>
          <w:tcPr>
            <w:tcW w:w="0" w:type="dxa"/>
            <w:vAlign w:val="bottom"/>
          </w:tcPr>
          <w:p>
            <w:pPr>
              <w:spacing w:after="0"/>
              <w:rPr>
                <w:sz w:val="1"/>
                <w:szCs w:val="1"/>
                <w:color w:val="auto"/>
              </w:rPr>
            </w:pPr>
          </w:p>
        </w:tc>
      </w:tr>
      <w:tr>
        <w:trPr>
          <w:trHeight w:val="104"/>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Non-Recurring Events at Interest Expense</w:t>
            </w:r>
          </w:p>
        </w:tc>
        <w:tc>
          <w:tcPr>
            <w:tcW w:w="7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Charges related to the liability management operation at BCP (3Q20, 1Q21).</w:t>
            </w:r>
          </w:p>
        </w:tc>
        <w:tc>
          <w:tcPr>
            <w:tcW w:w="0" w:type="dxa"/>
            <w:vAlign w:val="bottom"/>
          </w:tcPr>
          <w:p>
            <w:pPr>
              <w:spacing w:after="0"/>
              <w:rPr>
                <w:sz w:val="1"/>
                <w:szCs w:val="1"/>
                <w:color w:val="auto"/>
              </w:rPr>
            </w:pPr>
          </w:p>
        </w:tc>
      </w:tr>
      <w:tr>
        <w:trPr>
          <w:trHeight w:val="184"/>
        </w:trPr>
        <w:tc>
          <w:tcPr>
            <w:tcW w:w="3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Structural Cost of risk</w:t>
            </w:r>
          </w:p>
        </w:tc>
        <w:tc>
          <w:tcPr>
            <w:tcW w:w="72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4"/>
              </w:rPr>
              <w:t>Cost of Risk related to the Structural Loans. It excludes, in the numerator, provisions for credit losses on GP</w:t>
            </w:r>
          </w:p>
        </w:tc>
        <w:tc>
          <w:tcPr>
            <w:tcW w:w="0" w:type="dxa"/>
            <w:vAlign w:val="bottom"/>
          </w:tcPr>
          <w:p>
            <w:pPr>
              <w:spacing w:after="0"/>
              <w:rPr>
                <w:sz w:val="1"/>
                <w:szCs w:val="1"/>
                <w:color w:val="auto"/>
              </w:rPr>
            </w:pPr>
          </w:p>
        </w:tc>
      </w:tr>
      <w:tr>
        <w:trPr>
          <w:trHeight w:val="110"/>
        </w:trPr>
        <w:tc>
          <w:tcPr>
            <w:tcW w:w="3960" w:type="dxa"/>
            <w:vAlign w:val="bottom"/>
            <w:tcBorders>
              <w:left w:val="single" w:sz="8" w:color="auto"/>
              <w:right w:val="single" w:sz="8" w:color="auto"/>
            </w:tcBorders>
            <w:vMerge w:val="continue"/>
          </w:tcPr>
          <w:p>
            <w:pPr>
              <w:spacing w:after="0"/>
              <w:rPr>
                <w:sz w:val="9"/>
                <w:szCs w:val="9"/>
                <w:color w:val="auto"/>
              </w:rPr>
            </w:pPr>
          </w:p>
        </w:tc>
        <w:tc>
          <w:tcPr>
            <w:tcW w:w="7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loans, and in the denominator, the total amount of GP Loans.</w:t>
            </w:r>
          </w:p>
        </w:tc>
        <w:tc>
          <w:tcPr>
            <w:tcW w:w="0" w:type="dxa"/>
            <w:vAlign w:val="bottom"/>
          </w:tcPr>
          <w:p>
            <w:pPr>
              <w:spacing w:after="0"/>
              <w:rPr>
                <w:sz w:val="1"/>
                <w:szCs w:val="1"/>
                <w:color w:val="auto"/>
              </w:rPr>
            </w:pPr>
          </w:p>
        </w:tc>
      </w:tr>
      <w:tr>
        <w:trPr>
          <w:trHeight w:val="104"/>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Structural NPL ratio</w:t>
            </w:r>
          </w:p>
        </w:tc>
        <w:tc>
          <w:tcPr>
            <w:tcW w:w="7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NPL Ratio related to Structural Loans. It excludes the impact of GP Loans.</w:t>
            </w:r>
          </w:p>
        </w:tc>
        <w:tc>
          <w:tcPr>
            <w:tcW w:w="0" w:type="dxa"/>
            <w:vAlign w:val="bottom"/>
          </w:tcPr>
          <w:p>
            <w:pPr>
              <w:spacing w:after="0"/>
              <w:rPr>
                <w:sz w:val="1"/>
                <w:szCs w:val="1"/>
                <w:color w:val="auto"/>
              </w:rPr>
            </w:pPr>
          </w:p>
        </w:tc>
      </w:tr>
      <w:tr>
        <w:trPr>
          <w:trHeight w:val="184"/>
        </w:trPr>
        <w:tc>
          <w:tcPr>
            <w:tcW w:w="3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Structural NIM</w:t>
            </w:r>
          </w:p>
        </w:tc>
        <w:tc>
          <w:tcPr>
            <w:tcW w:w="72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NIM related to structural loans and other interest earning assets. It deducts the impact from GP loans and non-</w:t>
            </w:r>
          </w:p>
        </w:tc>
        <w:tc>
          <w:tcPr>
            <w:tcW w:w="0" w:type="dxa"/>
            <w:vAlign w:val="bottom"/>
          </w:tcPr>
          <w:p>
            <w:pPr>
              <w:spacing w:after="0"/>
              <w:rPr>
                <w:sz w:val="1"/>
                <w:szCs w:val="1"/>
                <w:color w:val="auto"/>
              </w:rPr>
            </w:pPr>
          </w:p>
        </w:tc>
      </w:tr>
      <w:tr>
        <w:trPr>
          <w:trHeight w:val="110"/>
        </w:trPr>
        <w:tc>
          <w:tcPr>
            <w:tcW w:w="3960" w:type="dxa"/>
            <w:vAlign w:val="bottom"/>
            <w:tcBorders>
              <w:left w:val="single" w:sz="8" w:color="auto"/>
              <w:right w:val="single" w:sz="8" w:color="auto"/>
            </w:tcBorders>
            <w:vMerge w:val="continue"/>
          </w:tcPr>
          <w:p>
            <w:pPr>
              <w:spacing w:after="0"/>
              <w:rPr>
                <w:sz w:val="9"/>
                <w:szCs w:val="9"/>
                <w:color w:val="auto"/>
              </w:rPr>
            </w:pPr>
          </w:p>
        </w:tc>
        <w:tc>
          <w:tcPr>
            <w:tcW w:w="7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recurring events from Interest Income and Interest Expenses.</w:t>
            </w:r>
          </w:p>
        </w:tc>
        <w:tc>
          <w:tcPr>
            <w:tcW w:w="0" w:type="dxa"/>
            <w:vAlign w:val="bottom"/>
          </w:tcPr>
          <w:p>
            <w:pPr>
              <w:spacing w:after="0"/>
              <w:rPr>
                <w:sz w:val="1"/>
                <w:szCs w:val="1"/>
                <w:color w:val="auto"/>
              </w:rPr>
            </w:pPr>
          </w:p>
        </w:tc>
      </w:tr>
      <w:tr>
        <w:trPr>
          <w:trHeight w:val="104"/>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Structural Funding Cost</w:t>
            </w:r>
          </w:p>
        </w:tc>
        <w:tc>
          <w:tcPr>
            <w:tcW w:w="72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Funding Cost deducting the impact in expenses and funding related to GP Loans and deducting non-recurring</w:t>
            </w:r>
          </w:p>
        </w:tc>
        <w:tc>
          <w:tcPr>
            <w:tcW w:w="0" w:type="dxa"/>
            <w:vAlign w:val="bottom"/>
          </w:tcPr>
          <w:p>
            <w:pPr>
              <w:spacing w:after="0"/>
              <w:rPr>
                <w:sz w:val="1"/>
                <w:szCs w:val="1"/>
                <w:color w:val="auto"/>
              </w:rPr>
            </w:pPr>
          </w:p>
        </w:tc>
      </w:tr>
      <w:tr>
        <w:trPr>
          <w:trHeight w:val="110"/>
        </w:trPr>
        <w:tc>
          <w:tcPr>
            <w:tcW w:w="3960" w:type="dxa"/>
            <w:vAlign w:val="bottom"/>
            <w:tcBorders>
              <w:left w:val="single" w:sz="8" w:color="auto"/>
              <w:right w:val="single" w:sz="8" w:color="auto"/>
            </w:tcBorders>
            <w:vMerge w:val="continue"/>
          </w:tcPr>
          <w:p>
            <w:pPr>
              <w:spacing w:after="0"/>
              <w:rPr>
                <w:sz w:val="9"/>
                <w:szCs w:val="9"/>
                <w:color w:val="auto"/>
              </w:rPr>
            </w:pPr>
          </w:p>
        </w:tc>
        <w:tc>
          <w:tcPr>
            <w:tcW w:w="7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events from Interest Expense.</w:t>
            </w:r>
          </w:p>
        </w:tc>
        <w:tc>
          <w:tcPr>
            <w:tcW w:w="0" w:type="dxa"/>
            <w:vAlign w:val="bottom"/>
          </w:tcPr>
          <w:p>
            <w:pPr>
              <w:spacing w:after="0"/>
              <w:rPr>
                <w:sz w:val="1"/>
                <w:szCs w:val="1"/>
                <w:color w:val="auto"/>
              </w:rPr>
            </w:pPr>
          </w:p>
        </w:tc>
      </w:tr>
      <w:tr>
        <w:trPr>
          <w:trHeight w:val="104"/>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72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2"/>
        </w:trPr>
        <w:tc>
          <w:tcPr>
            <w:tcW w:w="3960" w:type="dxa"/>
            <w:vAlign w:val="bottom"/>
          </w:tcPr>
          <w:p>
            <w:pPr>
              <w:spacing w:after="0"/>
              <w:rPr>
                <w:sz w:val="24"/>
                <w:szCs w:val="24"/>
                <w:color w:val="auto"/>
              </w:rPr>
            </w:pPr>
          </w:p>
        </w:tc>
        <w:tc>
          <w:tcPr>
            <w:tcW w:w="7280" w:type="dxa"/>
            <w:vAlign w:val="bottom"/>
          </w:tcPr>
          <w:p>
            <w:pPr>
              <w:ind w:left="638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059"/>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6762115</wp:posOffset>
            </wp:positionH>
            <wp:positionV relativeFrom="paragraph">
              <wp:posOffset>-692785</wp:posOffset>
            </wp:positionV>
            <wp:extent cx="381635" cy="5842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1635" cy="584200"/>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lowerRoman"/>
      <w:start w:val="1"/>
    </w:lvl>
  </w:abstractNum>
  <w:abstractNum w:abstractNumId="3">
    <w:nsid w:val="6DE91B18"/>
    <w:multiLevelType w:val="hybridMultilevel"/>
    <w:lvl w:ilvl="0">
      <w:lvlJc w:val="left"/>
      <w:lvlText w:val="(%1)"/>
      <w:numFmt w:val="lowerRoman"/>
      <w:start w:val="1"/>
    </w:lvl>
  </w:abstractNum>
  <w:abstractNum w:abstractNumId="4">
    <w:nsid w:val="38437FDB"/>
    <w:multiLevelType w:val="hybridMultilevel"/>
    <w:lvl w:ilvl="0">
      <w:lvlJc w:val="left"/>
      <w:lvlText w:val="1"/>
      <w:numFmt w:val="bullet"/>
      <w:start w:val="1"/>
    </w:lvl>
  </w:abstractNum>
  <w:abstractNum w:abstractNumId="5">
    <w:nsid w:val="7644A45C"/>
    <w:multiLevelType w:val="hybridMultilevel"/>
    <w:lvl w:ilvl="0">
      <w:lvlJc w:val="left"/>
      <w:lvlText w:val="(%1)"/>
      <w:numFmt w:val="lowerRoman"/>
      <w:start w:val="2"/>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lowerRoman"/>
      <w:start w:val="1"/>
    </w:lvl>
  </w:abstractNum>
  <w:abstractNum w:abstractNumId="8">
    <w:nsid w:val="579478FE"/>
    <w:multiLevelType w:val="hybridMultilevel"/>
    <w:lvl w:ilvl="0">
      <w:lvlJc w:val="left"/>
      <w:lvlText w:val="(%1)"/>
      <w:numFmt w:val="lowerRoman"/>
      <w:start w:val="1"/>
    </w:lvl>
  </w:abstractNum>
  <w:abstractNum w:abstractNumId="9">
    <w:nsid w:val="749ABB43"/>
    <w:multiLevelType w:val="hybridMultilevel"/>
    <w:lvl w:ilvl="0">
      <w:lvlJc w:val="left"/>
      <w:lvlText w:val="(%1)"/>
      <w:numFmt w:val="lowerRoman"/>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lowerRoman"/>
      <w:start w:val="1"/>
    </w:lvl>
  </w:abstractNum>
  <w:abstractNum w:abstractNumId="13">
    <w:nsid w:val="75C6C33A"/>
    <w:multiLevelType w:val="hybridMultilevel"/>
    <w:lvl w:ilvl="0">
      <w:lvlJc w:val="left"/>
      <w:lvlText w:val="(%1)"/>
      <w:numFmt w:val="lowerRoman"/>
      <w:start w:val="1"/>
    </w:lvl>
  </w:abstractNum>
  <w:abstractNum w:abstractNumId="14">
    <w:nsid w:val="12E685FB"/>
    <w:multiLevelType w:val="hybridMultilevel"/>
    <w:lvl w:ilvl="0">
      <w:lvlJc w:val="left"/>
      <w:lvlText w:val="(%1)"/>
      <w:numFmt w:val="lowerRoman"/>
      <w:start w:val="3"/>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1"/>
    </w:lvl>
    <w:lvl w:ilvl="1">
      <w:lvlJc w:val="left"/>
      <w:lvlText w:val="(%2)"/>
      <w:numFmt w:val="lowerRoman"/>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lowerRoman"/>
      <w:start w:val="1"/>
    </w:lvl>
  </w:abstractNum>
  <w:abstractNum w:abstractNumId="21">
    <w:nsid w:val="275AC794"/>
    <w:multiLevelType w:val="hybridMultilevel"/>
    <w:lvl w:ilvl="0">
      <w:lvlJc w:val="left"/>
      <w:lvlText w:val="(%1)"/>
      <w:numFmt w:val="lowerRoman"/>
      <w:start w:val="1"/>
    </w:lvl>
  </w:abstractNum>
  <w:abstractNum w:abstractNumId="22">
    <w:nsid w:val="39386575"/>
    <w:multiLevelType w:val="hybridMultilevel"/>
    <w:lvl w:ilvl="0">
      <w:lvlJc w:val="left"/>
      <w:lvlText w:val="(%1)"/>
      <w:numFmt w:val="lowerRoman"/>
      <w:start w:val="2"/>
    </w:lvl>
  </w:abstractNum>
  <w:abstractNum w:abstractNumId="23">
    <w:nsid w:val="1CF10FD8"/>
    <w:multiLevelType w:val="hybridMultilevel"/>
    <w:lvl w:ilvl="0">
      <w:lvlJc w:val="left"/>
      <w:lvlText w:val="(%1)"/>
      <w:numFmt w:val="lowerRoman"/>
      <w:start w:val="1"/>
    </w:lvl>
  </w:abstractNum>
  <w:abstractNum w:abstractNumId="24">
    <w:nsid w:val="180115BE"/>
    <w:multiLevelType w:val="hybridMultilevel"/>
    <w:lvl w:ilvl="0">
      <w:lvlJc w:val="left"/>
      <w:lvlText w:val="(%1)"/>
      <w:numFmt w:val="lowerRoman"/>
      <w:start w:val="1"/>
    </w:lvl>
  </w:abstractNum>
  <w:abstractNum w:abstractNumId="25">
    <w:nsid w:val="235BA861"/>
    <w:multiLevelType w:val="hybridMultilevel"/>
    <w:lvl w:ilvl="0">
      <w:lvlJc w:val="left"/>
      <w:lvlText w:val="(%1)"/>
      <w:numFmt w:val="lowerRoman"/>
      <w:start w:val="1"/>
    </w:lvl>
  </w:abstractNum>
  <w:abstractNum w:abstractNumId="26">
    <w:nsid w:val="47398C89"/>
    <w:multiLevelType w:val="hybridMultilevel"/>
    <w:lvl w:ilvl="0">
      <w:lvlJc w:val="left"/>
      <w:lvlText w:val="(%1)"/>
      <w:numFmt w:val="lowerRoman"/>
      <w:start w:val="1"/>
    </w:lvl>
    <w:lvl w:ilvl="1">
      <w:lvlJc w:val="left"/>
      <w:lvlText w:val="%2)"/>
      <w:numFmt w:val="lowerLetter"/>
      <w:start w:val="1"/>
    </w:lvl>
  </w:abstractNum>
  <w:abstractNum w:abstractNumId="27">
    <w:nsid w:val="354FE9F9"/>
    <w:multiLevelType w:val="hybridMultilevel"/>
    <w:lvl w:ilvl="0">
      <w:lvlJc w:val="left"/>
      <w:lvlText w:val="(%1)"/>
      <w:numFmt w:val="lowerRoman"/>
      <w:start w:val="1"/>
    </w:lvl>
  </w:abstractNum>
  <w:abstractNum w:abstractNumId="28">
    <w:nsid w:val="15B5AF5C"/>
    <w:multiLevelType w:val="hybridMultilevel"/>
    <w:lvl w:ilvl="0">
      <w:lvlJc w:val="left"/>
      <w:lvlText w:val="2"/>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1)"/>
      <w:numFmt w:val="decimal"/>
      <w:start w:val="1"/>
    </w:lvl>
    <w:lvl w:ilvl="1">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lowerRoman"/>
    </w:lvl>
    <w:lvl w:ilvl="1">
      <w:lvlJc w:val="left"/>
      <w:lvlText w:val="•"/>
      <w:numFmt w:val="bullet"/>
      <w:start w:val="1"/>
    </w:lvl>
  </w:abstractNum>
  <w:abstractNum w:abstractNumId="38">
    <w:nsid w:val="5FF87E05"/>
    <w:multiLevelType w:val="hybridMultilevel"/>
    <w:lvl w:ilvl="0">
      <w:lvlJc w:val="left"/>
      <w:lvlText w:val="(%1)"/>
      <w:numFmt w:val="decimal"/>
      <w:start w:val="1"/>
    </w:lvl>
    <w:lvl w:ilvl="1">
      <w:lvlJc w:val="left"/>
      <w:lvlText w:val="•"/>
      <w:numFmt w:val="bullet"/>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lowerRoman"/>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lowerRoman"/>
      <w:start w:val="2"/>
    </w:lvl>
  </w:abstractNum>
  <w:abstractNum w:abstractNumId="45">
    <w:nsid w:val="5DB70AE5"/>
    <w:multiLevelType w:val="hybridMultilevel"/>
    <w:lvl w:ilvl="0">
      <w:lvlJc w:val="left"/>
      <w:lvlText w:val="(%1)"/>
      <w:numFmt w:val="lowerRoman"/>
      <w:start w:val="3"/>
    </w:lvl>
  </w:abstractNum>
  <w:abstractNum w:abstractNumId="46">
    <w:nsid w:val="100F8FCA"/>
    <w:multiLevelType w:val="hybridMultilevel"/>
    <w:lvl w:ilvl="0">
      <w:lvlJc w:val="left"/>
      <w:lvlText w:val="3"/>
      <w:numFmt w:val="bullet"/>
      <w:start w:val="1"/>
    </w:lvl>
  </w:abstractNum>
  <w:abstractNum w:abstractNumId="47">
    <w:nsid w:val="6590700B"/>
    <w:multiLevelType w:val="hybridMultilevel"/>
    <w:lvl w:ilvl="0">
      <w:lvlJc w:val="left"/>
      <w:lvlText w:val="7"/>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lowerRoman"/>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lowerRoman"/>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8"/>
    </w:lvl>
  </w:abstractNum>
  <w:abstractNum w:abstractNumId="54">
    <w:nsid w:val="168E121F"/>
    <w:multiLevelType w:val="hybridMultilevel"/>
    <w:lvl w:ilvl="0">
      <w:lvlJc w:val="left"/>
      <w:lvlText w:val="(%1)"/>
      <w:numFmt w:val="lowerRoman"/>
      <w:start w:val="1"/>
    </w:lvl>
  </w:abstractNum>
  <w:abstractNum w:abstractNumId="55">
    <w:nsid w:val="1EBA5D23"/>
    <w:multiLevelType w:val="hybridMultilevel"/>
    <w:lvl w:ilvl="0">
      <w:lvlJc w:val="left"/>
      <w:lvlText w:val="(%1)"/>
      <w:numFmt w:val="decimal"/>
      <w:start w:val="10"/>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lowerRoman"/>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lowerRoman"/>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lowerRoman"/>
      <w:start w:val="1"/>
    </w:lvl>
  </w:abstractNum>
  <w:abstractNum w:abstractNumId="64">
    <w:nsid w:val="42963E5A"/>
    <w:multiLevelType w:val="hybridMultilevel"/>
    <w:lvl w:ilvl="0">
      <w:lvlJc w:val="left"/>
      <w:lvlText w:val="(%1)"/>
      <w:numFmt w:val="lowerRoman"/>
      <w:start w:val="2"/>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lowerRoman"/>
      <w:start w:val="1"/>
    </w:lvl>
  </w:abstractNum>
  <w:abstractNum w:abstractNumId="69">
    <w:nsid w:val="68EB2F63"/>
    <w:multiLevelType w:val="hybridMultilevel"/>
    <w:lvl w:ilvl="0">
      <w:lvlJc w:val="left"/>
      <w:lvlText w:val="(%1)"/>
      <w:numFmt w:val="lowerRoman"/>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lowerRoman"/>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6"/>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lowerRoman"/>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2022-02-10T08:38:34Z</dcterms:created>
  <dcterms:modified xsi:type="dcterms:W3CDTF">2022-02-10T08:38:34Z</dcterms:modified>
</cp:coreProperties>
</file>