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-286385</wp:posOffset>
            </wp:positionH>
            <wp:positionV relativeFrom="paragraph">
              <wp:posOffset>228600</wp:posOffset>
            </wp:positionV>
            <wp:extent cx="7263765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37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6-K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Report of Foreign Private Issuer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Rule 13a-16 or 15d-16 of the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Exchange Act of 1934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of October 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-286385</wp:posOffset>
            </wp:positionH>
            <wp:positionV relativeFrom="paragraph">
              <wp:posOffset>240665</wp:posOffset>
            </wp:positionV>
            <wp:extent cx="726376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37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CREDICORP LTD.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Clarendon House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Church Street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Hamilton HM 11 Bermuda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office)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jc w:val="center"/>
        <w:ind w:right="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files or will file annual reports under cover Form 20-F or Form 40-F.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Form 20-F x Form 40-F o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 o No 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-288290</wp:posOffset>
            </wp:positionH>
            <wp:positionV relativeFrom="paragraph">
              <wp:posOffset>235585</wp:posOffset>
            </wp:positionV>
            <wp:extent cx="7250430" cy="21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600"/>
          </w:cols>
          <w:pgMar w:left="700" w:top="472" w:right="59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Lima, October 29, 2010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COMISIÓN NACIONAL SUPERVISORA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DE EMPRESAS Y VALORES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CONASEV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Att. Registro Público del Mercado de Valores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Re.: MATERIAL EVENT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Sirs: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jc w:val="both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 accordance with article 28 of the Capital Markets Law approved by DS N° 093-2002-EF and CONASEV Resolution for Material Events and Reserved Information and Other Communications number 107-2002-EF/94.10.0, as modified by CONASEV Resolution number 009-2003-EF/94.10, Credicorp Ltd. complies with notifying you of the following Material Event.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both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Credicorp, through its subsidiary Grupo de Crédito S.A., has presented a purchase order through Credibolsa S.A.B. S.A. for the total of common stocks of El Pacífico Peruano-Suiza Cía. De Seguros y Reaseguros, at a price of S/. 26.23 per share. The transactions will be made in the Lima Stock Exchange from today to Monday December 27, 2010.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Sincerely,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160"/>
        <w:spacing w:after="0"/>
        <w:tabs>
          <w:tab w:leader="none" w:pos="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u w:val="single" w:color="auto"/>
          <w:color w:val="auto"/>
        </w:rPr>
        <w:t>Mario Ferrari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Stock Market Representative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Credicorp Ltd.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72390</wp:posOffset>
            </wp:positionV>
            <wp:extent cx="7250430" cy="21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1287" w:right="239" w:bottom="1440" w:gutter="0" w:footer="0" w:header="0"/>
        </w:sectPr>
      </w:pPr>
    </w:p>
    <w:bookmarkStart w:id="2" w:name="page3"/>
    <w:bookmarkEnd w:id="2"/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firstLine="486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October 29, 2010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CREDICORP LTD.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/s/ Giuliana Cuzquen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3855720</wp:posOffset>
            </wp:positionH>
            <wp:positionV relativeFrom="paragraph">
              <wp:posOffset>23495</wp:posOffset>
            </wp:positionV>
            <wp:extent cx="252984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84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Giuliana Cuzquen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Authorized Representative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363855</wp:posOffset>
            </wp:positionV>
            <wp:extent cx="7250430" cy="215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780"/>
      </w:cols>
      <w:pgMar w:left="240" w:top="364" w:right="8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2019-12-10T13:57:02Z</dcterms:created>
  <dcterms:modified xsi:type="dcterms:W3CDTF">2019-12-10T13:57:02Z</dcterms:modified>
</cp:coreProperties>
</file>