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November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4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540"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Nov 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-130810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1457960" cy="7195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7195185"/>
                    </a:xfrm>
                    <a:prstGeom prst="rect">
                      <a:avLst/>
                    </a:prstGeom>
                    <a:noFill/>
                  </pic:spPr>
                </pic:pic>
              </a:graphicData>
            </a:graphic>
          </wp:anchor>
        </w:drawing>
        <w:drawing>
          <wp:anchor simplePos="0" relativeHeight="251657728" behindDoc="1" locked="0" layoutInCell="0" allowOverlap="1">
            <wp:simplePos x="0" y="0"/>
            <wp:positionH relativeFrom="column">
              <wp:posOffset>3162300</wp:posOffset>
            </wp:positionH>
            <wp:positionV relativeFrom="paragraph">
              <wp:posOffset>154940</wp:posOffset>
            </wp:positionV>
            <wp:extent cx="140652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652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1900"/>
        <w:spacing w:after="0" w:line="211" w:lineRule="auto"/>
        <w:rPr>
          <w:sz w:val="20"/>
          <w:szCs w:val="20"/>
          <w:color w:val="auto"/>
        </w:rPr>
      </w:pPr>
      <w:r>
        <w:rPr>
          <w:rFonts w:ascii="Arial" w:cs="Arial" w:eastAsia="Arial" w:hAnsi="Arial"/>
          <w:sz w:val="18"/>
          <w:szCs w:val="18"/>
          <w:b w:val="1"/>
          <w:bCs w:val="1"/>
          <w:color w:val="auto"/>
        </w:rPr>
        <w:t>Lima, Peru, November 06</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2017 </w:t>
      </w:r>
      <w:r>
        <w:rPr>
          <w:rFonts w:ascii="Arial" w:cs="Arial" w:eastAsia="Arial" w:hAnsi="Arial"/>
          <w:sz w:val="18"/>
          <w:szCs w:val="18"/>
          <w:color w:val="auto"/>
        </w:rPr>
        <w:t>– Credicorp (NYSE:BAP) announced its unaudited results for the third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2017. These results are consolidated according to IFRS in Soles.</w:t>
      </w:r>
    </w:p>
    <w:p>
      <w:pPr>
        <w:spacing w:after="0" w:line="200"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Third Quarter Results 2017</w:t>
      </w:r>
    </w:p>
    <w:p>
      <w:pPr>
        <w:spacing w:after="0" w:line="229" w:lineRule="exact"/>
        <w:rPr>
          <w:sz w:val="20"/>
          <w:szCs w:val="20"/>
          <w:color w:val="auto"/>
        </w:rPr>
      </w:pPr>
    </w:p>
    <w:p>
      <w:pPr>
        <w:jc w:val="both"/>
        <w:ind w:left="1900"/>
        <w:spacing w:after="0" w:line="279" w:lineRule="auto"/>
        <w:rPr>
          <w:sz w:val="20"/>
          <w:szCs w:val="20"/>
          <w:color w:val="auto"/>
        </w:rPr>
      </w:pPr>
      <w:r>
        <w:rPr>
          <w:rFonts w:ascii="Arial" w:cs="Arial" w:eastAsia="Arial" w:hAnsi="Arial"/>
          <w:sz w:val="17"/>
          <w:szCs w:val="17"/>
          <w:color w:val="auto"/>
        </w:rPr>
        <w:t>In 3Q17 Credicorp reported net income of S/ 1,218.3 million. This translated into ROAE and ROAA of 22.8% and 3.0%, respectively. Year-to-date (YTD), net income at Credicorp increased +15.6% with regard to the result for the same period in 2016, which represented ROAE and ROAA of 19.4% and 2.5%, respectively. These levels were similar to those reported for the same period last year (19.8% and 2.2%, respectively).</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results in 3Q17 show:</w:t>
      </w:r>
    </w:p>
    <w:p>
      <w:pPr>
        <w:spacing w:after="0" w:line="225" w:lineRule="exact"/>
        <w:rPr>
          <w:sz w:val="20"/>
          <w:szCs w:val="20"/>
          <w:color w:val="auto"/>
        </w:rPr>
      </w:pPr>
    </w:p>
    <w:p>
      <w:pPr>
        <w:jc w:val="both"/>
        <w:ind w:left="1900" w:firstLine="1"/>
        <w:spacing w:after="0" w:line="273" w:lineRule="auto"/>
        <w:tabs>
          <w:tab w:leader="none" w:pos="2003" w:val="left"/>
        </w:tabs>
        <w:numPr>
          <w:ilvl w:val="0"/>
          <w:numId w:val="1"/>
        </w:numPr>
        <w:rPr>
          <w:rFonts w:ascii="Arial" w:cs="Arial" w:eastAsia="Arial" w:hAnsi="Arial"/>
          <w:sz w:val="17"/>
          <w:szCs w:val="17"/>
          <w:color w:val="auto"/>
        </w:rPr>
      </w:pPr>
      <w:r>
        <w:rPr>
          <w:rFonts w:ascii="Arial" w:cs="Arial" w:eastAsia="Arial" w:hAnsi="Arial"/>
          <w:sz w:val="17"/>
          <w:szCs w:val="17"/>
          <w:color w:val="auto"/>
        </w:rPr>
        <w:t>Average daily loan balances grew only +0.9% QoQ but expanded +1.4% YoY. This growth was due mainly to loan expansion at Retail Banking segments and Mibanco, which offset the contraction in Corporate Banking loans. These levels of expansion, although low, reflect gradual recovery in the pace of loan growth for the second consecutive quarter. This recovery represents the beginning of a positive trend after the decrease reported in 1Q17. YTD, average daily balances grew +0.4% with regard to 4Q16’s levels, which represented an FX-adjusted expansion of +2.1% in a scenario in which the Sol has appreciated 2.71% thus far this year.</w:t>
      </w:r>
    </w:p>
    <w:p>
      <w:pPr>
        <w:spacing w:after="0" w:line="178" w:lineRule="exact"/>
        <w:rPr>
          <w:rFonts w:ascii="Arial" w:cs="Arial" w:eastAsia="Arial" w:hAnsi="Arial"/>
          <w:sz w:val="17"/>
          <w:szCs w:val="17"/>
          <w:color w:val="auto"/>
        </w:rPr>
      </w:pPr>
    </w:p>
    <w:p>
      <w:pPr>
        <w:jc w:val="both"/>
        <w:ind w:left="1900" w:firstLine="1"/>
        <w:spacing w:after="0" w:line="264" w:lineRule="auto"/>
        <w:tabs>
          <w:tab w:leader="none" w:pos="2003"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line with the gradual recovery in loan growth, mainly in higher-margin segments, net interest income (NII) increased +3.0% QoQ, +1.8% YoY, and +3.1% YTD. In this context the net interest margin (NIM) increased +8 bps QoQ but fell -13 bps YoY, which led the YTD level to remain stable at 5.35%.</w:t>
      </w:r>
    </w:p>
    <w:p>
      <w:pPr>
        <w:spacing w:after="0" w:line="181" w:lineRule="exact"/>
        <w:rPr>
          <w:rFonts w:ascii="Arial" w:cs="Arial" w:eastAsia="Arial" w:hAnsi="Arial"/>
          <w:sz w:val="18"/>
          <w:szCs w:val="18"/>
          <w:color w:val="auto"/>
        </w:rPr>
      </w:pPr>
    </w:p>
    <w:p>
      <w:pPr>
        <w:jc w:val="both"/>
        <w:ind w:left="1900" w:firstLine="1"/>
        <w:spacing w:after="0" w:line="257"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 of risk (CofR) fell -26 bps QoQ and -6 bps YoY to situate at 1.59%, which is the lowest level reported since 2013. This was mainly the result of a decrease in provisions, which reflected a decrease in provision requirements for the underlying portfolio and, to a lesser extent, a reduction in provisions for FEN. The improvement in the risk quality of the underlying portfolio was associated with a slight improvement in the majority of segments. In this context, the CofR was situated at 1.89% YTD.</w:t>
      </w:r>
    </w:p>
    <w:p>
      <w:pPr>
        <w:spacing w:after="0" w:line="188" w:lineRule="exact"/>
        <w:rPr>
          <w:rFonts w:ascii="Arial" w:cs="Arial" w:eastAsia="Arial" w:hAnsi="Arial"/>
          <w:sz w:val="18"/>
          <w:szCs w:val="18"/>
          <w:color w:val="auto"/>
        </w:rPr>
      </w:pPr>
    </w:p>
    <w:p>
      <w:pPr>
        <w:ind w:left="1900" w:firstLine="1"/>
        <w:spacing w:after="0" w:line="277" w:lineRule="auto"/>
        <w:tabs>
          <w:tab w:leader="none" w:pos="1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Risk-adjusted NIM recovered +23 bps QoQ but fell 6 bps YoY. In this context, risk-adjusted NIM recovered +1 bps YTD (4.15%), in line with the decrease in the CofR and the stability of NIM YTD.</w:t>
      </w:r>
    </w:p>
    <w:p>
      <w:pPr>
        <w:spacing w:after="0" w:line="170" w:lineRule="exact"/>
        <w:rPr>
          <w:rFonts w:ascii="Arial" w:cs="Arial" w:eastAsia="Arial" w:hAnsi="Arial"/>
          <w:sz w:val="18"/>
          <w:szCs w:val="18"/>
          <w:color w:val="auto"/>
        </w:rPr>
      </w:pPr>
    </w:p>
    <w:p>
      <w:pPr>
        <w:jc w:val="both"/>
        <w:ind w:left="1900" w:firstLine="1"/>
        <w:spacing w:after="0" w:line="302" w:lineRule="auto"/>
        <w:tabs>
          <w:tab w:leader="none" w:pos="199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Non-financial income grew +21.7% QoQ and +28.3% YoY. This was mainly attributable to the gain on the sale of the remaining shares of BCI that amounted to S/ 281 million, which offset lower gains on FX transactions, investments in associates and other income. Fee income, the main source of non-financial income, fell slightly QoQ. Nevertheless, in YoY and YTD terms, fee income reported slight growth of +1.9% and +2.2%, respectively.</w:t>
      </w:r>
    </w:p>
    <w:p>
      <w:pPr>
        <w:spacing w:after="0" w:line="154" w:lineRule="exact"/>
        <w:rPr>
          <w:rFonts w:ascii="Arial" w:cs="Arial" w:eastAsia="Arial" w:hAnsi="Arial"/>
          <w:sz w:val="16"/>
          <w:szCs w:val="16"/>
          <w:color w:val="auto"/>
        </w:rPr>
      </w:pPr>
    </w:p>
    <w:p>
      <w:pPr>
        <w:jc w:val="both"/>
        <w:ind w:left="1900" w:firstLine="1"/>
        <w:spacing w:after="0" w:line="279" w:lineRule="auto"/>
        <w:tabs>
          <w:tab w:leader="none" w:pos="199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underwriting result contracted -2.8% QoQ, -10.1% YoY and -7.4% YTD. The drop QoQ was mainly due to an increase in the acquisition cost in the life insurance business, which was partially offset by higher net earned premiums primarily at the property and casualty business. In the YTD analysis, the decrease was due to an increase in claims in the property and casualty business due mainly to El Nino Phenomenon (FEN).</w:t>
      </w:r>
    </w:p>
    <w:p>
      <w:pPr>
        <w:spacing w:after="0" w:line="171" w:lineRule="exact"/>
        <w:rPr>
          <w:rFonts w:ascii="Arial" w:cs="Arial" w:eastAsia="Arial" w:hAnsi="Arial"/>
          <w:sz w:val="17"/>
          <w:szCs w:val="17"/>
          <w:color w:val="auto"/>
        </w:rPr>
      </w:pPr>
    </w:p>
    <w:p>
      <w:pPr>
        <w:jc w:val="both"/>
        <w:ind w:left="1900" w:firstLine="1"/>
        <w:spacing w:after="0" w:line="286" w:lineRule="auto"/>
        <w:tabs>
          <w:tab w:leader="none" w:pos="199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efficiency ratio improved 10 bps QoQ, 20 bps YoY and 40 bps in YTD. The aforementioned was attributable to a gradual recovery in income generation in the banking business. Adequate control over operating expenses led to QoQ growth for this component to hit a historic minimum for the last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1100455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2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3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gridSpan w:val="3"/>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Third Quarter Results 2017</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160"/>
              <w:spacing w:after="0"/>
              <w:rPr>
                <w:sz w:val="20"/>
                <w:szCs w:val="20"/>
                <w:color w:val="auto"/>
              </w:rPr>
            </w:pPr>
            <w:r>
              <w:rPr>
                <w:rFonts w:ascii="Arial" w:cs="Arial" w:eastAsia="Arial" w:hAnsi="Arial"/>
                <w:sz w:val="18"/>
                <w:szCs w:val="18"/>
                <w:color w:val="auto"/>
              </w:rPr>
              <w:t>Financial Overview</w:t>
            </w:r>
          </w:p>
        </w:tc>
        <w:tc>
          <w:tcPr>
            <w:tcW w:w="33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Interest-earning assets (IEA)</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1.1</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Evolution of IEA</w:t>
            </w:r>
          </w:p>
        </w:tc>
        <w:tc>
          <w:tcPr>
            <w:tcW w:w="33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1.2</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Credicorp Loans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1.2.1   Loan evolution by business segment</w:t>
            </w:r>
          </w:p>
        </w:tc>
        <w:tc>
          <w:tcPr>
            <w:tcW w:w="33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1.2.2   Evolution of dollarization by segment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1.2.3   BCRP de-dollarization plan at BCP Stand-alone</w:t>
            </w:r>
          </w:p>
        </w:tc>
        <w:tc>
          <w:tcPr>
            <w:tcW w:w="33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1.2.4   Market share in loans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Funding Sources</w:t>
            </w:r>
          </w:p>
        </w:tc>
        <w:tc>
          <w:tcPr>
            <w:tcW w:w="33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2.1</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Funding Structure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2.1</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Deposits</w:t>
            </w:r>
          </w:p>
        </w:tc>
        <w:tc>
          <w:tcPr>
            <w:tcW w:w="3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2.2.1</w:t>
            </w: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Deposit dollarization</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2.2.2   Market share in Deposits</w:t>
            </w:r>
          </w:p>
        </w:tc>
        <w:tc>
          <w:tcPr>
            <w:tcW w:w="33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2.3</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funding sources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2.4</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Loan / Deposit (L/D)</w:t>
            </w:r>
          </w:p>
        </w:tc>
        <w:tc>
          <w:tcPr>
            <w:tcW w:w="33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2.5</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Funding Cost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2.6</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Mutual Funds</w:t>
            </w:r>
          </w:p>
        </w:tc>
        <w:tc>
          <w:tcPr>
            <w:tcW w:w="33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Portfolio quality and Provisions for loan losses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3.1</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Provisions for loan losses</w:t>
            </w:r>
          </w:p>
        </w:tc>
        <w:tc>
          <w:tcPr>
            <w:tcW w:w="33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3.2</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Portfolio Quality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3"/>
          </w:tcPr>
          <w:p>
            <w:pPr>
              <w:ind w:left="320"/>
              <w:spacing w:after="0"/>
              <w:rPr>
                <w:sz w:val="20"/>
                <w:szCs w:val="20"/>
                <w:color w:val="auto"/>
              </w:rPr>
            </w:pPr>
            <w:r>
              <w:rPr>
                <w:rFonts w:ascii="Arial" w:cs="Arial" w:eastAsia="Arial" w:hAnsi="Arial"/>
                <w:sz w:val="18"/>
                <w:szCs w:val="18"/>
                <w:color w:val="auto"/>
              </w:rPr>
              <w:t>3.2.1   Delinquency indicators by business line</w:t>
            </w:r>
          </w:p>
        </w:tc>
        <w:tc>
          <w:tcPr>
            <w:tcW w:w="33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Income (NII)</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4.1</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3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4.2</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4.3</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Interest Margin (NIM) and Risk-Adjusted NIM</w:t>
            </w:r>
          </w:p>
        </w:tc>
        <w:tc>
          <w:tcPr>
            <w:tcW w:w="33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Non-Financial Income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5.1</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Fee Income</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5.1.1</w:t>
            </w:r>
          </w:p>
        </w:tc>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subsidiary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w w:val="84"/>
              </w:rPr>
              <w:t>5.1.2</w:t>
            </w:r>
          </w:p>
        </w:tc>
        <w:tc>
          <w:tcPr>
            <w:tcW w:w="7420" w:type="dxa"/>
            <w:vAlign w:val="bottom"/>
          </w:tcPr>
          <w:p>
            <w:pPr>
              <w:ind w:left="220"/>
              <w:spacing w:after="0"/>
              <w:rPr>
                <w:sz w:val="20"/>
                <w:szCs w:val="20"/>
                <w:color w:val="auto"/>
              </w:rPr>
            </w:pPr>
            <w:r>
              <w:rPr>
                <w:rFonts w:ascii="Arial" w:cs="Arial" w:eastAsia="Arial" w:hAnsi="Arial"/>
                <w:sz w:val="18"/>
                <w:szCs w:val="18"/>
                <w:color w:val="auto"/>
              </w:rPr>
              <w:t>Banking Business</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Insurance Underwriting Result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6.1</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earned premiums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6.2</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claims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6.3</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Acquisition cost</w:t>
            </w:r>
          </w:p>
        </w:tc>
        <w:tc>
          <w:tcPr>
            <w:tcW w:w="3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 and Efficiency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8.</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Regulatory Capital</w:t>
            </w:r>
          </w:p>
        </w:tc>
        <w:tc>
          <w:tcPr>
            <w:tcW w:w="33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8.1</w:t>
            </w:r>
          </w:p>
        </w:tc>
        <w:tc>
          <w:tcPr>
            <w:tcW w:w="7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Regulatory Capital – BAP</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8.2</w:t>
            </w:r>
          </w:p>
        </w:tc>
        <w:tc>
          <w:tcPr>
            <w:tcW w:w="7720" w:type="dxa"/>
            <w:vAlign w:val="bottom"/>
            <w:gridSpan w:val="2"/>
          </w:tcPr>
          <w:p>
            <w:pPr>
              <w:ind w:left="220"/>
              <w:spacing w:after="0"/>
              <w:rPr>
                <w:sz w:val="20"/>
                <w:szCs w:val="20"/>
                <w:color w:val="auto"/>
              </w:rPr>
            </w:pPr>
            <w:r>
              <w:rPr>
                <w:rFonts w:ascii="Arial" w:cs="Arial" w:eastAsia="Arial" w:hAnsi="Arial"/>
                <w:sz w:val="18"/>
                <w:szCs w:val="18"/>
                <w:color w:val="auto"/>
              </w:rPr>
              <w:t>Regulatory Capital – BCP Stand-alone based on Peru GAAP</w:t>
            </w:r>
          </w:p>
        </w:tc>
        <w:tc>
          <w:tcPr>
            <w:tcW w:w="33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Banking business’s Distribution channels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720" w:type="dxa"/>
            <w:vAlign w:val="bottom"/>
            <w:gridSpan w:val="2"/>
          </w:tcPr>
          <w:p>
            <w:pPr>
              <w:ind w:left="20"/>
              <w:spacing w:after="0"/>
              <w:rPr>
                <w:sz w:val="20"/>
                <w:szCs w:val="20"/>
                <w:color w:val="auto"/>
              </w:rPr>
            </w:pPr>
            <w:r>
              <w:rPr>
                <w:rFonts w:ascii="Arial" w:cs="Arial" w:eastAsia="Arial" w:hAnsi="Arial"/>
                <w:sz w:val="18"/>
                <w:szCs w:val="18"/>
                <w:color w:val="auto"/>
              </w:rPr>
              <w:t>Economic Perspectives</w:t>
            </w:r>
          </w:p>
        </w:tc>
        <w:tc>
          <w:tcPr>
            <w:tcW w:w="33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Appendix</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11.1</w:t>
            </w:r>
          </w:p>
        </w:tc>
        <w:tc>
          <w:tcPr>
            <w:tcW w:w="7420" w:type="dxa"/>
            <w:vAlign w:val="bottom"/>
          </w:tcPr>
          <w:p>
            <w:pPr>
              <w:spacing w:after="0"/>
              <w:rPr>
                <w:sz w:val="20"/>
                <w:szCs w:val="20"/>
                <w:color w:val="auto"/>
              </w:rPr>
            </w:pPr>
            <w:r>
              <w:rPr>
                <w:rFonts w:ascii="Arial" w:cs="Arial" w:eastAsia="Arial" w:hAnsi="Arial"/>
                <w:sz w:val="18"/>
                <w:szCs w:val="18"/>
                <w:color w:val="auto"/>
              </w:rPr>
              <w:t>Credicorp</w:t>
            </w:r>
          </w:p>
        </w:tc>
        <w:tc>
          <w:tcPr>
            <w:tcW w:w="330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BCP Consolidated</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11.3</w:t>
            </w:r>
          </w:p>
        </w:tc>
        <w:tc>
          <w:tcPr>
            <w:tcW w:w="7420" w:type="dxa"/>
            <w:vAlign w:val="bottom"/>
          </w:tcPr>
          <w:p>
            <w:pPr>
              <w:spacing w:after="0"/>
              <w:rPr>
                <w:sz w:val="20"/>
                <w:szCs w:val="20"/>
                <w:color w:val="auto"/>
              </w:rPr>
            </w:pPr>
            <w:r>
              <w:rPr>
                <w:rFonts w:ascii="Arial" w:cs="Arial" w:eastAsia="Arial" w:hAnsi="Arial"/>
                <w:sz w:val="18"/>
                <w:szCs w:val="18"/>
                <w:color w:val="auto"/>
              </w:rPr>
              <w:t>Mibanco</w:t>
            </w:r>
          </w:p>
        </w:tc>
        <w:tc>
          <w:tcPr>
            <w:tcW w:w="3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BCP Bolivia</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11.5</w:t>
            </w:r>
          </w:p>
        </w:tc>
        <w:tc>
          <w:tcPr>
            <w:tcW w:w="7420" w:type="dxa"/>
            <w:vAlign w:val="bottom"/>
          </w:tcPr>
          <w:p>
            <w:pPr>
              <w:spacing w:after="0"/>
              <w:rPr>
                <w:sz w:val="20"/>
                <w:szCs w:val="20"/>
                <w:color w:val="auto"/>
              </w:rPr>
            </w:pPr>
            <w:r>
              <w:rPr>
                <w:rFonts w:ascii="Arial" w:cs="Arial" w:eastAsia="Arial" w:hAnsi="Arial"/>
                <w:sz w:val="18"/>
                <w:szCs w:val="18"/>
                <w:color w:val="auto"/>
              </w:rPr>
              <w:t>Credicorp Capital</w:t>
            </w:r>
          </w:p>
        </w:tc>
        <w:tc>
          <w:tcPr>
            <w:tcW w:w="3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11.6</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11.7</w:t>
            </w:r>
          </w:p>
        </w:tc>
        <w:tc>
          <w:tcPr>
            <w:tcW w:w="7420" w:type="dxa"/>
            <w:vAlign w:val="bottom"/>
          </w:tcPr>
          <w:p>
            <w:pPr>
              <w:spacing w:after="0"/>
              <w:rPr>
                <w:sz w:val="20"/>
                <w:szCs w:val="20"/>
                <w:color w:val="auto"/>
              </w:rPr>
            </w:pPr>
            <w:r>
              <w:rPr>
                <w:rFonts w:ascii="Arial" w:cs="Arial" w:eastAsia="Arial" w:hAnsi="Arial"/>
                <w:sz w:val="18"/>
                <w:szCs w:val="18"/>
                <w:color w:val="auto"/>
              </w:rPr>
              <w:t>Grupo Pacifico</w:t>
            </w:r>
          </w:p>
        </w:tc>
        <w:tc>
          <w:tcPr>
            <w:tcW w:w="33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11.8</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Prima AFP</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11.9</w:t>
            </w:r>
          </w:p>
        </w:tc>
        <w:tc>
          <w:tcPr>
            <w:tcW w:w="7420" w:type="dxa"/>
            <w:vAlign w:val="bottom"/>
          </w:tcPr>
          <w:p>
            <w:pPr>
              <w:spacing w:after="0"/>
              <w:rPr>
                <w:sz w:val="20"/>
                <w:szCs w:val="20"/>
                <w:color w:val="auto"/>
              </w:rPr>
            </w:pPr>
            <w:r>
              <w:rPr>
                <w:rFonts w:ascii="Arial" w:cs="Arial" w:eastAsia="Arial" w:hAnsi="Arial"/>
                <w:sz w:val="18"/>
                <w:szCs w:val="18"/>
                <w:color w:val="auto"/>
              </w:rPr>
              <w:t>Table of calculations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Credicorp (NYSE: BAP): Third Quarter Results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w w:val="94"/>
              </w:rPr>
              <w:t>% 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ind w:left="72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3Q16</w:t>
            </w:r>
          </w:p>
        </w:tc>
        <w:tc>
          <w:tcPr>
            <w:tcW w:w="22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b w:val="1"/>
                <w:bCs w:val="1"/>
                <w:color w:val="auto"/>
              </w:rPr>
              <w:t>2Q17</w:t>
            </w:r>
          </w:p>
        </w:tc>
        <w:tc>
          <w:tcPr>
            <w:tcW w:w="24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3Q17</w:t>
            </w:r>
          </w:p>
        </w:tc>
        <w:tc>
          <w:tcPr>
            <w:tcW w:w="24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Sep 17</w:t>
            </w:r>
          </w:p>
        </w:tc>
        <w:tc>
          <w:tcPr>
            <w:tcW w:w="14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16 / Sep 17</w:t>
            </w:r>
          </w:p>
        </w:tc>
        <w:tc>
          <w:tcPr>
            <w:tcW w:w="0" w:type="dxa"/>
            <w:vAlign w:val="bottom"/>
          </w:tcPr>
          <w:p>
            <w:pPr>
              <w:spacing w:after="0"/>
              <w:rPr>
                <w:sz w:val="1"/>
                <w:szCs w:val="1"/>
                <w:color w:val="auto"/>
              </w:rPr>
            </w:pPr>
          </w:p>
        </w:tc>
      </w:tr>
      <w:tr>
        <w:trPr>
          <w:trHeight w:val="20"/>
        </w:trPr>
        <w:tc>
          <w:tcPr>
            <w:tcW w:w="3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 *</w:t>
            </w:r>
          </w:p>
        </w:tc>
        <w:tc>
          <w:tcPr>
            <w:tcW w:w="10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1,996,152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1,972,705</w:t>
            </w:r>
          </w:p>
        </w:tc>
        <w:tc>
          <w:tcPr>
            <w:tcW w:w="24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2,032,423</w:t>
            </w:r>
          </w:p>
        </w:tc>
        <w:tc>
          <w:tcPr>
            <w:tcW w:w="24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5,838,256</w:t>
            </w:r>
          </w:p>
        </w:tc>
        <w:tc>
          <w:tcPr>
            <w:tcW w:w="2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6,021,215</w:t>
            </w:r>
          </w:p>
        </w:tc>
        <w:tc>
          <w:tcPr>
            <w:tcW w:w="140" w:type="dxa"/>
            <w:vAlign w:val="bottom"/>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(389,086)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(433,219)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(378,202)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(1,326,234)</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(1,347,915)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1,607,066</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1,539,486</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1,654,221</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7.5%</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4,512,022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4,673,300</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Non-financial income *</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999,344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1,053,960</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1,282,477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2,943,138</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3,376,969</w:t>
            </w:r>
          </w:p>
        </w:tc>
        <w:tc>
          <w:tcPr>
            <w:tcW w:w="14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136,700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126,445</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122,959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400,605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371,683</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(1,429,847)</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(1,453,187)</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(1,445,137)</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(4,188,745)</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(4,305,435)</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1,313,263</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1,266,704</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1,614,520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27.5%</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3,667,020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4,116,517</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(338,018)</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(324,771)</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(371,563)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(974,754)</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(1,022,002)</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975,245</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941,933</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1,242,957</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32.0%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2,692,266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3,094,515</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25,451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21,713</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24,656</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72,651</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66,420</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949,794</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920,220</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1,218,301</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32.4%</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28.3%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2,619,615</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3,028,095</w:t>
            </w:r>
          </w:p>
        </w:tc>
        <w:tc>
          <w:tcPr>
            <w:tcW w:w="1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Net income / share (S/)</w:t>
            </w:r>
          </w:p>
        </w:tc>
        <w:tc>
          <w:tcPr>
            <w:tcW w:w="740" w:type="dxa"/>
            <w:vAlign w:val="bottom"/>
          </w:tcPr>
          <w:p>
            <w:pPr>
              <w:jc w:val="right"/>
              <w:spacing w:after="0"/>
              <w:rPr>
                <w:sz w:val="20"/>
                <w:szCs w:val="20"/>
                <w:color w:val="auto"/>
              </w:rPr>
            </w:pPr>
            <w:r>
              <w:rPr>
                <w:rFonts w:ascii="Arial" w:cs="Arial" w:eastAsia="Arial" w:hAnsi="Arial"/>
                <w:sz w:val="14"/>
                <w:szCs w:val="14"/>
                <w:color w:val="auto"/>
              </w:rPr>
              <w:t>11.91</w:t>
            </w:r>
          </w:p>
        </w:tc>
        <w:tc>
          <w:tcPr>
            <w:tcW w:w="2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11.54</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15.27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32.4%</w:t>
            </w:r>
          </w:p>
        </w:tc>
        <w:tc>
          <w:tcPr>
            <w:tcW w:w="2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28.3%</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32.84</w:t>
            </w: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37.96</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3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Total loans</w:t>
            </w: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8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94,319,220</w:t>
            </w:r>
          </w:p>
        </w:tc>
        <w:tc>
          <w:tcPr>
            <w:tcW w:w="2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93,670,216</w:t>
            </w:r>
          </w:p>
        </w:tc>
        <w:tc>
          <w:tcPr>
            <w:tcW w:w="24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95,142,268</w:t>
            </w:r>
          </w:p>
        </w:tc>
        <w:tc>
          <w:tcPr>
            <w:tcW w:w="24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0.9%</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94,319,220</w:t>
            </w:r>
          </w:p>
        </w:tc>
        <w:tc>
          <w:tcPr>
            <w:tcW w:w="2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95,142,268</w:t>
            </w:r>
          </w:p>
        </w:tc>
        <w:tc>
          <w:tcPr>
            <w:tcW w:w="14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88,709,612</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92,039,132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92,893,915</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88,709,612</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92,893,915</w:t>
            </w:r>
          </w:p>
        </w:tc>
        <w:tc>
          <w:tcPr>
            <w:tcW w:w="14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equity</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19,116,945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20,802,017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21,964,556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w:t>
            </w:r>
          </w:p>
        </w:tc>
        <w:tc>
          <w:tcPr>
            <w:tcW w:w="2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19,116,945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21,964,556</w:t>
            </w:r>
          </w:p>
        </w:tc>
        <w:tc>
          <w:tcPr>
            <w:tcW w:w="14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5.26%</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5.34%</w:t>
            </w: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8 bps</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-13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5.35%</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5.35%</w:t>
            </w:r>
          </w:p>
        </w:tc>
        <w:tc>
          <w:tcPr>
            <w:tcW w:w="106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0 bps</w:t>
            </w: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Risk adjusted Net interest margin *</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4.11%</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4.34%</w:t>
            </w: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23 bps</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-6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4.15%</w:t>
            </w:r>
          </w:p>
        </w:tc>
        <w:tc>
          <w:tcPr>
            <w:tcW w:w="106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1 bps</w:t>
            </w: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Funding cost *</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2.07%</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2.12%</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w:t>
            </w: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 bps</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106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8 bps</w:t>
            </w: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460 bps</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210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106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-40 bps</w:t>
            </w: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ROAA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70 bps</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60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w:t>
            </w: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30 bps</w:t>
            </w:r>
          </w:p>
        </w:tc>
      </w:t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Delinquency ratio over 90 days</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 bps</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16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106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16 bps</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(1)</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2.79%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2.93%</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3.02%</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9 bps</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23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2.79%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3.02%</w:t>
            </w:r>
          </w:p>
        </w:tc>
        <w:tc>
          <w:tcPr>
            <w:tcW w:w="1060" w:type="dxa"/>
            <w:vAlign w:val="bottom"/>
            <w:gridSpan w:val="2"/>
          </w:tcPr>
          <w:p>
            <w:pPr>
              <w:jc w:val="right"/>
              <w:ind w:right="78"/>
              <w:spacing w:after="0"/>
              <w:rPr>
                <w:sz w:val="20"/>
                <w:szCs w:val="20"/>
                <w:color w:val="auto"/>
              </w:rPr>
            </w:pPr>
            <w:r>
              <w:rPr>
                <w:rFonts w:ascii="Arial" w:cs="Arial" w:eastAsia="Arial" w:hAnsi="Arial"/>
                <w:sz w:val="14"/>
                <w:szCs w:val="14"/>
                <w:color w:val="auto"/>
              </w:rPr>
              <w:t>23 bps</w:t>
            </w: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(2)</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4.03%</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11 bps</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39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4.03%</w:t>
            </w: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39 bps</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(3)</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1.65%</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1.85%</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1.59%</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-26 bps</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-6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1.87%</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1.89%</w:t>
            </w:r>
          </w:p>
        </w:tc>
        <w:tc>
          <w:tcPr>
            <w:tcW w:w="1060" w:type="dxa"/>
            <w:vAlign w:val="bottom"/>
            <w:gridSpan w:val="2"/>
          </w:tcPr>
          <w:p>
            <w:pPr>
              <w:jc w:val="right"/>
              <w:ind w:right="78"/>
              <w:spacing w:after="0"/>
              <w:rPr>
                <w:sz w:val="20"/>
                <w:szCs w:val="20"/>
                <w:color w:val="auto"/>
              </w:rPr>
            </w:pPr>
            <w:r>
              <w:rPr>
                <w:rFonts w:ascii="Arial" w:cs="Arial" w:eastAsia="Arial" w:hAnsi="Arial"/>
                <w:sz w:val="14"/>
                <w:szCs w:val="14"/>
                <w:color w:val="auto"/>
              </w:rPr>
              <w:t>2 bps</w:t>
            </w:r>
          </w:p>
        </w:tc>
      </w:tr>
      <w:tr>
        <w:trPr>
          <w:trHeight w:val="149"/>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155.4%</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157.3%</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153.8%</w:t>
            </w: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-350 bps</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-160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155.4%</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153.8%</w:t>
            </w:r>
          </w:p>
        </w:tc>
        <w:tc>
          <w:tcPr>
            <w:tcW w:w="106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-160 bps</w:t>
            </w: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Coverage of NPLs</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118.9%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117.7%</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115.2%</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-250 bps</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-370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118.9%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115.2%</w:t>
            </w:r>
          </w:p>
        </w:tc>
        <w:tc>
          <w:tcPr>
            <w:tcW w:w="1060" w:type="dxa"/>
            <w:vAlign w:val="bottom"/>
            <w:gridSpan w:val="2"/>
          </w:tcPr>
          <w:p>
            <w:pPr>
              <w:jc w:val="right"/>
              <w:ind w:right="78"/>
              <w:spacing w:after="0"/>
              <w:rPr>
                <w:sz w:val="20"/>
                <w:szCs w:val="20"/>
                <w:color w:val="auto"/>
              </w:rPr>
            </w:pPr>
            <w:r>
              <w:rPr>
                <w:rFonts w:ascii="Arial" w:cs="Arial" w:eastAsia="Arial" w:hAnsi="Arial"/>
                <w:sz w:val="14"/>
                <w:szCs w:val="14"/>
                <w:color w:val="auto"/>
              </w:rPr>
              <w:t>-370 bps</w:t>
            </w:r>
          </w:p>
        </w:tc>
      </w:tr>
      <w:tr>
        <w:trPr>
          <w:trHeight w:val="142"/>
        </w:trPr>
        <w:tc>
          <w:tcPr>
            <w:tcW w:w="3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efficiency</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(4) *</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43.9%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43.8%</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43.7%</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-10 bps</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-20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43.5%</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43.1%</w:t>
            </w:r>
          </w:p>
        </w:tc>
        <w:tc>
          <w:tcPr>
            <w:tcW w:w="1060" w:type="dxa"/>
            <w:vAlign w:val="bottom"/>
            <w:gridSpan w:val="2"/>
          </w:tcPr>
          <w:p>
            <w:pPr>
              <w:jc w:val="right"/>
              <w:ind w:right="78"/>
              <w:spacing w:after="0"/>
              <w:rPr>
                <w:sz w:val="20"/>
                <w:szCs w:val="20"/>
                <w:color w:val="auto"/>
              </w:rPr>
            </w:pPr>
            <w:r>
              <w:rPr>
                <w:rFonts w:ascii="Arial" w:cs="Arial" w:eastAsia="Arial" w:hAnsi="Arial"/>
                <w:sz w:val="14"/>
                <w:szCs w:val="14"/>
                <w:color w:val="auto"/>
              </w:rPr>
              <w:t>-40 bps</w:t>
            </w: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 / Total average assets</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3.62%</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 bps</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-7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w:t>
            </w: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20 bps</w:t>
            </w:r>
          </w:p>
        </w:tc>
      </w:tr>
      <w:tr>
        <w:trPr>
          <w:trHeight w:val="142"/>
        </w:trPr>
        <w:tc>
          <w:tcPr>
            <w:tcW w:w="3580" w:type="dxa"/>
            <w:vAlign w:val="bottom"/>
          </w:tcPr>
          <w:p>
            <w:pPr>
              <w:spacing w:after="0" w:line="142" w:lineRule="exact"/>
              <w:rPr>
                <w:sz w:val="20"/>
                <w:szCs w:val="20"/>
                <w:color w:val="auto"/>
              </w:rPr>
            </w:pPr>
            <w:r>
              <w:rPr>
                <w:rFonts w:ascii="Arial" w:cs="Arial" w:eastAsia="Arial" w:hAnsi="Arial"/>
                <w:sz w:val="14"/>
                <w:szCs w:val="14"/>
                <w:b w:val="1"/>
                <w:bCs w:val="1"/>
                <w:color w:val="auto"/>
              </w:rPr>
              <w:t>Insurance ratios</w:t>
            </w: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(5) (6)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95.8%</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-210 bps</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780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89.1%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96.7%</w:t>
            </w: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760 bps</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(6)</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56.9%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59.1%</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57.8%</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-130 bps</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90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57.3%</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47.9%</w:t>
            </w:r>
          </w:p>
        </w:tc>
        <w:tc>
          <w:tcPr>
            <w:tcW w:w="1060" w:type="dxa"/>
            <w:vAlign w:val="bottom"/>
            <w:gridSpan w:val="2"/>
          </w:tcPr>
          <w:p>
            <w:pPr>
              <w:jc w:val="right"/>
              <w:ind w:right="78"/>
              <w:spacing w:after="0"/>
              <w:rPr>
                <w:sz w:val="20"/>
                <w:szCs w:val="20"/>
                <w:color w:val="auto"/>
              </w:rPr>
            </w:pPr>
            <w:r>
              <w:rPr>
                <w:rFonts w:ascii="Arial" w:cs="Arial" w:eastAsia="Arial" w:hAnsi="Arial"/>
                <w:sz w:val="14"/>
                <w:szCs w:val="14"/>
                <w:color w:val="auto"/>
              </w:rPr>
              <w:t>-940 bps</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10.7%</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20 bps</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-550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10.6%</w:t>
            </w: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-570 bps</w:t>
            </w:r>
          </w:p>
        </w:tc>
      </w:tr>
      <w:tr>
        <w:trPr>
          <w:trHeight w:val="169"/>
        </w:trPr>
        <w:tc>
          <w:tcPr>
            <w:tcW w:w="3580" w:type="dxa"/>
            <w:vAlign w:val="bottom"/>
          </w:tcPr>
          <w:p>
            <w:pPr>
              <w:spacing w:after="0" w:line="169"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9"/>
                <w:szCs w:val="19"/>
                <w:b w:val="1"/>
                <w:bCs w:val="1"/>
                <w:color w:val="auto"/>
                <w:vertAlign w:val="superscript"/>
              </w:rPr>
              <w:t>(7)</w:t>
            </w: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Tier 1 Capital (S/ Million) </w:t>
            </w:r>
            <w:r>
              <w:rPr>
                <w:rFonts w:ascii="Arial" w:cs="Arial" w:eastAsia="Arial" w:hAnsi="Arial"/>
                <w:sz w:val="21"/>
                <w:szCs w:val="21"/>
                <w:color w:val="auto"/>
                <w:vertAlign w:val="superscript"/>
              </w:rPr>
              <w:t>(8)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10,772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11,807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11,811</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10,772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(9)</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10.64%</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11.54%</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11.93%</w:t>
            </w: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39 bps</w:t>
            </w:r>
          </w:p>
        </w:tc>
        <w:tc>
          <w:tcPr>
            <w:tcW w:w="940" w:type="dxa"/>
            <w:vAlign w:val="bottom"/>
            <w:gridSpan w:val="2"/>
          </w:tcPr>
          <w:p>
            <w:pPr>
              <w:jc w:val="right"/>
              <w:ind w:right="188"/>
              <w:spacing w:after="0"/>
              <w:rPr>
                <w:sz w:val="20"/>
                <w:szCs w:val="20"/>
                <w:color w:val="auto"/>
              </w:rPr>
            </w:pPr>
            <w:r>
              <w:rPr>
                <w:rFonts w:ascii="Arial" w:cs="Arial" w:eastAsia="Arial" w:hAnsi="Arial"/>
                <w:sz w:val="14"/>
                <w:szCs w:val="14"/>
                <w:color w:val="auto"/>
              </w:rPr>
              <w:t>129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10.64%</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11.93%</w:t>
            </w:r>
          </w:p>
        </w:tc>
        <w:tc>
          <w:tcPr>
            <w:tcW w:w="1060" w:type="dxa"/>
            <w:vAlign w:val="bottom"/>
            <w:gridSpan w:val="2"/>
          </w:tcPr>
          <w:p>
            <w:pPr>
              <w:jc w:val="right"/>
              <w:ind w:right="78"/>
              <w:spacing w:after="0"/>
              <w:rPr>
                <w:sz w:val="20"/>
                <w:szCs w:val="20"/>
                <w:color w:val="auto"/>
              </w:rPr>
            </w:pPr>
            <w:r>
              <w:rPr>
                <w:rFonts w:ascii="Arial" w:cs="Arial" w:eastAsia="Arial" w:hAnsi="Arial"/>
                <w:sz w:val="14"/>
                <w:szCs w:val="14"/>
                <w:color w:val="auto"/>
              </w:rPr>
              <w:t>129 bps</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BIS ratio </w:t>
            </w:r>
            <w:r>
              <w:rPr>
                <w:rFonts w:ascii="Arial" w:cs="Arial" w:eastAsia="Arial" w:hAnsi="Arial"/>
                <w:sz w:val="23"/>
                <w:szCs w:val="23"/>
                <w:color w:val="auto"/>
                <w:vertAlign w:val="superscript"/>
              </w:rPr>
              <w:t>(10)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16.71%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16.35%</w:t>
            </w: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-36 bps</w:t>
            </w:r>
          </w:p>
        </w:tc>
        <w:tc>
          <w:tcPr>
            <w:tcW w:w="9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79 bps</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16.35%</w:t>
            </w:r>
          </w:p>
        </w:tc>
        <w:tc>
          <w:tcPr>
            <w:tcW w:w="106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79 bps</w:t>
            </w:r>
          </w:p>
        </w:tc>
      </w:tr>
      <w:tr>
        <w:trPr>
          <w:trHeight w:val="142"/>
        </w:trPr>
        <w:tc>
          <w:tcPr>
            <w:tcW w:w="35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33,115</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33,343</w:t>
            </w:r>
          </w:p>
        </w:tc>
        <w:tc>
          <w:tcPr>
            <w:tcW w:w="2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33,467</w:t>
            </w: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4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260" w:type="dxa"/>
            <w:vAlign w:val="bottom"/>
            <w:tcBorders>
              <w:bottom w:val="single" w:sz="8" w:color="CCEEFF"/>
            </w:tcBorders>
          </w:tcPr>
          <w:p>
            <w:pPr>
              <w:jc w:val="right"/>
              <w:ind w:right="68"/>
              <w:spacing w:after="0" w:line="142" w:lineRule="exact"/>
              <w:rPr>
                <w:sz w:val="20"/>
                <w:szCs w:val="20"/>
                <w:color w:val="auto"/>
              </w:rPr>
            </w:pPr>
            <w:r>
              <w:rPr>
                <w:rFonts w:ascii="Arial" w:cs="Arial" w:eastAsia="Arial" w:hAnsi="Arial"/>
                <w:sz w:val="14"/>
                <w:szCs w:val="14"/>
                <w:color w:val="auto"/>
                <w:w w:val="79"/>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33,115</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33,467</w:t>
            </w:r>
          </w:p>
        </w:tc>
        <w:tc>
          <w:tcPr>
            <w:tcW w:w="2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w w:val="74"/>
              </w:rPr>
              <w:t>%</w:t>
            </w:r>
          </w:p>
        </w:tc>
      </w:tr>
      <w:tr>
        <w:trPr>
          <w:trHeight w:val="142"/>
        </w:trPr>
        <w:tc>
          <w:tcPr>
            <w:tcW w:w="35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Share Information</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Outstanding Shares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94,382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Floating Shares </w:t>
            </w:r>
            <w:r>
              <w:rPr>
                <w:rFonts w:ascii="Arial" w:cs="Arial" w:eastAsia="Arial" w:hAnsi="Arial"/>
                <w:sz w:val="21"/>
                <w:szCs w:val="21"/>
                <w:color w:val="auto"/>
                <w:vertAlign w:val="superscript"/>
              </w:rPr>
              <w:t>(11)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79,761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79,761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Treasury Shares</w:t>
            </w:r>
          </w:p>
        </w:tc>
        <w:tc>
          <w:tcPr>
            <w:tcW w:w="740" w:type="dxa"/>
            <w:vAlign w:val="bottom"/>
          </w:tcPr>
          <w:p>
            <w:pPr>
              <w:jc w:val="right"/>
              <w:spacing w:after="0"/>
              <w:rPr>
                <w:sz w:val="20"/>
                <w:szCs w:val="20"/>
                <w:color w:val="auto"/>
              </w:rPr>
            </w:pPr>
            <w:r>
              <w:rPr>
                <w:rFonts w:ascii="Arial" w:cs="Arial" w:eastAsia="Arial" w:hAnsi="Arial"/>
                <w:sz w:val="14"/>
                <w:szCs w:val="14"/>
                <w:color w:val="auto"/>
              </w:rPr>
              <w:t>14,621</w:t>
            </w:r>
          </w:p>
        </w:tc>
        <w:tc>
          <w:tcPr>
            <w:tcW w:w="22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14,621</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14,621</w:t>
            </w: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0.0%</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0.0%</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14,621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3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8"/>
        <w:spacing w:after="0" w:line="258"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account or ratio has been modified retroactively, as a result of the improvement in the presentation of Credicorp's accounting. This improvement allowed to show the net gain in derivatives and the result by difference in exchange"</w:t>
      </w:r>
    </w:p>
    <w:p>
      <w:pPr>
        <w:spacing w:after="0" w:line="1" w:lineRule="exact"/>
        <w:rPr>
          <w:rFonts w:ascii="Arial" w:cs="Arial" w:eastAsia="Arial" w:hAnsi="Arial"/>
          <w:sz w:val="18"/>
          <w:szCs w:val="18"/>
          <w:color w:val="auto"/>
        </w:rPr>
      </w:pPr>
    </w:p>
    <w:p>
      <w:pPr>
        <w:spacing w:after="0" w:line="250" w:lineRule="auto"/>
        <w:rPr>
          <w:rFonts w:ascii="Arial" w:cs="Arial" w:eastAsia="Arial" w:hAnsi="Arial"/>
          <w:sz w:val="18"/>
          <w:szCs w:val="18"/>
          <w:color w:val="auto"/>
        </w:rPr>
      </w:pPr>
      <w:r>
        <w:rPr>
          <w:rFonts w:ascii="Arial" w:cs="Arial" w:eastAsia="Arial" w:hAnsi="Arial"/>
          <w:sz w:val="18"/>
          <w:szCs w:val="18"/>
          <w:color w:val="auto"/>
        </w:rPr>
        <w:t>(1) Internal overdue loans: includes overdue loans and loans under legal collection, according to our internal policy for overdue loans. Internal Overdue Ratio: Internal Overdue Loans / Total Loans</w:t>
      </w:r>
    </w:p>
    <w:p>
      <w:pPr>
        <w:spacing w:after="0"/>
        <w:rPr>
          <w:rFonts w:ascii="Arial" w:cs="Arial" w:eastAsia="Arial" w:hAnsi="Arial"/>
          <w:sz w:val="18"/>
          <w:szCs w:val="18"/>
          <w:color w:val="auto"/>
        </w:rPr>
      </w:pPr>
      <w:r>
        <w:rPr>
          <w:rFonts w:ascii="Arial" w:cs="Arial" w:eastAsia="Arial" w:hAnsi="Arial"/>
          <w:sz w:val="18"/>
          <w:szCs w:val="18"/>
          <w:color w:val="auto"/>
        </w:rPr>
        <w:t>(2) Non-performing loans (NPL): Internal overdue loans + Refinanced loans. NPL ratio: NPLs / Total loans.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 Cost of risk: Annualized provision for loan losses / Total loans.</w:t>
      </w:r>
    </w:p>
    <w:p>
      <w:pPr>
        <w:spacing w:after="0" w:line="9" w:lineRule="exact"/>
        <w:rPr>
          <w:rFonts w:ascii="Arial" w:cs="Arial" w:eastAsia="Arial" w:hAnsi="Arial"/>
          <w:sz w:val="18"/>
          <w:szCs w:val="18"/>
          <w:color w:val="auto"/>
        </w:rPr>
      </w:pPr>
    </w:p>
    <w:p>
      <w:pPr>
        <w:ind w:right="140"/>
        <w:spacing w:after="0" w:line="250" w:lineRule="auto"/>
        <w:rPr>
          <w:rFonts w:ascii="Arial" w:cs="Arial" w:eastAsia="Arial" w:hAnsi="Arial"/>
          <w:sz w:val="18"/>
          <w:szCs w:val="18"/>
          <w:color w:val="auto"/>
        </w:rPr>
      </w:pPr>
      <w:r>
        <w:rPr>
          <w:rFonts w:ascii="Arial" w:cs="Arial" w:eastAsia="Arial" w:hAnsi="Arial"/>
          <w:sz w:val="18"/>
          <w:szCs w:val="18"/>
          <w:color w:val="auto"/>
        </w:rPr>
        <w:t>(4) Calculation has been adjusted, for more detail see Appendix 11.9. Efficiency ratio = [Total Expenses + Acquisition Cost - Other expenses] / [Net Interest Income + Fee Income + Net Gain on Foreign Exchange Transactions + Net Gain from Subsidiaries + Net Premiums Earned]</w:t>
      </w:r>
    </w:p>
    <w:p>
      <w:pPr>
        <w:spacing w:after="0"/>
        <w:rPr>
          <w:rFonts w:ascii="Arial" w:cs="Arial" w:eastAsia="Arial" w:hAnsi="Arial"/>
          <w:sz w:val="18"/>
          <w:szCs w:val="18"/>
          <w:color w:val="auto"/>
        </w:rPr>
      </w:pPr>
      <w:r>
        <w:rPr>
          <w:rFonts w:ascii="Arial" w:cs="Arial" w:eastAsia="Arial" w:hAnsi="Arial"/>
          <w:sz w:val="16"/>
          <w:szCs w:val="16"/>
          <w:color w:val="auto"/>
        </w:rPr>
        <w:t>(5) Combined ratio= (Net claims + General expenses + Fees + Underwriting expenses) / Net earned premiums. Does not include Life insurance business.</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 Considers Grupo Pacifico's figures before eliminations for consolidation to Credicorp.</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 All Capital ratios are for BCP Stand-slone and based on Peru GAAP</w:t>
      </w:r>
    </w:p>
    <w:p>
      <w:pPr>
        <w:spacing w:after="0" w:line="9" w:lineRule="exact"/>
        <w:rPr>
          <w:rFonts w:ascii="Arial" w:cs="Arial" w:eastAsia="Arial" w:hAnsi="Arial"/>
          <w:sz w:val="18"/>
          <w:szCs w:val="18"/>
          <w:color w:val="auto"/>
        </w:rPr>
      </w:pPr>
    </w:p>
    <w:p>
      <w:pPr>
        <w:ind w:right="400"/>
        <w:spacing w:after="0" w:line="265" w:lineRule="auto"/>
        <w:rPr>
          <w:rFonts w:ascii="Arial" w:cs="Arial" w:eastAsia="Arial" w:hAnsi="Arial"/>
          <w:sz w:val="18"/>
          <w:szCs w:val="18"/>
          <w:color w:val="auto"/>
        </w:rPr>
      </w:pPr>
      <w:r>
        <w:rPr>
          <w:rFonts w:ascii="Arial" w:cs="Arial" w:eastAsia="Arial" w:hAnsi="Arial"/>
          <w:sz w:val="17"/>
          <w:szCs w:val="17"/>
          <w:color w:val="auto"/>
        </w:rPr>
        <w:t>(8) 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(9) Common Equity Tier I = Capital + Reserves – 100% of applicable deductions (investment in subsidiaries, goodwill, intangibles and net deferred taxes that rely on future profitability) + retained earnings + unrealized gains.</w:t>
      </w:r>
    </w:p>
    <w:p>
      <w:pPr>
        <w:spacing w:after="0"/>
        <w:rPr>
          <w:rFonts w:ascii="Arial" w:cs="Arial" w:eastAsia="Arial" w:hAnsi="Arial"/>
          <w:sz w:val="18"/>
          <w:szCs w:val="18"/>
          <w:color w:val="auto"/>
        </w:rPr>
      </w:pPr>
      <w:r>
        <w:rPr>
          <w:rFonts w:ascii="Arial" w:cs="Arial" w:eastAsia="Arial" w:hAnsi="Arial"/>
          <w:sz w:val="18"/>
          <w:szCs w:val="18"/>
          <w:color w:val="auto"/>
        </w:rPr>
        <w:t>(10) Regulatory Capital / Risk-weighted assets (legal minimum = 10% since July 2011)</w:t>
      </w:r>
    </w:p>
    <w:p>
      <w:pPr>
        <w:spacing w:after="0" w:line="9" w:lineRule="exact"/>
        <w:rPr>
          <w:rFonts w:ascii="Arial" w:cs="Arial" w:eastAsia="Arial" w:hAnsi="Arial"/>
          <w:sz w:val="18"/>
          <w:szCs w:val="18"/>
          <w:color w:val="auto"/>
        </w:rPr>
      </w:pPr>
    </w:p>
    <w:p>
      <w:pPr>
        <w:ind w:right="260"/>
        <w:spacing w:after="0" w:line="323" w:lineRule="auto"/>
        <w:rPr>
          <w:rFonts w:ascii="Arial" w:cs="Arial" w:eastAsia="Arial" w:hAnsi="Arial"/>
          <w:sz w:val="18"/>
          <w:szCs w:val="18"/>
          <w:color w:val="auto"/>
        </w:rPr>
      </w:pPr>
      <w:r>
        <w:rPr>
          <w:rFonts w:ascii="Arial" w:cs="Arial" w:eastAsia="Arial" w:hAnsi="Arial"/>
          <w:sz w:val="16"/>
          <w:szCs w:val="16"/>
          <w:color w:val="auto"/>
        </w:rPr>
        <w:t>(11) It includes common shares directly or indirectly owned by Dionisio Romero Paoletti (Chairman of the Board) and his family or companies owned or controlled by them. As of February 8, 2017, Romero family owned 13,243,553 common shares and as of February 8, 2017, they owned 13,137,638 shares.</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Credicorp and subsidiaries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ind w:left="66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tcPr>
          <w:p>
            <w:pPr>
              <w:ind w:left="720"/>
              <w:spacing w:after="0"/>
              <w:rPr>
                <w:sz w:val="20"/>
                <w:szCs w:val="20"/>
                <w:color w:val="auto"/>
              </w:rPr>
            </w:pPr>
            <w:r>
              <w:rPr>
                <w:rFonts w:ascii="Arial" w:cs="Arial" w:eastAsia="Arial" w:hAnsi="Arial"/>
                <w:sz w:val="18"/>
                <w:szCs w:val="18"/>
                <w:b w:val="1"/>
                <w:bCs w:val="1"/>
                <w:color w:val="auto"/>
                <w:w w:val="99"/>
              </w:rPr>
              <w:t>YTD</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2Q17</w:t>
            </w:r>
          </w:p>
        </w:tc>
        <w:tc>
          <w:tcPr>
            <w:tcW w:w="2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3Q17</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Sep 16</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Sep 17</w:t>
            </w:r>
          </w:p>
        </w:tc>
        <w:tc>
          <w:tcPr>
            <w:tcW w:w="1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17 / Sep 16</w:t>
            </w:r>
          </w:p>
        </w:tc>
        <w:tc>
          <w:tcPr>
            <w:tcW w:w="180" w:type="dxa"/>
            <w:vAlign w:val="bottom"/>
            <w:tcBorders>
              <w:bottom w:val="single" w:sz="8" w:color="CCEEFF"/>
            </w:tcBorders>
          </w:tcPr>
          <w:p>
            <w:pPr>
              <w:spacing w:after="0"/>
              <w:rPr>
                <w:sz w:val="20"/>
                <w:szCs w:val="20"/>
                <w:color w:val="auto"/>
              </w:rPr>
            </w:pPr>
          </w:p>
        </w:tc>
      </w:tr>
      <w:tr>
        <w:trPr>
          <w:trHeight w:val="250"/>
        </w:trPr>
        <w:tc>
          <w:tcPr>
            <w:tcW w:w="28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740,240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721,572</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789,854</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1,967,746</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2,203,589</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294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83,539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85,429</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113,058</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22"/>
                <w:szCs w:val="22"/>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35.3%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221,206</w:t>
            </w:r>
          </w:p>
        </w:tc>
        <w:tc>
          <w:tcPr>
            <w:tcW w:w="8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263,727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26,670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10,371</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-61.1%</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62,169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29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87,196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77,791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82,591</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22"/>
                <w:szCs w:val="22"/>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-5.3%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237,925</w:t>
            </w:r>
          </w:p>
        </w:tc>
        <w:tc>
          <w:tcPr>
            <w:tcW w:w="8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240,572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41,840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38,545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29,401</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121,455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109,657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19,179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26,486</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14,288</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-46.1%</w:t>
            </w:r>
          </w:p>
        </w:tc>
        <w:tc>
          <w:tcPr>
            <w:tcW w:w="260" w:type="dxa"/>
            <w:vAlign w:val="bottom"/>
          </w:tcPr>
          <w:p>
            <w:pPr>
              <w:spacing w:after="0"/>
              <w:rPr>
                <w:sz w:val="18"/>
                <w:szCs w:val="18"/>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rPr>
              <w:t>-25.5%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62,354</w:t>
            </w: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55,288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57,220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43,344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42,778</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100,764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126,442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70"/>
        </w:trPr>
        <w:tc>
          <w:tcPr>
            <w:tcW w:w="29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(16,480)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(14,188)</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249,018</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-1855.1%</w:t>
            </w:r>
          </w:p>
        </w:tc>
        <w:tc>
          <w:tcPr>
            <w:tcW w:w="260" w:type="dxa"/>
            <w:vAlign w:val="bottom"/>
          </w:tcPr>
          <w:p>
            <w:pPr>
              <w:spacing w:after="0"/>
              <w:rPr>
                <w:sz w:val="23"/>
                <w:szCs w:val="23"/>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-1611.0%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67,202</w:t>
            </w:r>
          </w:p>
        </w:tc>
        <w:tc>
          <w:tcPr>
            <w:tcW w:w="8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235,912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-251.0%</w:t>
            </w:r>
          </w:p>
        </w:tc>
      </w:tr>
      <w:tr>
        <w:trPr>
          <w:trHeight w:val="210"/>
        </w:trPr>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Credicorp</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949,794</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920,220</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1,218,301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2,619,615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3,028,095</w:t>
            </w: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95.36% of Mibanco (directly and indirectly).</w:t>
      </w:r>
    </w:p>
    <w:p>
      <w:pPr>
        <w:spacing w:after="0" w:line="9" w:lineRule="exact"/>
        <w:rPr>
          <w:rFonts w:ascii="Arial" w:cs="Arial" w:eastAsia="Arial" w:hAnsi="Arial"/>
          <w:sz w:val="18"/>
          <w:szCs w:val="18"/>
          <w:color w:val="auto"/>
        </w:rPr>
      </w:pPr>
    </w:p>
    <w:p>
      <w:pPr>
        <w:ind w:right="54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before minority interest of Grupo Pacifico because Credicorp owns 98.79% of Grupo Pacifico (directly and indirectly).</w:t>
      </w:r>
    </w:p>
    <w:p>
      <w:pPr>
        <w:ind w:right="80" w:firstLine="8"/>
        <w:spacing w:after="0" w:line="261"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ind w:left="740"/>
              <w:spacing w:after="0"/>
              <w:rPr>
                <w:sz w:val="20"/>
                <w:szCs w:val="20"/>
                <w:color w:val="auto"/>
              </w:rPr>
            </w:pPr>
            <w:r>
              <w:rPr>
                <w:rFonts w:ascii="Arial" w:cs="Arial" w:eastAsia="Arial" w:hAnsi="Arial"/>
                <w:sz w:val="18"/>
                <w:szCs w:val="18"/>
                <w:b w:val="1"/>
                <w:bCs w:val="1"/>
                <w:color w:val="auto"/>
              </w:rPr>
              <w:t>YTD</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840" w:type="dxa"/>
            <w:vAlign w:val="bottom"/>
            <w:tcBorders>
              <w:bottom w:val="single" w:sz="8" w:color="auto"/>
            </w:tcBorders>
          </w:tcPr>
          <w:p>
            <w:pPr>
              <w:ind w:left="1600"/>
              <w:spacing w:after="0"/>
              <w:rPr>
                <w:sz w:val="20"/>
                <w:szCs w:val="20"/>
                <w:color w:val="auto"/>
              </w:rPr>
            </w:pPr>
            <w:r>
              <w:rPr>
                <w:rFonts w:ascii="Arial" w:cs="Arial" w:eastAsia="Arial" w:hAnsi="Arial"/>
                <w:sz w:val="18"/>
                <w:szCs w:val="18"/>
                <w:b w:val="1"/>
                <w:bCs w:val="1"/>
                <w:color w:val="auto"/>
              </w:rPr>
              <w:t>ROAE *</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3Q16</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2Q17</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3Q17</w:t>
            </w: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Sep 16</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Sep 17</w:t>
            </w:r>
          </w:p>
        </w:tc>
        <w:tc>
          <w:tcPr>
            <w:tcW w:w="180" w:type="dxa"/>
            <w:vAlign w:val="bottom"/>
            <w:tcBorders>
              <w:bottom w:val="single" w:sz="8" w:color="CCEEFF"/>
            </w:tcBorders>
          </w:tcPr>
          <w:p>
            <w:pPr>
              <w:spacing w:after="0"/>
              <w:rPr>
                <w:sz w:val="20"/>
                <w:szCs w:val="20"/>
                <w:color w:val="auto"/>
              </w:rPr>
            </w:pPr>
          </w:p>
        </w:tc>
      </w:tr>
      <w:tr>
        <w:trPr>
          <w:trHeight w:val="250"/>
        </w:trPr>
        <w:tc>
          <w:tcPr>
            <w:tcW w:w="384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Banco de Crédito BCP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23.5%</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21.5%</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57"/>
        </w:trPr>
        <w:tc>
          <w:tcPr>
            <w:tcW w:w="392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23.6%</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24.3%</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30.0%</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13.8%</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17.9%</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57"/>
        </w:trPr>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15.0%</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13.9%</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13.1%</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30.7%</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30.2%</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57"/>
        </w:trPr>
        <w:tc>
          <w:tcPr>
            <w:tcW w:w="39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Credicorp Capital </w:t>
            </w:r>
            <w:r>
              <w:rPr>
                <w:rFonts w:ascii="Arial" w:cs="Arial" w:eastAsia="Arial" w:hAnsi="Arial"/>
                <w:sz w:val="29"/>
                <w:szCs w:val="29"/>
                <w:color w:val="auto"/>
                <w:vertAlign w:val="superscript"/>
              </w:rPr>
              <w:t>(4)</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10.8%</w:t>
            </w: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13.4%</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7.2%</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27.9%</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22.4%</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Credicorp</w:t>
            </w: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w w:val="79"/>
              </w:rPr>
              <w:t>20.7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ind w:left="460"/>
              <w:spacing w:after="0"/>
              <w:rPr>
                <w:sz w:val="20"/>
                <w:szCs w:val="20"/>
                <w:color w:val="auto"/>
              </w:rPr>
            </w:pPr>
            <w:r>
              <w:rPr>
                <w:rFonts w:ascii="Arial" w:cs="Arial" w:eastAsia="Arial" w:hAnsi="Arial"/>
                <w:sz w:val="18"/>
                <w:szCs w:val="18"/>
                <w:b w:val="1"/>
                <w:bCs w:val="1"/>
                <w:color w:val="auto"/>
                <w:w w:val="85"/>
              </w:rPr>
              <w:t>18.2</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w w:val="85"/>
              </w:rPr>
              <w:t>19.8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Banco de Crédito BCP includes BCP Stand-alone and Mibanco.</w:t>
      </w:r>
    </w:p>
    <w:p>
      <w:pPr>
        <w:spacing w:after="0" w:line="23" w:lineRule="exact"/>
        <w:rPr>
          <w:rFonts w:ascii="Arial" w:cs="Arial" w:eastAsia="Arial" w:hAnsi="Arial"/>
          <w:sz w:val="18"/>
          <w:szCs w:val="18"/>
          <w:color w:val="auto"/>
        </w:rPr>
      </w:pPr>
    </w:p>
    <w:p>
      <w:pPr>
        <w:ind w:firstLine="8"/>
        <w:spacing w:after="0" w:line="250"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21.4% in 3Q16, 22.1% in 2Q17 and 27.4% in 3Q17. YTD ROAE incluiding goodwill was 19.7% as of Sep 16 and 20.6% as of Sep 17.</w:t>
      </w:r>
    </w:p>
    <w:p>
      <w:pPr>
        <w:jc w:val="both"/>
        <w:ind w:firstLine="8"/>
        <w:spacing w:after="0" w:line="250" w:lineRule="auto"/>
        <w:tabs>
          <w:tab w:leader="none" w:pos="267" w:val="left"/>
        </w:tabs>
        <w:numPr>
          <w:ilvl w:val="0"/>
          <w:numId w:val="4"/>
        </w:numPr>
        <w:rPr>
          <w:rFonts w:ascii="Arial" w:cs="Arial" w:eastAsia="Arial" w:hAnsi="Arial"/>
          <w:sz w:val="18"/>
          <w:szCs w:val="18"/>
          <w:color w:val="auto"/>
        </w:rPr>
      </w:pPr>
      <w:r>
        <w:rPr>
          <w:rFonts w:ascii="Arial" w:cs="Arial" w:eastAsia="Arial" w:hAnsi="Arial"/>
          <w:sz w:val="18"/>
          <w:szCs w:val="18"/>
          <w:color w:val="auto"/>
        </w:rPr>
        <w:t>Figures include unrealized gains or losses that are considered in Pacifico’s Net Equity from the investment portfolio of Pacifico Vida. ROAE excluding such unrealized gains was 19.1% in 3Q16, 17.4% in 2Q17 and 17.1% in 3Q17. YTD ROAE excluding such unrealized gains was 18.5% as of Sep 16 and 16.1% as of Sep 17.</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the fees paid by Credicorp Ltd related to the sale of BCI was 8.7% in 3Q17 and YTD it was 9.7% as of Sep 17.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Within IEA, loans expanded for the second consecutive quarter, although at a low rate. This was mainly attributable to growth at the Retail Banking segments and Mibanco, which are higher-margin businesses. In this context, the investment portfolio increased its share in total IEA, which reflects the investment strategy to maximize returns in a scenario of low loan growth.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As of</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16</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17</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17</w:t>
            </w: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23,394,407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25,361,757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22,763,956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207,518</w:t>
            </w:r>
          </w:p>
        </w:tc>
        <w:tc>
          <w:tcPr>
            <w:tcW w:w="1000" w:type="dxa"/>
            <w:vAlign w:val="bottom"/>
          </w:tcPr>
          <w:p>
            <w:pPr>
              <w:jc w:val="right"/>
              <w:spacing w:after="0"/>
              <w:rPr>
                <w:sz w:val="20"/>
                <w:szCs w:val="20"/>
                <w:color w:val="auto"/>
              </w:rPr>
            </w:pPr>
            <w:r>
              <w:rPr>
                <w:rFonts w:ascii="Arial" w:cs="Arial" w:eastAsia="Arial" w:hAnsi="Arial"/>
                <w:sz w:val="18"/>
                <w:szCs w:val="18"/>
                <w:color w:val="auto"/>
              </w:rPr>
              <w:t>227,212</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59,038</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-74.0%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-71.6%</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4,609,582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4,686,995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5,010,358</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19,949,532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22,016,939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26,380,715</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4,243,603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5,086,185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4,267,588</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70"/>
        </w:trPr>
        <w:tc>
          <w:tcPr>
            <w:tcW w:w="37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94,319,220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93,670,218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95,142,268</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10"/>
        </w:trPr>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146,723,862</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151,049,306</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153,623,923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Quarter-end balance</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loans, the group’s most profitable asset, maintained a stable share of IEA (61.9% in 3Q17 vs. 62.0% in 2Q17).</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Loans posted nominal expansion QoQ of +1.6% and a currency-adjusted growth rate of +1.4% given that the Sol depreciated only 0.37% against the US Dollar this quarter while the dollarization level was situated at 41.3%. These levels of expansion, although low, reflect a gradual recovery in loan growth for the second consecutive quarter, which posted an upward trend after having registered a drop in 1Q17. Loan expansion at Credicorp is due mainly to:</w:t>
      </w:r>
    </w:p>
    <w:p>
      <w:pPr>
        <w:spacing w:after="0" w:line="147" w:lineRule="exact"/>
        <w:rPr>
          <w:sz w:val="20"/>
          <w:szCs w:val="20"/>
          <w:color w:val="auto"/>
        </w:rPr>
      </w:pPr>
    </w:p>
    <w:p>
      <w:pPr>
        <w:ind w:left="880" w:hanging="49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increase in loans in the Middle-Market Banking, SME-Pyme and SME-Business at BCP Stand-alone;</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+5.9% expansion QoQ in loans at BCP Bolivia;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Growth of +1.8% QoQ at Mibanco.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aforementioned was partially offset by a decrease in Corporate Banking loans at BCP Stand-alone, which was attributable to aggressive competition in this segment.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YoY evolution reflected slight growth in loans, which increased +0.9%. This fell below the level registered last quarter (+2.2%). The currency-adjusted growth rate was +2.6%, in line with the +3.97% appreciation of the Sol YoY. It is important to note that loan growth at BCP Bolivia (+16.0%) and at Mibanco (+7.9%) helped offset low loan expansion at BCP Stand-alone. Finally, loans grew +0.4% YTD.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Investments continue to increase their share in IEA due to an investment strategy to maximize the profitability of IEA to attenuate the effect of low loan-growth.</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context, investments expanded +12.2% QoQ and +23.8% YoY, mainly due to higher volumes at BCP Stand-alone. The aforementioned was attributable to an increase in investments available for sale (+19.8% QoQ and +32.2% YoY), which was primarily associated with the purchase of Certificates of Deposit (CDs) from BCRP. This offset the contraction in investments held-to-maturity of -16.1% QoQ (YoY the level was stable).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BCRP and other banks fell -10.2% QoQ and -2.7% YoY due to a drop in BCRP balances, which was associated with the aforementioned purchase of BCRP certificates of deposit at BCP Stand-alone.</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Credicorp Loans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Loan evolution by business segment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shows the structure of loans by subsidiary and business segment measured in average daily balances. These balances may reflect trends or variations to a different degree than quarter-end balances given that the latter may include pre-payments or loans placed at the end of the quarter, which affect average daily balances to a lesser extent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19"/>
                <w:szCs w:val="19"/>
                <w:color w:val="auto"/>
              </w:rPr>
            </w:pPr>
          </w:p>
        </w:tc>
        <w:tc>
          <w:tcPr>
            <w:tcW w:w="210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9"/>
              </w:rPr>
              <w:t>TOTAL LOANS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4"/>
            <w:vMerge w:val="restart"/>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c>
          <w:tcPr>
            <w:tcW w:w="2100" w:type="dxa"/>
            <w:vAlign w:val="bottom"/>
            <w:gridSpan w:val="4"/>
            <w:vMerge w:val="restart"/>
          </w:tcPr>
          <w:p>
            <w:pPr>
              <w:jc w:val="right"/>
              <w:ind w:right="230"/>
              <w:spacing w:after="0"/>
              <w:rPr>
                <w:sz w:val="20"/>
                <w:szCs w:val="20"/>
                <w:color w:val="auto"/>
              </w:rPr>
            </w:pPr>
            <w:r>
              <w:rPr>
                <w:rFonts w:ascii="Arial" w:cs="Arial" w:eastAsia="Arial" w:hAnsi="Arial"/>
                <w:sz w:val="18"/>
                <w:szCs w:val="18"/>
                <w:b w:val="1"/>
                <w:bCs w:val="1"/>
                <w:color w:val="auto"/>
                <w:w w:val="99"/>
              </w:rPr>
              <w:t>% Part. in total loans</w:t>
            </w:r>
          </w:p>
        </w:tc>
        <w:tc>
          <w:tcPr>
            <w:tcW w:w="0" w:type="dxa"/>
            <w:vAlign w:val="bottom"/>
          </w:tcPr>
          <w:p>
            <w:pPr>
              <w:spacing w:after="0"/>
              <w:rPr>
                <w:sz w:val="1"/>
                <w:szCs w:val="1"/>
                <w:color w:val="auto"/>
              </w:rPr>
            </w:pPr>
          </w:p>
        </w:tc>
      </w:tr>
      <w:tr>
        <w:trPr>
          <w:trHeight w:val="226"/>
        </w:trPr>
        <w:tc>
          <w:tcPr>
            <w:tcW w:w="3040" w:type="dxa"/>
            <w:vAlign w:val="bottom"/>
          </w:tcPr>
          <w:p>
            <w:pPr>
              <w:spacing w:after="0"/>
              <w:rPr>
                <w:sz w:val="19"/>
                <w:szCs w:val="19"/>
                <w:color w:val="auto"/>
              </w:rPr>
            </w:pPr>
          </w:p>
        </w:tc>
        <w:tc>
          <w:tcPr>
            <w:tcW w:w="2980" w:type="dxa"/>
            <w:vAlign w:val="bottom"/>
            <w:gridSpan w:val="7"/>
          </w:tcPr>
          <w:p>
            <w:pPr>
              <w:jc w:val="center"/>
              <w:ind w:right="180"/>
              <w:spacing w:after="0"/>
              <w:rPr>
                <w:sz w:val="20"/>
                <w:szCs w:val="20"/>
                <w:color w:val="auto"/>
              </w:rPr>
            </w:pPr>
            <w:r>
              <w:rPr>
                <w:rFonts w:ascii="Arial" w:cs="Arial" w:eastAsia="Arial" w:hAnsi="Arial"/>
                <w:sz w:val="18"/>
                <w:szCs w:val="18"/>
                <w:i w:val="1"/>
                <w:iCs w:val="1"/>
                <w:color w:val="auto"/>
                <w:w w:val="90"/>
              </w:rPr>
              <w:t>Expressed in million soles</w:t>
            </w:r>
          </w:p>
        </w:tc>
        <w:tc>
          <w:tcPr>
            <w:tcW w:w="100" w:type="dxa"/>
            <w:vAlign w:val="bottom"/>
          </w:tcPr>
          <w:p>
            <w:pPr>
              <w:spacing w:after="0"/>
              <w:rPr>
                <w:sz w:val="19"/>
                <w:szCs w:val="19"/>
                <w:color w:val="auto"/>
              </w:rPr>
            </w:pPr>
          </w:p>
        </w:tc>
        <w:tc>
          <w:tcPr>
            <w:tcW w:w="196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2Q17</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3Q16</w:t>
            </w: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77,295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77,488</w:t>
            </w: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0" w:type="dxa"/>
            <w:vAlign w:val="bottom"/>
          </w:tcPr>
          <w:p>
            <w:pPr>
              <w:spacing w:after="0"/>
              <w:rPr>
                <w:sz w:val="1"/>
                <w:szCs w:val="1"/>
                <w:color w:val="auto"/>
              </w:rPr>
            </w:pPr>
          </w:p>
        </w:tc>
      </w:tr>
      <w:tr>
        <w:trPr>
          <w:trHeight w:val="216"/>
        </w:trPr>
        <w:tc>
          <w:tcPr>
            <w:tcW w:w="3040" w:type="dxa"/>
            <w:vAlign w:val="bottom"/>
          </w:tcPr>
          <w:p>
            <w:pPr>
              <w:ind w:left="180"/>
              <w:spacing w:after="0"/>
              <w:rPr>
                <w:sz w:val="20"/>
                <w:szCs w:val="20"/>
                <w:color w:val="auto"/>
              </w:rPr>
            </w:pPr>
            <w:r>
              <w:rPr>
                <w:rFonts w:ascii="Arial" w:cs="Arial" w:eastAsia="Arial" w:hAnsi="Arial"/>
                <w:sz w:val="18"/>
                <w:szCs w:val="18"/>
                <w:b w:val="1"/>
                <w:bCs w:val="1"/>
                <w:color w:val="auto"/>
              </w:rPr>
              <w:t>Wholesale Banking</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41,178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40,456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40,331</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-0.3%</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43.9%</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42.4%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25,899</w:t>
            </w:r>
          </w:p>
        </w:tc>
        <w:tc>
          <w:tcPr>
            <w:tcW w:w="1080" w:type="dxa"/>
            <w:vAlign w:val="bottom"/>
            <w:gridSpan w:val="3"/>
            <w:shd w:val="clear" w:color="auto" w:fill="FCD5B4"/>
          </w:tcPr>
          <w:p>
            <w:pPr>
              <w:jc w:val="right"/>
              <w:ind w:right="50"/>
              <w:spacing w:after="0"/>
              <w:rPr>
                <w:sz w:val="20"/>
                <w:szCs w:val="20"/>
                <w:color w:val="auto"/>
              </w:rPr>
            </w:pPr>
            <w:r>
              <w:rPr>
                <w:rFonts w:ascii="Arial" w:cs="Arial" w:eastAsia="Arial" w:hAnsi="Arial"/>
                <w:sz w:val="18"/>
                <w:szCs w:val="18"/>
                <w:color w:val="auto"/>
              </w:rPr>
              <w:t>-2.8%</w:t>
            </w:r>
          </w:p>
        </w:tc>
        <w:tc>
          <w:tcPr>
            <w:tcW w:w="980" w:type="dxa"/>
            <w:vAlign w:val="bottom"/>
            <w:gridSpan w:val="2"/>
            <w:shd w:val="clear" w:color="auto" w:fill="FCD5B4"/>
          </w:tcPr>
          <w:p>
            <w:pPr>
              <w:jc w:val="right"/>
              <w:spacing w:after="0"/>
              <w:rPr>
                <w:sz w:val="20"/>
                <w:szCs w:val="20"/>
                <w:color w:val="auto"/>
              </w:rPr>
            </w:pPr>
            <w:r>
              <w:rPr>
                <w:rFonts w:ascii="Arial" w:cs="Arial" w:eastAsia="Arial" w:hAnsi="Arial"/>
                <w:sz w:val="18"/>
                <w:szCs w:val="18"/>
                <w:color w:val="auto"/>
              </w:rPr>
              <w:t>-5.4%</w:t>
            </w:r>
          </w:p>
        </w:tc>
        <w:tc>
          <w:tcPr>
            <w:tcW w:w="12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Middle - Market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13,786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13,803</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14,432</w:t>
            </w:r>
          </w:p>
        </w:tc>
        <w:tc>
          <w:tcPr>
            <w:tcW w:w="1080" w:type="dxa"/>
            <w:vAlign w:val="bottom"/>
            <w:gridSpan w:val="3"/>
            <w:shd w:val="clear" w:color="auto" w:fill="C5D9F1"/>
          </w:tcPr>
          <w:p>
            <w:pPr>
              <w:jc w:val="right"/>
              <w:ind w:right="50"/>
              <w:spacing w:after="0"/>
              <w:rPr>
                <w:sz w:val="20"/>
                <w:szCs w:val="20"/>
                <w:color w:val="auto"/>
              </w:rPr>
            </w:pPr>
            <w:r>
              <w:rPr>
                <w:rFonts w:ascii="Arial" w:cs="Arial" w:eastAsia="Arial" w:hAnsi="Arial"/>
                <w:sz w:val="18"/>
                <w:szCs w:val="18"/>
                <w:color w:val="auto"/>
              </w:rPr>
              <w:t>4.6%</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4.7%</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14.7%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Retail Banking</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35,413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35,723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36,434</w:t>
            </w: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SME - Business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4,460</w:t>
            </w:r>
          </w:p>
        </w:tc>
        <w:tc>
          <w:tcPr>
            <w:tcW w:w="780" w:type="dxa"/>
            <w:vAlign w:val="bottom"/>
          </w:tcPr>
          <w:p>
            <w:pPr>
              <w:jc w:val="right"/>
              <w:spacing w:after="0"/>
              <w:rPr>
                <w:sz w:val="20"/>
                <w:szCs w:val="20"/>
                <w:color w:val="auto"/>
              </w:rPr>
            </w:pPr>
            <w:r>
              <w:rPr>
                <w:rFonts w:ascii="Arial" w:cs="Arial" w:eastAsia="Arial" w:hAnsi="Arial"/>
                <w:sz w:val="18"/>
                <w:szCs w:val="18"/>
                <w:color w:val="auto"/>
              </w:rPr>
              <w:t>4,433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4,704</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6.1%</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5.5%</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SME - Pyme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4.0%</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color w:val="auto"/>
              </w:rPr>
              <w:t>8.5%</w:t>
            </w:r>
          </w:p>
        </w:tc>
        <w:tc>
          <w:tcPr>
            <w:tcW w:w="12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Mortgage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12,609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12,584</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12,745</w:t>
            </w:r>
          </w:p>
        </w:tc>
        <w:tc>
          <w:tcPr>
            <w:tcW w:w="100" w:type="dxa"/>
            <w:vAlign w:val="bottom"/>
            <w:shd w:val="clear" w:color="auto" w:fill="C5D9F1"/>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13.5%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6,514</w:t>
            </w:r>
          </w:p>
        </w:tc>
        <w:tc>
          <w:tcPr>
            <w:tcW w:w="10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040" w:type="dxa"/>
            <w:vAlign w:val="bottom"/>
          </w:tcPr>
          <w:p>
            <w:pPr>
              <w:ind w:left="340"/>
              <w:spacing w:after="0"/>
              <w:rPr>
                <w:sz w:val="20"/>
                <w:szCs w:val="20"/>
                <w:color w:val="auto"/>
              </w:rPr>
            </w:pPr>
            <w:r>
              <w:rPr>
                <w:rFonts w:ascii="Arial" w:cs="Arial" w:eastAsia="Arial" w:hAnsi="Arial"/>
                <w:sz w:val="18"/>
                <w:szCs w:val="18"/>
                <w:color w:val="auto"/>
              </w:rPr>
              <w:t>Credit Card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4,299</w:t>
            </w:r>
          </w:p>
        </w:tc>
        <w:tc>
          <w:tcPr>
            <w:tcW w:w="780" w:type="dxa"/>
            <w:vAlign w:val="bottom"/>
          </w:tcPr>
          <w:p>
            <w:pPr>
              <w:jc w:val="right"/>
              <w:spacing w:after="0"/>
              <w:rPr>
                <w:sz w:val="20"/>
                <w:szCs w:val="20"/>
                <w:color w:val="auto"/>
              </w:rPr>
            </w:pPr>
            <w:r>
              <w:rPr>
                <w:rFonts w:ascii="Arial" w:cs="Arial" w:eastAsia="Arial" w:hAnsi="Arial"/>
                <w:sz w:val="18"/>
                <w:szCs w:val="18"/>
                <w:color w:val="auto"/>
              </w:rPr>
              <w:t>4,283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4,230</w:t>
            </w:r>
          </w:p>
        </w:tc>
        <w:tc>
          <w:tcPr>
            <w:tcW w:w="1080" w:type="dxa"/>
            <w:vAlign w:val="bottom"/>
            <w:gridSpan w:val="3"/>
          </w:tcPr>
          <w:p>
            <w:pPr>
              <w:jc w:val="right"/>
              <w:ind w:right="5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0" w:type="dxa"/>
            <w:vAlign w:val="bottom"/>
            <w:gridSpan w:val="3"/>
          </w:tcPr>
          <w:p>
            <w:pPr>
              <w:jc w:val="right"/>
              <w:ind w:right="50"/>
              <w:spacing w:after="0"/>
              <w:rPr>
                <w:sz w:val="20"/>
                <w:szCs w:val="20"/>
                <w:color w:val="auto"/>
              </w:rPr>
            </w:pPr>
            <w:r>
              <w:rPr>
                <w:rFonts w:ascii="Arial" w:cs="Arial" w:eastAsia="Arial" w:hAnsi="Arial"/>
                <w:sz w:val="18"/>
                <w:szCs w:val="18"/>
                <w:color w:val="auto"/>
              </w:rPr>
              <w:t>4.6%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29"/>
                <w:szCs w:val="29"/>
                <w:b w:val="1"/>
                <w:bCs w:val="1"/>
                <w:color w:val="auto"/>
                <w:vertAlign w:val="superscript"/>
              </w:rPr>
              <w:t>(1)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736</w:t>
            </w: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723</w:t>
            </w: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Mibanco</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8,158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8,689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8,840</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ind w:right="10"/>
              <w:spacing w:after="0"/>
              <w:rPr>
                <w:sz w:val="20"/>
                <w:szCs w:val="20"/>
                <w:color w:val="auto"/>
              </w:rPr>
            </w:pPr>
            <w:r>
              <w:rPr>
                <w:rFonts w:ascii="Arial" w:cs="Arial" w:eastAsia="Arial" w:hAnsi="Arial"/>
                <w:sz w:val="18"/>
                <w:szCs w:val="18"/>
                <w:b w:val="1"/>
                <w:bCs w:val="1"/>
                <w:color w:val="auto"/>
              </w:rPr>
              <w:t>1.7%</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8.4%</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8.7%</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Bolivia</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5,159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5,959</w:t>
            </w:r>
          </w:p>
        </w:tc>
        <w:tc>
          <w:tcPr>
            <w:tcW w:w="100" w:type="dxa"/>
            <w:vAlign w:val="bottom"/>
            <w:shd w:val="clear" w:color="auto" w:fill="C5D9F1"/>
          </w:tcPr>
          <w:p>
            <w:pPr>
              <w:spacing w:after="0"/>
              <w:rPr>
                <w:sz w:val="18"/>
                <w:szCs w:val="18"/>
                <w:color w:val="auto"/>
              </w:rPr>
            </w:pPr>
          </w:p>
        </w:tc>
        <w:tc>
          <w:tcPr>
            <w:tcW w:w="980" w:type="dxa"/>
            <w:vAlign w:val="bottom"/>
            <w:gridSpan w:val="2"/>
            <w:shd w:val="clear" w:color="auto" w:fill="C5D9F1"/>
          </w:tcPr>
          <w:p>
            <w:pPr>
              <w:jc w:val="right"/>
              <w:ind w:right="10"/>
              <w:spacing w:after="0"/>
              <w:rPr>
                <w:sz w:val="20"/>
                <w:szCs w:val="20"/>
                <w:color w:val="auto"/>
              </w:rPr>
            </w:pPr>
            <w:r>
              <w:rPr>
                <w:rFonts w:ascii="Arial" w:cs="Arial" w:eastAsia="Arial" w:hAnsi="Arial"/>
                <w:sz w:val="18"/>
                <w:szCs w:val="18"/>
                <w:b w:val="1"/>
                <w:bCs w:val="1"/>
                <w:color w:val="auto"/>
              </w:rPr>
              <w:t>4.2%</w:t>
            </w:r>
          </w:p>
        </w:tc>
        <w:tc>
          <w:tcPr>
            <w:tcW w:w="980" w:type="dxa"/>
            <w:vAlign w:val="bottom"/>
            <w:gridSpan w:val="2"/>
            <w:shd w:val="clear" w:color="auto" w:fill="C5D9F1"/>
          </w:tcPr>
          <w:p>
            <w:pPr>
              <w:jc w:val="right"/>
              <w:spacing w:after="0"/>
              <w:rPr>
                <w:sz w:val="20"/>
                <w:szCs w:val="20"/>
                <w:color w:val="auto"/>
              </w:rPr>
            </w:pPr>
            <w:r>
              <w:rPr>
                <w:rFonts w:ascii="Arial" w:cs="Arial" w:eastAsia="Arial" w:hAnsi="Arial"/>
                <w:sz w:val="18"/>
                <w:szCs w:val="18"/>
                <w:b w:val="1"/>
                <w:bCs w:val="1"/>
                <w:color w:val="auto"/>
              </w:rPr>
              <w:t>15.5%</w:t>
            </w:r>
          </w:p>
        </w:tc>
        <w:tc>
          <w:tcPr>
            <w:tcW w:w="12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3,086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2,723</w:t>
            </w:r>
          </w:p>
        </w:tc>
        <w:tc>
          <w:tcPr>
            <w:tcW w:w="10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-3.3%</w:t>
            </w:r>
          </w:p>
        </w:tc>
        <w:tc>
          <w:tcPr>
            <w:tcW w:w="980" w:type="dxa"/>
            <w:vAlign w:val="bottom"/>
            <w:gridSpan w:val="2"/>
            <w:shd w:val="clear" w:color="auto" w:fill="FCD5B4"/>
          </w:tcPr>
          <w:p>
            <w:pPr>
              <w:jc w:val="right"/>
              <w:spacing w:after="0"/>
              <w:rPr>
                <w:sz w:val="20"/>
                <w:szCs w:val="20"/>
                <w:color w:val="auto"/>
              </w:rPr>
            </w:pPr>
            <w:r>
              <w:rPr>
                <w:rFonts w:ascii="Arial" w:cs="Arial" w:eastAsia="Arial" w:hAnsi="Arial"/>
                <w:sz w:val="18"/>
                <w:szCs w:val="18"/>
                <w:b w:val="1"/>
                <w:bCs w:val="1"/>
                <w:color w:val="auto"/>
              </w:rPr>
              <w:t>-11.8%</w:t>
            </w: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BAP's total loans</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93,698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95,010</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-1285875</wp:posOffset>
            </wp:positionV>
            <wp:extent cx="12522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2220" cy="27432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Includes Work out unit and other banking.</w:t>
      </w:r>
    </w:p>
    <w:p>
      <w:pPr>
        <w:spacing w:after="0" w:line="211"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Highest growth in volumes</w:t>
      </w:r>
    </w:p>
    <w:p>
      <w:pPr>
        <w:spacing w:after="0" w:line="23"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Largest contraction in volumes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7"/>
          </w:tcPr>
          <w:p>
            <w:pPr>
              <w:jc w:val="right"/>
              <w:ind w:right="68"/>
              <w:spacing w:after="0"/>
              <w:rPr>
                <w:sz w:val="20"/>
                <w:szCs w:val="20"/>
                <w:color w:val="auto"/>
              </w:rPr>
            </w:pPr>
            <w:r>
              <w:rPr>
                <w:rFonts w:ascii="Arial" w:cs="Arial" w:eastAsia="Arial" w:hAnsi="Arial"/>
                <w:sz w:val="14"/>
                <w:szCs w:val="14"/>
                <w:b w:val="1"/>
                <w:bCs w:val="1"/>
                <w:color w:val="auto"/>
              </w:rPr>
              <w:t>DOMESTIC CURRENCY LOANS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center"/>
              <w:ind w:right="8"/>
              <w:spacing w:after="0"/>
              <w:rPr>
                <w:sz w:val="20"/>
                <w:szCs w:val="20"/>
                <w:color w:val="auto"/>
              </w:rPr>
            </w:pPr>
            <w:r>
              <w:rPr>
                <w:rFonts w:ascii="Arial" w:cs="Arial" w:eastAsia="Arial" w:hAnsi="Arial"/>
                <w:sz w:val="14"/>
                <w:szCs w:val="14"/>
                <w:b w:val="1"/>
                <w:bCs w:val="1"/>
                <w:color w:val="auto"/>
              </w:rPr>
              <w:t>FOREIGN CURRENCY LOANS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 part. by currency</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7"/>
          </w:tcPr>
          <w:p>
            <w:pPr>
              <w:jc w:val="right"/>
              <w:ind w:right="408"/>
              <w:spacing w:after="0"/>
              <w:rPr>
                <w:sz w:val="20"/>
                <w:szCs w:val="20"/>
                <w:color w:val="auto"/>
              </w:rPr>
            </w:pPr>
            <w:r>
              <w:rPr>
                <w:rFonts w:ascii="Arial" w:cs="Arial" w:eastAsia="Arial" w:hAnsi="Arial"/>
                <w:sz w:val="14"/>
                <w:szCs w:val="14"/>
                <w:i w:val="1"/>
                <w:iCs w:val="1"/>
                <w:color w:val="auto"/>
              </w:rPr>
              <w:t>Expressed in million Soles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jc w:val="center"/>
              <w:ind w:right="28"/>
              <w:spacing w:after="0"/>
              <w:rPr>
                <w:sz w:val="20"/>
                <w:szCs w:val="20"/>
                <w:color w:val="auto"/>
              </w:rPr>
            </w:pPr>
            <w:r>
              <w:rPr>
                <w:rFonts w:ascii="Arial" w:cs="Arial" w:eastAsia="Arial" w:hAnsi="Arial"/>
                <w:sz w:val="14"/>
                <w:szCs w:val="14"/>
                <w:i w:val="1"/>
                <w:iCs w:val="1"/>
                <w:color w:val="auto"/>
                <w:w w:val="93"/>
              </w:rPr>
              <w:t>Expressed in million USD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3"/>
              </w:rPr>
              <w:t>3Q17</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3Q16</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2Q17</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3Q17</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3Q16</w:t>
            </w: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2Q17</w:t>
            </w: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3Q17</w:t>
            </w: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48,768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46,871</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47,243</w:t>
            </w:r>
          </w:p>
        </w:tc>
        <w:tc>
          <w:tcPr>
            <w:tcW w:w="1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8,433</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9,227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9,309</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61.0%</w:t>
            </w: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39.0%</w:t>
            </w:r>
          </w:p>
        </w:tc>
        <w:tc>
          <w:tcPr>
            <w:tcW w:w="0" w:type="dxa"/>
            <w:vAlign w:val="bottom"/>
          </w:tcPr>
          <w:p>
            <w:pPr>
              <w:spacing w:after="0"/>
              <w:rPr>
                <w:sz w:val="1"/>
                <w:szCs w:val="1"/>
                <w:color w:val="auto"/>
              </w:rPr>
            </w:pPr>
          </w:p>
        </w:tc>
      </w:tr>
      <w:tr>
        <w:trPr>
          <w:trHeight w:val="126"/>
        </w:trPr>
        <w:tc>
          <w:tcPr>
            <w:tcW w:w="1160" w:type="dxa"/>
            <w:vAlign w:val="bottom"/>
          </w:tcPr>
          <w:p>
            <w:pPr>
              <w:ind w:left="180"/>
              <w:spacing w:after="0" w:line="126" w:lineRule="exact"/>
              <w:rPr>
                <w:sz w:val="20"/>
                <w:szCs w:val="20"/>
                <w:color w:val="auto"/>
              </w:rPr>
            </w:pPr>
            <w:r>
              <w:rPr>
                <w:rFonts w:ascii="Arial" w:cs="Arial" w:eastAsia="Arial" w:hAnsi="Arial"/>
                <w:sz w:val="14"/>
                <w:szCs w:val="14"/>
                <w:b w:val="1"/>
                <w:bCs w:val="1"/>
                <w:color w:val="auto"/>
              </w:rPr>
              <w:t>Wholesale</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20,606</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18,174</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18,015</w:t>
            </w:r>
          </w:p>
        </w:tc>
        <w:tc>
          <w:tcPr>
            <w:tcW w:w="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-0.9%</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-12.6%</w:t>
            </w: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6,082</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6,843</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6,869</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0.4%</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12.9%</w:t>
            </w:r>
          </w:p>
        </w:tc>
        <w:tc>
          <w:tcPr>
            <w:tcW w:w="102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44.7%</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55.3%</w:t>
            </w:r>
          </w:p>
        </w:tc>
        <w:tc>
          <w:tcPr>
            <w:tcW w:w="0" w:type="dxa"/>
            <w:vAlign w:val="bottom"/>
          </w:tcPr>
          <w:p>
            <w:pPr>
              <w:spacing w:after="0"/>
              <w:rPr>
                <w:sz w:val="1"/>
                <w:szCs w:val="1"/>
                <w:color w:val="auto"/>
              </w:rPr>
            </w:pPr>
          </w:p>
        </w:tc>
      </w:tr>
      <w:tr>
        <w:trPr>
          <w:trHeight w:val="171"/>
        </w:trPr>
        <w:tc>
          <w:tcPr>
            <w:tcW w:w="1160" w:type="dxa"/>
            <w:vAlign w:val="bottom"/>
          </w:tcPr>
          <w:p>
            <w:pPr>
              <w:ind w:left="18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13,669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11,479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11,118</w:t>
            </w:r>
          </w:p>
        </w:tc>
        <w:tc>
          <w:tcPr>
            <w:tcW w:w="760" w:type="dxa"/>
            <w:vAlign w:val="bottom"/>
            <w:gridSpan w:val="3"/>
            <w:shd w:val="clear" w:color="auto" w:fill="FCD5B4"/>
          </w:tcPr>
          <w:p>
            <w:pPr>
              <w:jc w:val="right"/>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3"/>
            <w:shd w:val="clear" w:color="auto" w:fill="FCD5B4"/>
          </w:tcPr>
          <w:p>
            <w:pPr>
              <w:jc w:val="right"/>
              <w:spacing w:after="0" w:line="149" w:lineRule="exact"/>
              <w:rPr>
                <w:sz w:val="20"/>
                <w:szCs w:val="20"/>
                <w:color w:val="auto"/>
              </w:rPr>
            </w:pPr>
            <w:r>
              <w:rPr>
                <w:rFonts w:ascii="Arial" w:cs="Arial" w:eastAsia="Arial" w:hAnsi="Arial"/>
                <w:sz w:val="14"/>
                <w:szCs w:val="14"/>
                <w:color w:val="auto"/>
              </w:rPr>
              <w:t>-18.7%</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4,057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4,550</w:t>
            </w:r>
          </w:p>
        </w:tc>
        <w:tc>
          <w:tcPr>
            <w:tcW w:w="78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-2.4%</w:t>
            </w:r>
          </w:p>
        </w:tc>
        <w:tc>
          <w:tcPr>
            <w:tcW w:w="120" w:type="dxa"/>
            <w:vAlign w:val="bottom"/>
            <w:shd w:val="clear" w:color="auto" w:fill="C5D9F1"/>
          </w:tcPr>
          <w:p>
            <w:pPr>
              <w:spacing w:after="0"/>
              <w:rPr>
                <w:sz w:val="12"/>
                <w:szCs w:val="12"/>
                <w:color w:val="auto"/>
              </w:rPr>
            </w:pPr>
          </w:p>
        </w:tc>
        <w:tc>
          <w:tcPr>
            <w:tcW w:w="8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12.1%</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30"/>
        </w:trPr>
        <w:tc>
          <w:tcPr>
            <w:tcW w:w="1160" w:type="dxa"/>
            <w:vAlign w:val="bottom"/>
          </w:tcPr>
          <w:p>
            <w:pPr>
              <w:ind w:left="340"/>
              <w:spacing w:after="0" w:line="130" w:lineRule="exact"/>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shd w:val="clear" w:color="auto" w:fill="C5D9F1"/>
          </w:tcPr>
          <w:p>
            <w:pPr>
              <w:spacing w:after="0"/>
              <w:rPr>
                <w:sz w:val="11"/>
                <w:szCs w:val="11"/>
                <w:color w:val="auto"/>
              </w:rPr>
            </w:pPr>
          </w:p>
        </w:tc>
        <w:tc>
          <w:tcPr>
            <w:tcW w:w="52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shd w:val="clear" w:color="auto" w:fill="C5D9F1"/>
          </w:tcPr>
          <w:p>
            <w:pPr>
              <w:spacing w:after="0"/>
              <w:rPr>
                <w:sz w:val="11"/>
                <w:szCs w:val="11"/>
                <w:color w:val="auto"/>
              </w:rPr>
            </w:pPr>
          </w:p>
        </w:tc>
        <w:tc>
          <w:tcPr>
            <w:tcW w:w="64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tcPr>
          <w:p>
            <w:pPr>
              <w:ind w:left="340"/>
              <w:spacing w:after="0"/>
              <w:rPr>
                <w:sz w:val="20"/>
                <w:szCs w:val="20"/>
                <w:color w:val="auto"/>
              </w:rPr>
            </w:pPr>
            <w:r>
              <w:rPr>
                <w:rFonts w:ascii="Arial" w:cs="Arial" w:eastAsia="Arial" w:hAnsi="Arial"/>
                <w:sz w:val="14"/>
                <w:szCs w:val="14"/>
                <w:color w:val="auto"/>
              </w:rPr>
              <w:t>Market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6,937</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6,695</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6,896</w:t>
            </w:r>
          </w:p>
        </w:tc>
        <w:tc>
          <w:tcPr>
            <w:tcW w:w="760" w:type="dxa"/>
            <w:vAlign w:val="bottom"/>
            <w:gridSpan w:val="3"/>
            <w:shd w:val="clear" w:color="auto" w:fill="C5D9F1"/>
          </w:tcPr>
          <w:p>
            <w:pPr>
              <w:jc w:val="right"/>
              <w:spacing w:after="0"/>
              <w:rPr>
                <w:sz w:val="20"/>
                <w:szCs w:val="20"/>
                <w:color w:val="auto"/>
              </w:rPr>
            </w:pPr>
            <w:r>
              <w:rPr>
                <w:rFonts w:ascii="Arial" w:cs="Arial" w:eastAsia="Arial" w:hAnsi="Arial"/>
                <w:sz w:val="14"/>
                <w:szCs w:val="14"/>
                <w:color w:val="auto"/>
              </w:rPr>
              <w:t>3.0%</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-0.6%</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2,025</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2,183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2,319</w:t>
            </w:r>
          </w:p>
        </w:tc>
        <w:tc>
          <w:tcPr>
            <w:tcW w:w="78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5D9F1"/>
          </w:tcPr>
          <w:p>
            <w:pPr>
              <w:spacing w:after="0"/>
              <w:rPr>
                <w:sz w:val="14"/>
                <w:szCs w:val="14"/>
                <w:color w:val="auto"/>
              </w:rPr>
            </w:pPr>
          </w:p>
        </w:tc>
        <w:tc>
          <w:tcPr>
            <w:tcW w:w="80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14.5%</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47.8%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26"/>
        </w:trPr>
        <w:tc>
          <w:tcPr>
            <w:tcW w:w="1160" w:type="dxa"/>
            <w:vAlign w:val="bottom"/>
            <w:shd w:val="clear" w:color="auto" w:fill="CCEEFF"/>
          </w:tcPr>
          <w:p>
            <w:pPr>
              <w:ind w:left="180"/>
              <w:spacing w:after="0" w:line="126" w:lineRule="exact"/>
              <w:rPr>
                <w:sz w:val="20"/>
                <w:szCs w:val="20"/>
                <w:color w:val="auto"/>
              </w:rPr>
            </w:pPr>
            <w:r>
              <w:rPr>
                <w:rFonts w:ascii="Arial" w:cs="Arial" w:eastAsia="Arial" w:hAnsi="Arial"/>
                <w:sz w:val="14"/>
                <w:szCs w:val="14"/>
                <w:b w:val="1"/>
                <w:bCs w:val="1"/>
                <w:color w:val="auto"/>
              </w:rPr>
              <w:t>Retail</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27,879</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28,366</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28,895</w:t>
            </w: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9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9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2,227</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2,259</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2,320</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9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02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79.3%</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20.7%</w:t>
            </w:r>
          </w:p>
        </w:tc>
        <w:tc>
          <w:tcPr>
            <w:tcW w:w="0" w:type="dxa"/>
            <w:vAlign w:val="bottom"/>
          </w:tcPr>
          <w:p>
            <w:pPr>
              <w:spacing w:after="0"/>
              <w:rPr>
                <w:sz w:val="1"/>
                <w:szCs w:val="1"/>
                <w:color w:val="auto"/>
              </w:rPr>
            </w:pPr>
          </w:p>
        </w:tc>
      </w:tr>
      <w:tr>
        <w:trPr>
          <w:trHeight w:val="171"/>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Banking</w:t>
            </w: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960" w:type="dxa"/>
            <w:vAlign w:val="bottom"/>
            <w:gridSpan w:val="3"/>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60" w:type="dxa"/>
            <w:vAlign w:val="bottom"/>
          </w:tcPr>
          <w:p>
            <w:pPr>
              <w:ind w:left="340"/>
              <w:spacing w:after="0" w:line="130" w:lineRule="exact"/>
              <w:rPr>
                <w:sz w:val="20"/>
                <w:szCs w:val="20"/>
                <w:color w:val="auto"/>
              </w:rPr>
            </w:pPr>
            <w:r>
              <w:rPr>
                <w:rFonts w:ascii="Arial" w:cs="Arial" w:eastAsia="Arial" w:hAnsi="Arial"/>
                <w:sz w:val="14"/>
                <w:szCs w:val="14"/>
                <w:color w:val="auto"/>
              </w:rPr>
              <w:t>SME -</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shd w:val="clear" w:color="auto" w:fill="C5D9F1"/>
          </w:tcPr>
          <w:p>
            <w:pPr>
              <w:spacing w:after="0"/>
              <w:rPr>
                <w:sz w:val="11"/>
                <w:szCs w:val="11"/>
                <w:color w:val="auto"/>
              </w:rPr>
            </w:pPr>
          </w:p>
        </w:tc>
        <w:tc>
          <w:tcPr>
            <w:tcW w:w="52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shd w:val="clear" w:color="auto" w:fill="C5D9F1"/>
          </w:tcPr>
          <w:p>
            <w:pPr>
              <w:spacing w:after="0"/>
              <w:rPr>
                <w:sz w:val="11"/>
                <w:szCs w:val="11"/>
                <w:color w:val="auto"/>
              </w:rPr>
            </w:pPr>
          </w:p>
        </w:tc>
        <w:tc>
          <w:tcPr>
            <w:tcW w:w="62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tcPr>
          <w:p>
            <w:pPr>
              <w:ind w:left="340"/>
              <w:spacing w:after="0"/>
              <w:rPr>
                <w:sz w:val="20"/>
                <w:szCs w:val="20"/>
                <w:color w:val="auto"/>
              </w:rPr>
            </w:pPr>
            <w:r>
              <w:rPr>
                <w:rFonts w:ascii="Arial" w:cs="Arial" w:eastAsia="Arial" w:hAnsi="Arial"/>
                <w:sz w:val="14"/>
                <w:szCs w:val="14"/>
                <w:color w:val="auto"/>
              </w:rPr>
              <w:t>Business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2,121</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2,117</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2,229</w:t>
            </w:r>
          </w:p>
        </w:tc>
        <w:tc>
          <w:tcPr>
            <w:tcW w:w="100" w:type="dxa"/>
            <w:vAlign w:val="bottom"/>
            <w:shd w:val="clear" w:color="auto" w:fill="C5D9F1"/>
          </w:tcPr>
          <w:p>
            <w:pPr>
              <w:spacing w:after="0"/>
              <w:rPr>
                <w:sz w:val="14"/>
                <w:szCs w:val="14"/>
                <w:color w:val="auto"/>
              </w:rPr>
            </w:pPr>
          </w:p>
        </w:tc>
        <w:tc>
          <w:tcPr>
            <w:tcW w:w="66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5.3%</w:t>
            </w:r>
          </w:p>
        </w:tc>
        <w:tc>
          <w:tcPr>
            <w:tcW w:w="900" w:type="dxa"/>
            <w:vAlign w:val="bottom"/>
            <w:gridSpan w:val="3"/>
            <w:shd w:val="clear" w:color="auto" w:fill="C5D9F1"/>
          </w:tcPr>
          <w:p>
            <w:pPr>
              <w:jc w:val="right"/>
              <w:spacing w:after="0"/>
              <w:rPr>
                <w:sz w:val="20"/>
                <w:szCs w:val="20"/>
                <w:color w:val="auto"/>
              </w:rPr>
            </w:pPr>
            <w:r>
              <w:rPr>
                <w:rFonts w:ascii="Arial" w:cs="Arial" w:eastAsia="Arial" w:hAnsi="Arial"/>
                <w:sz w:val="14"/>
                <w:szCs w:val="14"/>
                <w:color w:val="auto"/>
              </w:rPr>
              <w:t>5.1%</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color w:val="auto"/>
              </w:rPr>
              <w:t>692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711</w:t>
            </w:r>
          </w:p>
        </w:tc>
        <w:tc>
          <w:tcPr>
            <w:tcW w:w="660" w:type="dxa"/>
            <w:vAlign w:val="bottom"/>
          </w:tcPr>
          <w:p>
            <w:pPr>
              <w:jc w:val="right"/>
              <w:spacing w:after="0"/>
              <w:rPr>
                <w:sz w:val="20"/>
                <w:szCs w:val="20"/>
                <w:color w:val="auto"/>
              </w:rPr>
            </w:pPr>
            <w:r>
              <w:rPr>
                <w:rFonts w:ascii="Arial" w:cs="Arial" w:eastAsia="Arial" w:hAnsi="Arial"/>
                <w:sz w:val="14"/>
                <w:szCs w:val="14"/>
                <w:color w:val="auto"/>
              </w:rPr>
              <w:t>762</w:t>
            </w: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10.2%</w:t>
            </w:r>
          </w:p>
        </w:tc>
        <w:tc>
          <w:tcPr>
            <w:tcW w:w="1020" w:type="dxa"/>
            <w:vAlign w:val="bottom"/>
            <w:gridSpan w:val="3"/>
          </w:tcPr>
          <w:p>
            <w:pPr>
              <w:jc w:val="right"/>
              <w:ind w:right="68"/>
              <w:spacing w:after="0"/>
              <w:rPr>
                <w:sz w:val="20"/>
                <w:szCs w:val="20"/>
                <w:color w:val="auto"/>
              </w:rPr>
            </w:pPr>
            <w:r>
              <w:rPr>
                <w:rFonts w:ascii="Arial" w:cs="Arial" w:eastAsia="Arial" w:hAnsi="Arial"/>
                <w:sz w:val="14"/>
                <w:szCs w:val="14"/>
                <w:color w:val="auto"/>
              </w:rPr>
              <w:t>47.4%</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30"/>
        </w:trPr>
        <w:tc>
          <w:tcPr>
            <w:tcW w:w="116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SME -</w:t>
            </w: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5D9F1"/>
          </w:tcPr>
          <w:p>
            <w:pPr>
              <w:spacing w:after="0"/>
              <w:rPr>
                <w:sz w:val="11"/>
                <w:szCs w:val="11"/>
                <w:color w:val="auto"/>
              </w:rPr>
            </w:pPr>
          </w:p>
        </w:tc>
        <w:tc>
          <w:tcPr>
            <w:tcW w:w="520" w:type="dxa"/>
            <w:vAlign w:val="bottom"/>
            <w:shd w:val="clear" w:color="auto" w:fill="C5D9F1"/>
          </w:tcPr>
          <w:p>
            <w:pPr>
              <w:spacing w:after="0"/>
              <w:rPr>
                <w:sz w:val="11"/>
                <w:szCs w:val="11"/>
                <w:color w:val="auto"/>
              </w:rPr>
            </w:pPr>
          </w:p>
        </w:tc>
        <w:tc>
          <w:tcPr>
            <w:tcW w:w="140" w:type="dxa"/>
            <w:vAlign w:val="bottom"/>
            <w:shd w:val="clear" w:color="auto" w:fill="C5D9F1"/>
          </w:tcPr>
          <w:p>
            <w:pPr>
              <w:spacing w:after="0"/>
              <w:rPr>
                <w:sz w:val="11"/>
                <w:szCs w:val="11"/>
                <w:color w:val="auto"/>
              </w:rPr>
            </w:pPr>
          </w:p>
        </w:tc>
        <w:tc>
          <w:tcPr>
            <w:tcW w:w="120" w:type="dxa"/>
            <w:vAlign w:val="bottom"/>
            <w:shd w:val="clear" w:color="auto" w:fill="C5D9F1"/>
          </w:tcPr>
          <w:p>
            <w:pPr>
              <w:spacing w:after="0"/>
              <w:rPr>
                <w:sz w:val="11"/>
                <w:szCs w:val="11"/>
                <w:color w:val="auto"/>
              </w:rPr>
            </w:pPr>
          </w:p>
        </w:tc>
        <w:tc>
          <w:tcPr>
            <w:tcW w:w="620" w:type="dxa"/>
            <w:vAlign w:val="bottom"/>
            <w:shd w:val="clear" w:color="auto" w:fill="C5D9F1"/>
          </w:tcPr>
          <w:p>
            <w:pPr>
              <w:spacing w:after="0"/>
              <w:rPr>
                <w:sz w:val="11"/>
                <w:szCs w:val="11"/>
                <w:color w:val="auto"/>
              </w:rPr>
            </w:pPr>
          </w:p>
        </w:tc>
        <w:tc>
          <w:tcPr>
            <w:tcW w:w="160" w:type="dxa"/>
            <w:vAlign w:val="bottom"/>
            <w:shd w:val="clear" w:color="auto" w:fill="C5D9F1"/>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Pyme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7,184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7,599</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7,926</w:t>
            </w:r>
          </w:p>
        </w:tc>
        <w:tc>
          <w:tcPr>
            <w:tcW w:w="100" w:type="dxa"/>
            <w:vAlign w:val="bottom"/>
            <w:shd w:val="clear" w:color="auto" w:fill="C5D9F1"/>
          </w:tcPr>
          <w:p>
            <w:pPr>
              <w:spacing w:after="0"/>
              <w:rPr>
                <w:sz w:val="14"/>
                <w:szCs w:val="14"/>
                <w:color w:val="auto"/>
              </w:rPr>
            </w:pPr>
          </w:p>
        </w:tc>
        <w:tc>
          <w:tcPr>
            <w:tcW w:w="660" w:type="dxa"/>
            <w:vAlign w:val="bottom"/>
            <w:gridSpan w:val="2"/>
            <w:shd w:val="clear" w:color="auto" w:fill="C5D9F1"/>
          </w:tcPr>
          <w:p>
            <w:pPr>
              <w:jc w:val="right"/>
              <w:spacing w:after="0"/>
              <w:rPr>
                <w:sz w:val="20"/>
                <w:szCs w:val="20"/>
                <w:color w:val="auto"/>
              </w:rPr>
            </w:pPr>
            <w:r>
              <w:rPr>
                <w:rFonts w:ascii="Arial" w:cs="Arial" w:eastAsia="Arial" w:hAnsi="Arial"/>
                <w:sz w:val="14"/>
                <w:szCs w:val="14"/>
                <w:color w:val="auto"/>
              </w:rPr>
              <w:t>4.3%</w:t>
            </w:r>
          </w:p>
        </w:tc>
        <w:tc>
          <w:tcPr>
            <w:tcW w:w="900" w:type="dxa"/>
            <w:vAlign w:val="bottom"/>
            <w:gridSpan w:val="3"/>
            <w:shd w:val="clear" w:color="auto" w:fill="C5D9F1"/>
          </w:tcPr>
          <w:p>
            <w:pPr>
              <w:jc w:val="right"/>
              <w:spacing w:after="0"/>
              <w:rPr>
                <w:sz w:val="20"/>
                <w:szCs w:val="20"/>
                <w:color w:val="auto"/>
              </w:rPr>
            </w:pPr>
            <w:r>
              <w:rPr>
                <w:rFonts w:ascii="Arial" w:cs="Arial" w:eastAsia="Arial" w:hAnsi="Arial"/>
                <w:sz w:val="14"/>
                <w:szCs w:val="14"/>
                <w:color w:val="auto"/>
              </w:rPr>
              <w:t>10.3%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122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96.2%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11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9,266</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9,413</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9,589</w:t>
            </w:r>
          </w:p>
        </w:tc>
        <w:tc>
          <w:tcPr>
            <w:tcW w:w="100" w:type="dxa"/>
            <w:vAlign w:val="bottom"/>
            <w:shd w:val="clear" w:color="auto" w:fill="C5D9F1"/>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3.5%</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989</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974</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972</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75.2%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5,493</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5,471</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5,469</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9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0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84.0%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11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3,815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3,766</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3,682</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78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-3.5%</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17.8%</w:t>
            </w:r>
          </w:p>
        </w:tc>
        <w:tc>
          <w:tcPr>
            <w:tcW w:w="10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87.0%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9"/>
        </w:trPr>
        <w:tc>
          <w:tcPr>
            <w:tcW w:w="11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284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331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333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17.6%</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124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w:t>
            </w:r>
          </w:p>
        </w:tc>
        <w:tc>
          <w:tcPr>
            <w:tcW w:w="2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10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53.9%</w:t>
            </w:r>
          </w:p>
        </w:tc>
        <w:tc>
          <w:tcPr>
            <w:tcW w:w="0" w:type="dxa"/>
            <w:vAlign w:val="bottom"/>
          </w:tcPr>
          <w:p>
            <w:pPr>
              <w:spacing w:after="0"/>
              <w:rPr>
                <w:sz w:val="1"/>
                <w:szCs w:val="1"/>
                <w:color w:val="auto"/>
              </w:rPr>
            </w:pPr>
          </w:p>
        </w:tc>
      </w:tr>
      <w:tr>
        <w:trPr>
          <w:trHeight w:val="149"/>
        </w:trPr>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rPr>
              <w:t>Mibanco</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7,638</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8,189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8,331</w:t>
            </w:r>
          </w:p>
        </w:tc>
        <w:tc>
          <w:tcPr>
            <w:tcW w:w="76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900" w:type="dxa"/>
            <w:vAlign w:val="bottom"/>
            <w:gridSpan w:val="3"/>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9.1%</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154</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2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156</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10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94.3%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5.7%</w:t>
            </w: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gridSpan w:val="3"/>
            <w:shd w:val="clear" w:color="auto" w:fill="CCEEFF"/>
          </w:tcPr>
          <w:p>
            <w:pPr>
              <w:jc w:val="right"/>
              <w:ind w:right="88"/>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1,525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1,756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1,834</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20.2%</w:t>
            </w:r>
          </w:p>
        </w:tc>
        <w:tc>
          <w:tcPr>
            <w:tcW w:w="10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912</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865</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838</w:t>
            </w: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-8.1%</w:t>
            </w:r>
          </w:p>
        </w:tc>
        <w:tc>
          <w:tcPr>
            <w:tcW w:w="10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2"/>
        </w:trPr>
        <w:tc>
          <w:tcPr>
            <w:tcW w:w="1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56,406</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55,060</w:t>
            </w:r>
          </w:p>
        </w:tc>
        <w:tc>
          <w:tcPr>
            <w:tcW w:w="1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55,574</w:t>
            </w:r>
          </w:p>
        </w:tc>
        <w:tc>
          <w:tcPr>
            <w:tcW w:w="1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11,025</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12,001</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12,138</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10.1</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58.5</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41.5</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-994410</wp:posOffset>
            </wp:positionV>
            <wp:extent cx="986155"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6155" cy="28321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 Includes Work out unit, and other banking.</w:t>
      </w:r>
    </w:p>
    <w:p>
      <w:pPr>
        <w:spacing w:after="0" w:line="225"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Highest growth in volumes</w:t>
      </w:r>
    </w:p>
    <w:p>
      <w:pPr>
        <w:spacing w:after="0" w:line="23" w:lineRule="exact"/>
        <w:rPr>
          <w:sz w:val="20"/>
          <w:szCs w:val="20"/>
          <w:color w:val="auto"/>
        </w:rPr>
      </w:pPr>
    </w:p>
    <w:p>
      <w:pPr>
        <w:ind w:left="100"/>
        <w:spacing w:after="0"/>
        <w:rPr>
          <w:sz w:val="20"/>
          <w:szCs w:val="20"/>
          <w:color w:val="auto"/>
        </w:rPr>
      </w:pPr>
      <w:r>
        <w:rPr>
          <w:sz w:val="1"/>
          <w:szCs w:val="1"/>
          <w:color w:val="auto"/>
        </w:rPr>
        <w:drawing>
          <wp:inline distT="0" distB="0" distL="0" distR="0">
            <wp:extent cx="274320" cy="857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85725"/>
                    </a:xfrm>
                    <a:prstGeom prst="rect">
                      <a:avLst/>
                    </a:prstGeom>
                    <a:noFill/>
                    <a:ln>
                      <a:noFill/>
                    </a:ln>
                  </pic:spPr>
                </pic:pic>
              </a:graphicData>
            </a:graphic>
          </wp:inline>
        </w:drawing>
      </w:r>
      <w:r>
        <w:rPr>
          <w:rFonts w:ascii="Arial" w:cs="Arial" w:eastAsia="Arial" w:hAnsi="Arial"/>
          <w:sz w:val="18"/>
          <w:szCs w:val="18"/>
          <w:color w:val="auto"/>
        </w:rPr>
        <w:t xml:space="preserve"> Largest contraction in volumes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937" w:gutter="0" w:footer="0" w:header="0"/>
        </w:sectPr>
      </w:pPr>
    </w:p>
    <w:bookmarkStart w:id="9" w:name="page10"/>
    <w:bookmarkEnd w:id="9"/>
    <w:p>
      <w:pPr>
        <w:spacing w:after="0" w:line="342" w:lineRule="auto"/>
        <w:rPr>
          <w:sz w:val="20"/>
          <w:szCs w:val="20"/>
          <w:color w:val="auto"/>
        </w:rPr>
      </w:pPr>
      <w:r>
        <w:rPr>
          <w:rFonts w:ascii="Arial" w:cs="Arial" w:eastAsia="Arial" w:hAnsi="Arial"/>
          <w:sz w:val="16"/>
          <w:szCs w:val="16"/>
          <w:color w:val="auto"/>
        </w:rPr>
        <w:t>Average daily balances reported growth of only +0.9% QoQ, which is a rate lower than that posted for quarter-end balances (+1.6% QoQ) given that the latter recovered toward the end of the quarter. This increase was very balanced in terms of currency, so the currency mix of the loan book was relatively stable.</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higher level registered this quarter was due primarily to growth in Retail Banking at BCP Stand-alone, specifically in the SME-Business and SME-Pyme segments, and at Mibanco and BCP Bolivia.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142875</wp:posOffset>
            </wp:positionV>
            <wp:extent cx="5720080" cy="1749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008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At BCP Stand-alone, Wholesale Banking posted a slight contraction QoQ due to a drop in Corporate Banking loans in both currencies, which reflects, to a large extent, the aggressive competition seen in this segment since 2016. This was attenuated by loan growth, particularly in FC, in Middle-Market Banking.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QoQ increase in the Retail Banking portfolio at BCP Stand-alone was attributable to:</w:t>
      </w:r>
    </w:p>
    <w:p>
      <w:pPr>
        <w:spacing w:after="0" w:line="225" w:lineRule="exact"/>
        <w:rPr>
          <w:sz w:val="20"/>
          <w:szCs w:val="20"/>
          <w:color w:val="auto"/>
        </w:rPr>
      </w:pPr>
    </w:p>
    <w:p>
      <w:pPr>
        <w:ind w:left="880" w:hanging="49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growth in SME-Pyme mainly in loans denominated in LC;</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 expansion in SME-Business in loans of both currencies;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Mortgage loans denominated in LC.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aforementioned helped offset the slight contraction in the Credit Card segment. In terms of the credit card segment, it is important to note that the strategy implemented to reduce clients’ level of leverage has had a negative impact on loan origination, but has allowed us to exercise more control and absorb the delinquency level that was registered at the end of 2015, which was above our risk appetite.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 posted loan growth, which was situated at +4.2% QoQ in 2Q17, measured in average daily balances. This evolution was due to higher growth in the Wholesale Banking segment, which was primarily attributable to growth in Corporate Banking loans. Retail Banking also posted slight growth due to an increase in mortgage loans.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Mibanco’s loan book expanded +1.7% QoQ, measured in average daily balances, which is noteworthy given the context of low economic growth. Regardless, the speed of origination still remains below this segment’s potential.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ASB loans, measured in average daily balances, fell -3.3% QoQ, which was attributable to pre-payments of Back-to-Back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the aforementioned is reflected in the change in the portfolio mix, where segments with higher margins such as SME-Pyme, SME-Business and Mibanco continue to increase their shares due to higher growth rates and to contractions in some segments in a context of growing competition and subsequently lower margins.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142875</wp:posOffset>
            </wp:positionV>
            <wp:extent cx="5720080" cy="1809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2008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analysis of total loans YoY measured in average daily balances shows growth of +1.4% that was led by Mibanco, Middle-Market Banking and SME-Pyme at BCP Stand-alone and by BCP Bolivia. YoY growth was due mainly to expansion in FC loans, which helped offset the contraction in average daily balances in LC.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Finally, average daily balances expanded +0.4% YTD and +2.1% adjusted for FX, in a scenario in which the Sol appreciated 2.71% since December.</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Evolution of dollarization by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dollarization by Credicorp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154940</wp:posOffset>
            </wp:positionV>
            <wp:extent cx="5591175" cy="2409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9117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hanging="256"/>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left="260" w:firstLine="4"/>
        <w:spacing w:after="0" w:line="261" w:lineRule="auto"/>
        <w:tabs>
          <w:tab w:leader="none" w:pos="54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BCP Stand-alone and Mibanco’s loan books.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analysis of the YoY evolution of Credicorp’s dollarization level shows an increase that is attributable to an increase in the dollarization level at BCP Stand-alone and, to a lesser extent, to expansion in loans at BCP Bolivia. It is important to note that BCP Bolivia’s loans are denominated in Bolivian Pesos and as such, are considered part of Credicorp’s FC portfolio when calculating the dollarization level.</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chart above shows the levels of dollarization of the business segments at BCP Stand-alone and Mibanco. It is important to note that:</w:t>
      </w:r>
    </w:p>
    <w:p>
      <w:pPr>
        <w:spacing w:after="0" w:line="225" w:lineRule="exact"/>
        <w:rPr>
          <w:sz w:val="20"/>
          <w:szCs w:val="20"/>
          <w:color w:val="auto"/>
        </w:rPr>
      </w:pPr>
    </w:p>
    <w:p>
      <w:pPr>
        <w:ind w:left="880" w:hanging="494"/>
        <w:spacing w:after="0" w:line="277"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dollarization at BCP Stand-alone was due to an increase in this level in Wholesale Banking, which was in turn attributable to loans for clients in the fishing sector that have US dollar income generation; and</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other segments posted stable dollarization levels with the exception of Mortgage, which continued its gradual dedollarization process.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aforementioned contributed to maintaining the percentage of the loan portfolio that is highly exposed to FX-risk on credit risk at relatively stable levels, which, as the figure shows, are close to 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154940</wp:posOffset>
            </wp:positionV>
            <wp:extent cx="3138805" cy="1612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3880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BCRP de-dollarization plan at BCP Stand-alone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2014, BCRP established a Loan Dedollarization Program. Among the measures taken, progressive dedollarization goals were set for June 2015, December 2015 and December 2016 for the total portfolio in FC with some exceptions and for the joint mortgage and car portfolio. The balance required at the end of December 2017 has been adjusted in the following way:</w:t>
      </w:r>
    </w:p>
    <w:p>
      <w:pPr>
        <w:spacing w:after="0" w:line="181" w:lineRule="exact"/>
        <w:rPr>
          <w:sz w:val="20"/>
          <w:szCs w:val="20"/>
          <w:color w:val="auto"/>
        </w:rPr>
      </w:pPr>
    </w:p>
    <w:p>
      <w:pPr>
        <w:jc w:val="both"/>
        <w:ind w:left="880" w:hanging="494"/>
        <w:spacing w:after="0" w:line="264"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total portfolio in FC, the balance at the end of December 2017 should represent no more than 80% of the total loan balance at the end of September 2013 (excluding some loans). This goal is the same as that set for December 2016. It is important to note that at the end of 4Q16, Credicorp posted a compliance level of 144% for this goal; and</w:t>
      </w:r>
    </w:p>
    <w:p>
      <w:pPr>
        <w:spacing w:after="0" w:line="181"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FC portfolio in FC in the mortgage and car portfolio at the end of December 2017 must represent no more 60% of the balance at the end of February 2013.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bases for both goals are pegged to quarter-end balances in local accounting but the compliance level is calculated with monthly average daily balances for the reporting month.</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figures below show the percentage of compliance at the end of September 2017:</w:t>
      </w:r>
    </w:p>
    <w:p>
      <w:pPr>
        <w:sectPr>
          <w:pgSz w:w="11900" w:h="16838" w:orient="portrait"/>
          <w:cols w:equalWidth="0" w:num="1">
            <w:col w:w="11420"/>
          </w:cols>
          <w:pgMar w:left="240" w:top="908" w:right="239" w:bottom="1440" w:gutter="0" w:footer="0" w:header="0"/>
        </w:sectPr>
      </w:pPr>
    </w:p>
    <w:p>
      <w:pPr>
        <w:spacing w:after="0" w:line="244"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-at the end of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142875</wp:posOffset>
            </wp:positionV>
            <wp:extent cx="2487295" cy="1355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7295" cy="1355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700"/>
        <w:spacing w:after="0"/>
        <w:rPr>
          <w:sz w:val="20"/>
          <w:szCs w:val="20"/>
          <w:color w:val="auto"/>
        </w:rPr>
      </w:pPr>
      <w:r>
        <w:rPr>
          <w:rFonts w:ascii="Arial" w:cs="Arial" w:eastAsia="Arial" w:hAnsi="Arial"/>
          <w:sz w:val="18"/>
          <w:szCs w:val="18"/>
          <w:b w:val="1"/>
          <w:bCs w:val="1"/>
          <w:color w:val="auto"/>
        </w:rPr>
        <w:t>-at the end of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142875</wp:posOffset>
            </wp:positionV>
            <wp:extent cx="2512695" cy="1406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12695" cy="1406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76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is evident in the figures, BCP Stand-alone has achieved a comfortable compliance level for the loans that are subject to the dedollarization program. In terms of the Car + Mortgage portfolio, the compliance level is slightly below 100%, which reflects a slowdown in the speed of dedollarization in the Mortgage segment. Nevertheless, this is not of concern given that Credicorp still has three months to hit the reduction goal.</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Market share in Peru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90170</wp:posOffset>
            </wp:positionV>
            <wp:extent cx="5917565" cy="1655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756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August 2017, June 2017 and September 2016.</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2.0% as of August 2017, 2.1% as of June 2017 and 2.2% as of September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Corporate and Middle-market market shares are as of September 2017</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August 2017, BCP Stand-alone continued to lead the market with a share of 28.7%, which is significantly higher than the level posted by its closest competitor. Nevertheless, this share falls below the 30.0% posted in 3Q16, which reflects high competition in the Wholesale Banking segment and low growth in the Retail Banking segments.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Middle-Market Banking reduced their market share in -70 and -180 bps, respectively. However, it is worth mentioning that both maintained their leadership in their respective markets.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Retail Banking, BCP also registered a relatively stable market share and continued to lead in the vast majority of its segments with the exception of SME-Business, where it ranked second. The banks remains committed to increasing its market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Mibanco slightly increased its market share in the SME-Pyme segment, going from 22.4% in September 2016 to 22.5% in August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Finally, BCP Bolivia’s market share grew QoQ and YoY, once again ranking fourth in the Bolivian Financial System.</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 2017, Credicorp’s funding structure shows a higher share of Deposits. In 3Q17, it is important to note: i) an increase in the funding volume, which was in line with a gradual recovery in loan growth; ii) significant expansion in Demand and Savings deposits, which are a lower-cost source of funding; and iii) the increase in Due to banks and correspondents in LC, which have replaced BCRP instruments, in line with the strategy to keep the currency and duration mistmatch within internal limits. All of the aforementioned led to a drop in interest expenses, which translated into a 5 bps drop QoQ in Credicorp’s funding cost.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 change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 16</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Jun 17</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Sep 17</w:t>
            </w: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QoQ</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23,684,449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24,051,059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24,506,234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5,530,717</w:t>
            </w:r>
          </w:p>
        </w:tc>
        <w:tc>
          <w:tcPr>
            <w:tcW w:w="1140" w:type="dxa"/>
            <w:vAlign w:val="bottom"/>
          </w:tcPr>
          <w:p>
            <w:pPr>
              <w:jc w:val="right"/>
              <w:spacing w:after="0"/>
              <w:rPr>
                <w:sz w:val="20"/>
                <w:szCs w:val="20"/>
                <w:color w:val="auto"/>
              </w:rPr>
            </w:pPr>
            <w:r>
              <w:rPr>
                <w:rFonts w:ascii="Arial" w:cs="Arial" w:eastAsia="Arial" w:hAnsi="Arial"/>
                <w:sz w:val="18"/>
                <w:szCs w:val="18"/>
                <w:color w:val="auto"/>
              </w:rPr>
              <w:t>4,884,148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5,075,162</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26,015,226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26,085,580</w:t>
            </w:r>
          </w:p>
        </w:tc>
        <w:tc>
          <w:tcPr>
            <w:tcW w:w="1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26,652,822</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26,515,785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29,576,960</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29,619,222</w:t>
            </w:r>
          </w:p>
        </w:tc>
        <w:tc>
          <w:tcPr>
            <w:tcW w:w="80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6,611,956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7,039,767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6,609,242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-6.1%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351,479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401,618</w:t>
            </w:r>
          </w:p>
        </w:tc>
        <w:tc>
          <w:tcPr>
            <w:tcW w:w="1120" w:type="dxa"/>
            <w:vAlign w:val="bottom"/>
          </w:tcPr>
          <w:p>
            <w:pPr>
              <w:jc w:val="right"/>
              <w:spacing w:after="0"/>
              <w:rPr>
                <w:sz w:val="20"/>
                <w:szCs w:val="20"/>
                <w:color w:val="auto"/>
              </w:rPr>
            </w:pPr>
            <w:r>
              <w:rPr>
                <w:rFonts w:ascii="Arial" w:cs="Arial" w:eastAsia="Arial" w:hAnsi="Arial"/>
                <w:sz w:val="18"/>
                <w:szCs w:val="18"/>
                <w:color w:val="auto"/>
              </w:rPr>
              <w:t>431,233</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10"/>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88,709,612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92,039,132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92,893,915</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120" w:type="dxa"/>
            <w:vAlign w:val="bottom"/>
          </w:tcPr>
          <w:p>
            <w:pPr>
              <w:jc w:val="right"/>
              <w:spacing w:after="0"/>
              <w:rPr>
                <w:sz w:val="20"/>
                <w:szCs w:val="20"/>
                <w:color w:val="auto"/>
              </w:rPr>
            </w:pPr>
            <w:r>
              <w:rPr>
                <w:rFonts w:ascii="Arial" w:cs="Arial" w:eastAsia="Arial" w:hAnsi="Arial"/>
                <w:sz w:val="18"/>
                <w:szCs w:val="18"/>
                <w:color w:val="auto"/>
              </w:rPr>
              <w:t>7,770,822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8,066,962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8,867,185</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BCRP instruments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10,798,751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8,989,728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8,107,103</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7"/>
              </w:rPr>
              <w:t>-9.8%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Bonds and subordinated debt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15,571,172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15,295,673</w:t>
            </w:r>
          </w:p>
        </w:tc>
        <w:tc>
          <w:tcPr>
            <w:tcW w:w="1340" w:type="dxa"/>
            <w:vAlign w:val="bottom"/>
            <w:gridSpan w:val="2"/>
          </w:tcPr>
          <w:p>
            <w:pPr>
              <w:ind w:left="320"/>
              <w:spacing w:after="0"/>
              <w:rPr>
                <w:sz w:val="20"/>
                <w:szCs w:val="20"/>
                <w:color w:val="auto"/>
              </w:rPr>
            </w:pPr>
            <w:r>
              <w:rPr>
                <w:rFonts w:ascii="Arial" w:cs="Arial" w:eastAsia="Arial" w:hAnsi="Arial"/>
                <w:sz w:val="18"/>
                <w:szCs w:val="18"/>
                <w:color w:val="auto"/>
              </w:rPr>
              <w:t>15,236,054</w:t>
            </w:r>
          </w:p>
        </w:tc>
        <w:tc>
          <w:tcPr>
            <w:tcW w:w="80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w w:val="97"/>
              </w:rPr>
              <w:t>-0.4%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46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16,201,411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16,803,410</w:t>
            </w:r>
          </w:p>
        </w:tc>
        <w:tc>
          <w:tcPr>
            <w:tcW w:w="1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17,807,782</w:t>
            </w:r>
          </w:p>
        </w:tc>
        <w:tc>
          <w:tcPr>
            <w:tcW w:w="8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139,051,768</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141,194,905</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142,912,039</w:t>
            </w: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 Includes acceptances outstanding, reserves for property and casualty claims, reserve for unearned premiums, reinsurance payable and other liabilities.</w:t>
      </w:r>
    </w:p>
    <w:p>
      <w:pPr>
        <w:spacing w:after="0" w:line="24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31485" cy="2504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3148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 Includes acceptances outstanding, reserve for property and casualty claims, reserve for unearned premiums, reinsurance payable and other liabilities.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the figure for the Evolution of the funding structure and cost at Credicorp is calculated based on quarter-end balances. This quarter, it is noteworthy the QoQ increase in the share of </w:t>
      </w:r>
      <w:r>
        <w:rPr>
          <w:rFonts w:ascii="Arial" w:cs="Arial" w:eastAsia="Arial" w:hAnsi="Arial"/>
          <w:sz w:val="18"/>
          <w:szCs w:val="18"/>
          <w:b w:val="1"/>
          <w:bCs w:val="1"/>
          <w:color w:val="auto"/>
        </w:rPr>
        <w:t>Due to banks and correspondents, Savings deposits and Demand deposits</w:t>
      </w:r>
      <w:r>
        <w:rPr>
          <w:rFonts w:ascii="Arial" w:cs="Arial" w:eastAsia="Arial" w:hAnsi="Arial"/>
          <w:sz w:val="18"/>
          <w:szCs w:val="18"/>
          <w:color w:val="auto"/>
        </w:rPr>
        <w:t xml:space="preserve"> in Credicorp’s funding mix, while </w:t>
      </w:r>
      <w:r>
        <w:rPr>
          <w:rFonts w:ascii="Arial" w:cs="Arial" w:eastAsia="Arial" w:hAnsi="Arial"/>
          <w:sz w:val="18"/>
          <w:szCs w:val="18"/>
          <w:b w:val="1"/>
          <w:bCs w:val="1"/>
          <w:color w:val="auto"/>
        </w:rPr>
        <w:t>BCRP</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Instruments </w:t>
      </w:r>
      <w:r>
        <w:rPr>
          <w:rFonts w:ascii="Arial" w:cs="Arial" w:eastAsia="Arial" w:hAnsi="Arial"/>
          <w:sz w:val="18"/>
          <w:szCs w:val="18"/>
          <w:color w:val="auto"/>
        </w:rPr>
        <w:t>continue to post a drop in their share due to expirations of regular repos.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Deposits continued to represent the main funding source at Credicorp with a 64.7% share of total funding at the end of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139700</wp:posOffset>
            </wp:positionV>
            <wp:extent cx="34290" cy="1560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1560195"/>
                    </a:xfrm>
                    <a:prstGeom prst="rect">
                      <a:avLst/>
                    </a:prstGeom>
                    <a:noFill/>
                  </pic:spPr>
                </pic:pic>
              </a:graphicData>
            </a:graphic>
          </wp:anchor>
        </w:drawing>
      </w:r>
    </w:p>
    <w:p>
      <w:pPr>
        <w:spacing w:after="0" w:line="201" w:lineRule="exact"/>
        <w:rPr>
          <w:sz w:val="20"/>
          <w:szCs w:val="20"/>
          <w:color w:val="auto"/>
        </w:rPr>
      </w:pPr>
    </w:p>
    <w:p>
      <w:pPr>
        <w:jc w:val="both"/>
        <w:ind w:right="5820"/>
        <w:spacing w:after="0" w:line="258" w:lineRule="auto"/>
        <w:rPr>
          <w:sz w:val="20"/>
          <w:szCs w:val="20"/>
          <w:color w:val="auto"/>
        </w:rPr>
      </w:pPr>
      <w:r>
        <w:rPr>
          <w:rFonts w:ascii="Arial" w:cs="Arial" w:eastAsia="Arial" w:hAnsi="Arial"/>
          <w:sz w:val="18"/>
          <w:szCs w:val="18"/>
          <w:color w:val="auto"/>
        </w:rPr>
        <w:t xml:space="preserve">The share of </w:t>
      </w:r>
      <w:r>
        <w:rPr>
          <w:rFonts w:ascii="Arial" w:cs="Arial" w:eastAsia="Arial" w:hAnsi="Arial"/>
          <w:sz w:val="18"/>
          <w:szCs w:val="18"/>
          <w:b w:val="1"/>
          <w:bCs w:val="1"/>
          <w:color w:val="auto"/>
        </w:rPr>
        <w:t>BCRP Instruments</w:t>
      </w:r>
      <w:r>
        <w:rPr>
          <w:rFonts w:ascii="Arial" w:cs="Arial" w:eastAsia="Arial" w:hAnsi="Arial"/>
          <w:sz w:val="18"/>
          <w:szCs w:val="18"/>
          <w:color w:val="auto"/>
        </w:rPr>
        <w:t xml:space="preserve"> in Credicorp’s total funding fell -70 bps QoQ. This was due primarily to the expiration of </w:t>
      </w:r>
      <w:r>
        <w:rPr>
          <w:rFonts w:ascii="Arial" w:cs="Arial" w:eastAsia="Arial" w:hAnsi="Arial"/>
          <w:sz w:val="18"/>
          <w:szCs w:val="18"/>
          <w:b w:val="1"/>
          <w:bCs w:val="1"/>
          <w:color w:val="auto"/>
        </w:rPr>
        <w:t>Regular Repos</w:t>
      </w:r>
      <w:r>
        <w:rPr>
          <w:rFonts w:ascii="Arial" w:cs="Arial" w:eastAsia="Arial" w:hAnsi="Arial"/>
          <w:sz w:val="18"/>
          <w:szCs w:val="18"/>
          <w:color w:val="auto"/>
        </w:rPr>
        <w:t xml:space="preserve"> with BCRP. It is important to note that BCP Stand-alone accounts for approximately 95% of BCRP Instruments at the Credicorp level; the remainder corresponds to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-651510</wp:posOffset>
            </wp:positionV>
            <wp:extent cx="2855595" cy="14922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5559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Given the importance of BCP Stand-alone’s funding, we have developed a figure to show its structure by tenure. It is evident that approximately 67.8% of the funding in BCRP Instruments have expiration dates in 2017 and 2018.</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BCP Stand-alone - Funding structure by tenure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142240</wp:posOffset>
            </wp:positionV>
            <wp:extent cx="34290" cy="2520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2520950"/>
                    </a:xfrm>
                    <a:prstGeom prst="rect">
                      <a:avLst/>
                    </a:prstGeom>
                    <a:noFill/>
                  </pic:spPr>
                </pic:pic>
              </a:graphicData>
            </a:graphic>
          </wp:anchor>
        </w:drawing>
      </w:r>
    </w:p>
    <w:p>
      <w:pPr>
        <w:spacing w:after="0" w:line="205" w:lineRule="exact"/>
        <w:rPr>
          <w:sz w:val="20"/>
          <w:szCs w:val="20"/>
          <w:color w:val="auto"/>
        </w:rPr>
      </w:pPr>
    </w:p>
    <w:p>
      <w:pPr>
        <w:ind w:left="1900"/>
        <w:spacing w:after="0"/>
        <w:tabs>
          <w:tab w:leader="none" w:pos="7460" w:val="left"/>
        </w:tabs>
        <w:rPr>
          <w:sz w:val="20"/>
          <w:szCs w:val="20"/>
          <w:color w:val="auto"/>
        </w:rPr>
      </w:pPr>
      <w:r>
        <w:rPr>
          <w:rFonts w:ascii="Arial" w:cs="Arial" w:eastAsia="Arial" w:hAnsi="Arial"/>
          <w:sz w:val="18"/>
          <w:szCs w:val="18"/>
          <w:b w:val="1"/>
          <w:bCs w:val="1"/>
          <w:color w:val="auto"/>
        </w:rPr>
        <w:t>At the end of June 2017</w:t>
      </w:r>
      <w:r>
        <w:rPr>
          <w:sz w:val="20"/>
          <w:szCs w:val="20"/>
          <w:color w:val="auto"/>
        </w:rPr>
        <w:tab/>
      </w:r>
      <w:r>
        <w:rPr>
          <w:rFonts w:ascii="Arial" w:cs="Arial" w:eastAsia="Arial" w:hAnsi="Arial"/>
          <w:sz w:val="16"/>
          <w:szCs w:val="16"/>
          <w:b w:val="1"/>
          <w:bCs w:val="1"/>
          <w:color w:val="auto"/>
        </w:rPr>
        <w:t>At the end of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154940</wp:posOffset>
            </wp:positionV>
            <wp:extent cx="6277610" cy="986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77610" cy="9861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154940</wp:posOffset>
            </wp:positionV>
            <wp:extent cx="6277610" cy="986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77610" cy="98615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8"/>
        <w:spacing w:after="0" w:line="268" w:lineRule="auto"/>
        <w:tabs>
          <w:tab w:leader="none" w:pos="3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76% of total deposits; 34% of the non-contractual deposits has tenure lower than 6 months and 66% of the non-contractual deposits has a duration higher than 6 months (10% ≤ 1 year, 30% between &gt;1 year and ≤ 3 years, and 60% from &gt;3 years onwards).</w:t>
      </w:r>
    </w:p>
    <w:p>
      <w:pPr>
        <w:spacing w:after="0" w:line="1" w:lineRule="exact"/>
        <w:rPr>
          <w:rFonts w:ascii="Arial" w:cs="Arial" w:eastAsia="Arial" w:hAnsi="Arial"/>
          <w:sz w:val="17"/>
          <w:szCs w:val="17"/>
          <w:color w:val="auto"/>
        </w:rPr>
      </w:pPr>
    </w:p>
    <w:p>
      <w:pPr>
        <w:ind w:firstLine="8"/>
        <w:spacing w:after="0" w:line="261" w:lineRule="auto"/>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9" w:firstLine="9"/>
        <w:spacing w:after="0" w:line="268" w:lineRule="auto"/>
        <w:tabs>
          <w:tab w:leader="none" w:pos="337"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77% of total deposits; 34% of the non-contractual deposits has tenure lower than 6 months and 66% of the non-contractual deposits has a duration higher than 6 months (9% ≤ 1 year, 31% between &gt;1 year and ≤ 3 years, and 60% from &gt;3 years onwards).</w:t>
      </w:r>
    </w:p>
    <w:p>
      <w:pPr>
        <w:spacing w:after="0" w:line="1" w:lineRule="exact"/>
        <w:rPr>
          <w:rFonts w:ascii="Arial" w:cs="Arial" w:eastAsia="Arial" w:hAnsi="Arial"/>
          <w:sz w:val="17"/>
          <w:szCs w:val="17"/>
          <w:color w:val="auto"/>
        </w:rPr>
      </w:pPr>
    </w:p>
    <w:p>
      <w:pPr>
        <w:ind w:left="-9" w:firstLine="9"/>
        <w:spacing w:after="0" w:line="261" w:lineRule="auto"/>
        <w:tabs>
          <w:tab w:leader="none" w:pos="2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180" w:lineRule="exact"/>
        <w:rPr>
          <w:sz w:val="20"/>
          <w:szCs w:val="20"/>
          <w:color w:val="auto"/>
        </w:rPr>
      </w:pPr>
    </w:p>
    <w:p>
      <w:pPr>
        <w:sectPr>
          <w:pgSz w:w="11900" w:h="16838" w:orient="portrait"/>
          <w:cols w:equalWidth="0" w:num="2">
            <w:col w:w="5600" w:space="229"/>
            <w:col w:w="5591"/>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2.1 Deposits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Deposits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16</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Jun 17</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17</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23,684,449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24,051,059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24,506,234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5,530,717</w:t>
            </w:r>
          </w:p>
        </w:tc>
        <w:tc>
          <w:tcPr>
            <w:tcW w:w="900" w:type="dxa"/>
            <w:vAlign w:val="bottom"/>
          </w:tcPr>
          <w:p>
            <w:pPr>
              <w:jc w:val="right"/>
              <w:spacing w:after="0"/>
              <w:rPr>
                <w:sz w:val="20"/>
                <w:szCs w:val="20"/>
                <w:color w:val="auto"/>
              </w:rPr>
            </w:pPr>
            <w:r>
              <w:rPr>
                <w:rFonts w:ascii="Arial" w:cs="Arial" w:eastAsia="Arial" w:hAnsi="Arial"/>
                <w:sz w:val="18"/>
                <w:szCs w:val="18"/>
                <w:color w:val="auto"/>
              </w:rPr>
              <w:t>4,884,148</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5,075,162</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26,015,226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26,085,580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26,652,822</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26,515,785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29,576,960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29,619,222</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indemnity deposits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6,611,956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7,039,767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6,609,242</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351,479</w:t>
            </w:r>
          </w:p>
        </w:tc>
        <w:tc>
          <w:tcPr>
            <w:tcW w:w="900" w:type="dxa"/>
            <w:vAlign w:val="bottom"/>
          </w:tcPr>
          <w:p>
            <w:pPr>
              <w:jc w:val="right"/>
              <w:spacing w:after="0"/>
              <w:rPr>
                <w:sz w:val="20"/>
                <w:szCs w:val="20"/>
                <w:color w:val="auto"/>
              </w:rPr>
            </w:pPr>
            <w:r>
              <w:rPr>
                <w:rFonts w:ascii="Arial" w:cs="Arial" w:eastAsia="Arial" w:hAnsi="Arial"/>
                <w:sz w:val="18"/>
                <w:szCs w:val="18"/>
                <w:color w:val="auto"/>
              </w:rPr>
              <w:t>401,618</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431,233</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22.7%</w:t>
            </w: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88,709,612</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92,039,132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92,893,915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grew QoQ. This was primarily attributable to growth at BCP Stand-alone and, to a lesser extent, to expansion at BCP Bolivia.</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Within the QoQ increase, 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by individuals is noteworthy, particularly in terms of main products such as payroll accounts, “my first account” and “award account” (different types of saving accounts for individuals, which were promoted through a large-scale advertising campaign). This expansion was the result of significant efforts to offset aggressive competition to capture deposits from individuals.</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QoQ growth was also reported in i) </w:t>
      </w:r>
      <w:r>
        <w:rPr>
          <w:rFonts w:ascii="Arial" w:cs="Arial" w:eastAsia="Arial" w:hAnsi="Arial"/>
          <w:sz w:val="18"/>
          <w:szCs w:val="18"/>
          <w:b w:val="1"/>
          <w:bCs w:val="1"/>
          <w:color w:val="auto"/>
        </w:rPr>
        <w:t>non-interest bearing demand deposits,</w:t>
      </w:r>
      <w:r>
        <w:rPr>
          <w:rFonts w:ascii="Arial" w:cs="Arial" w:eastAsia="Arial" w:hAnsi="Arial"/>
          <w:sz w:val="18"/>
          <w:szCs w:val="18"/>
          <w:color w:val="auto"/>
        </w:rPr>
        <w:t xml:space="preserve"> which was in turn due to a higher volume in current accounts in LC of Corporate Banking clients at BCP Stand-alone; and ii) </w:t>
      </w:r>
      <w:r>
        <w:rPr>
          <w:rFonts w:ascii="Arial" w:cs="Arial" w:eastAsia="Arial" w:hAnsi="Arial"/>
          <w:sz w:val="18"/>
          <w:szCs w:val="18"/>
          <w:b w:val="1"/>
          <w:bCs w:val="1"/>
          <w:color w:val="auto"/>
        </w:rPr>
        <w:t>Interest-bearing demand deposits,</w:t>
      </w:r>
      <w:r>
        <w:rPr>
          <w:rFonts w:ascii="Arial" w:cs="Arial" w:eastAsia="Arial" w:hAnsi="Arial"/>
          <w:sz w:val="18"/>
          <w:szCs w:val="18"/>
          <w:color w:val="auto"/>
        </w:rPr>
        <w:t xml:space="preserve"> mainly in Corporate Banking in LC.</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was due primarily attributable to corporate clients </w:t>
      </w:r>
      <w:r>
        <w:rPr>
          <w:rFonts w:ascii="Arial" w:cs="Arial" w:eastAsia="Arial" w:hAnsi="Arial"/>
          <w:sz w:val="18"/>
          <w:szCs w:val="18"/>
          <w:b w:val="1"/>
          <w:bCs w:val="1"/>
          <w:color w:val="auto"/>
        </w:rPr>
        <w:t>at BCP Bolivia</w:t>
      </w:r>
      <w:r>
        <w:rPr>
          <w:rFonts w:ascii="Arial" w:cs="Arial" w:eastAsia="Arial" w:hAnsi="Arial"/>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aforementioned helped offset the seasonal contraction QoQ in </w:t>
      </w:r>
      <w:r>
        <w:rPr>
          <w:rFonts w:ascii="Arial" w:cs="Arial" w:eastAsia="Arial" w:hAnsi="Arial"/>
          <w:sz w:val="18"/>
          <w:szCs w:val="18"/>
          <w:b w:val="1"/>
          <w:bCs w:val="1"/>
          <w:color w:val="auto"/>
        </w:rPr>
        <w:t>Severance indemnity deposits</w:t>
      </w:r>
      <w:r>
        <w:rPr>
          <w:rFonts w:ascii="Arial" w:cs="Arial" w:eastAsia="Arial" w:hAnsi="Arial"/>
          <w:sz w:val="18"/>
          <w:szCs w:val="18"/>
          <w:color w:val="auto"/>
        </w:rPr>
        <w:t xml:space="preserve"> given that employers pay half a salary every 2Q and some employees opt to withdraw the excess accumulated in the following quarter (3Q).</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 terms,</w:t>
      </w:r>
      <w:r>
        <w:rPr>
          <w:rFonts w:ascii="Arial" w:cs="Arial" w:eastAsia="Arial" w:hAnsi="Arial"/>
          <w:sz w:val="18"/>
          <w:szCs w:val="18"/>
          <w:color w:val="auto"/>
        </w:rPr>
        <w:t xml:space="preserve"> there was a significant 4.7% increase in total Deposits due to increases in the level o</w:t>
      </w:r>
      <w:r>
        <w:rPr>
          <w:rFonts w:ascii="Arial" w:cs="Arial" w:eastAsia="Arial" w:hAnsi="Arial"/>
          <w:sz w:val="18"/>
          <w:szCs w:val="18"/>
          <w:b w:val="1"/>
          <w:bCs w:val="1"/>
          <w:color w:val="auto"/>
        </w:rPr>
        <w:t>f Time deposits and Non-interest bearing demand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deposits. </w:t>
      </w:r>
      <w:r>
        <w:rPr>
          <w:rFonts w:ascii="Arial" w:cs="Arial" w:eastAsia="Arial" w:hAnsi="Arial"/>
          <w:sz w:val="18"/>
          <w:szCs w:val="18"/>
          <w:color w:val="auto"/>
        </w:rPr>
        <w:t>Growth in the latter was mainly attributable to expansion in</w:t>
      </w:r>
      <w:r>
        <w:rPr>
          <w:rFonts w:ascii="Arial" w:cs="Arial" w:eastAsia="Arial" w:hAnsi="Arial"/>
          <w:sz w:val="18"/>
          <w:szCs w:val="18"/>
          <w:b w:val="1"/>
          <w:bCs w:val="1"/>
          <w:color w:val="auto"/>
        </w:rPr>
        <w:t xml:space="preserve"> Current accounts </w:t>
      </w:r>
      <w:r>
        <w:rPr>
          <w:rFonts w:ascii="Arial" w:cs="Arial" w:eastAsia="Arial" w:hAnsi="Arial"/>
          <w:sz w:val="18"/>
          <w:szCs w:val="18"/>
          <w:color w:val="auto"/>
        </w:rPr>
        <w:t>at BCP Stand-alone.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Deposit dollarization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90170</wp:posOffset>
            </wp:positionV>
            <wp:extent cx="3275965" cy="960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7596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(1) Q-end balances.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Deposit dollarization at Credicorp fell QoQ. This was due primarily to an increase in Demand and Savings deposits, both a lower-cost funding source, in LC and at BCP Stand-alone. The aforementioned was accentuated by the contraction in FC deposits. All of the aforementioned was in line with our strategy to maintain an adequate balance of assets and liabilities by currency.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shows a trend similar to that seen in the QoQ evolution, which was attributable to significant growth in Demand deposits (interest-bearing and non-interest bearing) and Savings deposits in LC through BCP Stand-alone, as the figure below shows.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154940</wp:posOffset>
            </wp:positionV>
            <wp:extent cx="5746115" cy="1543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611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analysis of the evolution of the dollarization of deposits by type shows that all of the deposits report either lower or stable dollarization levels QoQ. It is noteworthy to note, the increase in Non-interest bearing demand and Savings deposits, both in LC.</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significant dedollarization was attributable to an increase in demand, savings and CTS deposits in LC. It is important to note that the increase in the dollarization level of Time deposits in 2016 was originated by corporate clients.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154940</wp:posOffset>
            </wp:positionV>
            <wp:extent cx="5213985" cy="1663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640" w:hanging="249"/>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Demand deposits includes Mibanco's market share of 0.1% at the end of September 2016, 0.2% at the end of June 2017 and August 2017.</w:t>
      </w:r>
    </w:p>
    <w:p>
      <w:pPr>
        <w:spacing w:after="0" w:line="20" w:lineRule="exact"/>
        <w:rPr>
          <w:rFonts w:ascii="Arial" w:cs="Arial" w:eastAsia="Arial" w:hAnsi="Arial"/>
          <w:sz w:val="17"/>
          <w:szCs w:val="17"/>
          <w:color w:val="auto"/>
        </w:rPr>
      </w:pPr>
    </w:p>
    <w:p>
      <w:pPr>
        <w:ind w:left="640" w:hanging="24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1.2% at the end of September 2016, June 2017 and August 2017.</w:t>
      </w:r>
    </w:p>
    <w:p>
      <w:pPr>
        <w:spacing w:after="0" w:line="9" w:lineRule="exact"/>
        <w:rPr>
          <w:rFonts w:ascii="Arial" w:cs="Arial" w:eastAsia="Arial" w:hAnsi="Arial"/>
          <w:sz w:val="18"/>
          <w:szCs w:val="18"/>
          <w:color w:val="auto"/>
        </w:rPr>
      </w:pPr>
    </w:p>
    <w:p>
      <w:pPr>
        <w:ind w:left="640" w:hanging="249"/>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Time deposits includes Mibanco's narket share of 5.8% at the end of September 2016, and 5.9% at the end of June 2017 and August 2017.</w:t>
      </w:r>
    </w:p>
    <w:p>
      <w:pPr>
        <w:spacing w:after="0" w:line="20" w:lineRule="exact"/>
        <w:rPr>
          <w:rFonts w:ascii="Arial" w:cs="Arial" w:eastAsia="Arial" w:hAnsi="Arial"/>
          <w:sz w:val="17"/>
          <w:szCs w:val="17"/>
          <w:color w:val="auto"/>
        </w:rPr>
      </w:pPr>
    </w:p>
    <w:p>
      <w:pPr>
        <w:ind w:left="640" w:hanging="249"/>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CTS or Severance indemnity deposits includes Mibanco's market share of 1.2% at the end of September 2016, June 2017 and August 2017.</w:t>
      </w:r>
    </w:p>
    <w:p>
      <w:pPr>
        <w:spacing w:after="0" w:line="2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end of August 2017, Credicorp’s subsidiaries in Peru, BCP and Mibanco, continued to lead in terms of total deposits with a market share (MS) of 32.5%. This result was situated approximately 13.6 percentage points above that of the group’s closest competitor.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QoQ analysis, the MS of total deposits remained stable (32.5% at the end of June 2017) due to the net effect between growth in the MS of savings deposits, and a drop in the MS of Time and CTS deposits.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YoY analysis reveals an 80 bps increase in the market share of total deposits (31.7% at the end of September 2016). This was in line with growth in the MS of savings, demand and time deposits.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BCP Bolivia continued fourth in the Bolivian financial system with a stable MS that was situated at 10.0% at the end of September 2017 (compared to 10.2% at the end of June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16</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17</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17</w:t>
            </w:r>
          </w:p>
        </w:tc>
        <w:tc>
          <w:tcPr>
            <w:tcW w:w="1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7,770,822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8,066,962</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8,867,185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10,798,751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8,989,728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8,107,103</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15,571,172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15,295,673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15,236,054</w:t>
            </w: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39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16,201,411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16,803,410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17,807,782</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50,342,156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49,155,773</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50,018,124</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246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Total of other funding sources</w:t>
      </w:r>
      <w:r>
        <w:rPr>
          <w:rFonts w:ascii="Arial" w:cs="Arial" w:eastAsia="Arial" w:hAnsi="Arial"/>
          <w:sz w:val="18"/>
          <w:szCs w:val="18"/>
          <w:color w:val="auto"/>
        </w:rPr>
        <w:t xml:space="preserve"> increased +1.8% QoQ, which was mainly attributable to a higher level of Due to banks and Correspondents at BCP Stand-alone and, to a lesser extent, at Mibanco.</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Next in line was growth in </w:t>
      </w:r>
      <w:r>
        <w:rPr>
          <w:rFonts w:ascii="Arial" w:cs="Arial" w:eastAsia="Arial" w:hAnsi="Arial"/>
          <w:sz w:val="16"/>
          <w:szCs w:val="16"/>
          <w:b w:val="1"/>
          <w:bCs w:val="1"/>
          <w:color w:val="auto"/>
        </w:rPr>
        <w:t>Other liabilities</w:t>
      </w:r>
      <w:r>
        <w:rPr>
          <w:rFonts w:ascii="Arial" w:cs="Arial" w:eastAsia="Arial" w:hAnsi="Arial"/>
          <w:sz w:val="16"/>
          <w:szCs w:val="16"/>
          <w:color w:val="auto"/>
        </w:rPr>
        <w:t>, which was due to an increase in repo agreements with other banks at BCP Stand-alone and Credicorp Capital.</w:t>
      </w:r>
    </w:p>
    <w:p>
      <w:pPr>
        <w:spacing w:after="0" w:line="248"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QoQ growth in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xml:space="preserve"> originated in the last quarter of 3Q17 at </w:t>
      </w:r>
      <w:r>
        <w:rPr>
          <w:rFonts w:ascii="Arial" w:cs="Arial" w:eastAsia="Arial" w:hAnsi="Arial"/>
          <w:sz w:val="18"/>
          <w:szCs w:val="18"/>
          <w:b w:val="1"/>
          <w:bCs w:val="1"/>
          <w:color w:val="auto"/>
        </w:rPr>
        <w:t>BCP Stand-alone</w:t>
      </w:r>
      <w:r>
        <w:rPr>
          <w:rFonts w:ascii="Arial" w:cs="Arial" w:eastAsia="Arial" w:hAnsi="Arial"/>
          <w:sz w:val="18"/>
          <w:szCs w:val="18"/>
          <w:color w:val="auto"/>
        </w:rPr>
        <w:t>. This increase was due to a higher level of Interbank Funds in LC.</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 xml:space="preserve">All of the aforementioned helped offset the contraction expected in </w:t>
      </w:r>
      <w:r>
        <w:rPr>
          <w:rFonts w:ascii="Arial" w:cs="Arial" w:eastAsia="Arial" w:hAnsi="Arial"/>
          <w:sz w:val="17"/>
          <w:szCs w:val="17"/>
          <w:b w:val="1"/>
          <w:bCs w:val="1"/>
          <w:color w:val="auto"/>
        </w:rPr>
        <w:t>BCRP Instruments</w:t>
      </w:r>
      <w:r>
        <w:rPr>
          <w:rFonts w:ascii="Arial" w:cs="Arial" w:eastAsia="Arial" w:hAnsi="Arial"/>
          <w:sz w:val="17"/>
          <w:szCs w:val="17"/>
          <w:color w:val="auto"/>
        </w:rPr>
        <w:t>, which decreased QoQ due to the expiration of regular repos.</w:t>
      </w:r>
    </w:p>
    <w:p>
      <w:pPr>
        <w:spacing w:after="0" w:line="237"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Bonds and subordinated debt</w:t>
      </w:r>
      <w:r>
        <w:rPr>
          <w:rFonts w:ascii="Arial" w:cs="Arial" w:eastAsia="Arial" w:hAnsi="Arial"/>
          <w:sz w:val="18"/>
          <w:szCs w:val="18"/>
          <w:color w:val="auto"/>
        </w:rPr>
        <w:t>, a slight reduction was reported that was due primarily to the expiration of 3 debt instruments at the Credicorp Remittance Inc</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subsidiary and, to a lesser extent, to expiration of bonds in FC at BCP Stand-alone.</w:t>
      </w:r>
    </w:p>
    <w:p>
      <w:pPr>
        <w:spacing w:after="0" w:line="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shows a slight contraction in the total of Other funding sources, mainly at BCP Stand-alone, which was in line with the contraction in (i) </w:t>
      </w: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which was due primarily to expirations of substitution and expansion repos in 2017; and (ii)</w:t>
      </w:r>
      <w:r>
        <w:rPr>
          <w:rFonts w:ascii="Arial" w:cs="Arial" w:eastAsia="Arial" w:hAnsi="Arial"/>
          <w:sz w:val="18"/>
          <w:szCs w:val="18"/>
          <w:b w:val="1"/>
          <w:bCs w:val="1"/>
          <w:color w:val="auto"/>
        </w:rPr>
        <w:t xml:space="preserve"> Bonds and subordinated debt, </w:t>
      </w:r>
      <w:r>
        <w:rPr>
          <w:rFonts w:ascii="Arial" w:cs="Arial" w:eastAsia="Arial" w:hAnsi="Arial"/>
          <w:sz w:val="18"/>
          <w:szCs w:val="18"/>
          <w:color w:val="auto"/>
        </w:rPr>
        <w:t>due to</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expirations in FC bonds.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154940</wp:posOffset>
            </wp:positionV>
            <wp:extent cx="4236720" cy="1449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3672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L/D ratio increased QoQ to reach 102.4%. This was due to a +1.6% expansion in the QoQ growth in loans versus expansion of +0.9% QoQ in total deposits.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00"/>
        <w:spacing w:after="0"/>
        <w:tabs>
          <w:tab w:leader="none" w:pos="792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6671945" cy="1595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71945"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analysis by currency reveals a drop in the L/D ratio in LC at Credicorp, which was in line with an expansion in LC deposits at BCP Stand-alone. The increase in the L/D ratio in LC at Mibanco reflected a scenario in which loans expanded while deposits contracted. This contraction was associated with Time deposit maturities in 3Q17. The L/D ratio in FC remained stable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538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3" w:lineRule="exact"/>
        <w:rPr>
          <w:sz w:val="20"/>
          <w:szCs w:val="20"/>
          <w:color w:val="auto"/>
        </w:rPr>
      </w:pPr>
    </w:p>
    <w:p>
      <w:pPr>
        <w:ind w:right="20" w:firstLine="8"/>
        <w:spacing w:after="0" w:line="194" w:lineRule="auto"/>
        <w:tabs>
          <w:tab w:leader="none" w:pos="124"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Subsidiary of Credicorp Ltd that makes issuances abroad that are guaranteed by future collections onf payment orders for fund transfers from abroad in US Dollars.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In the YoY analysis, the L/D ratio in LC fell, which was attributable to growth in LC deposits. This funding has replaced BCRP instruments. The aforementioned was accentuated by a drop in LC loans, mainly at BCP Stand-alone.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Credicorp’s funding cost fell 5 bps QoQ given that interest expenses fell despite an increase in average total liabilities. This reflects the positive impact of:</w:t>
      </w:r>
    </w:p>
    <w:p>
      <w:pPr>
        <w:spacing w:after="0" w:line="248" w:lineRule="exact"/>
        <w:rPr>
          <w:sz w:val="20"/>
          <w:szCs w:val="20"/>
          <w:color w:val="auto"/>
        </w:rPr>
      </w:pPr>
    </w:p>
    <w:p>
      <w:pPr>
        <w:ind w:left="880" w:right="20" w:hanging="494"/>
        <w:spacing w:after="0" w:line="308"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Growth in total funding that was attributable to an increase in the volume of deposits, our lowest-cost funding source. Additionally, the expansion in deposits was driven mainly by Demand and Savings deposits whose funding cost is the lowest among all deposit types.</w:t>
      </w:r>
    </w:p>
    <w:p>
      <w:pPr>
        <w:spacing w:after="0" w:line="146" w:lineRule="exact"/>
        <w:rPr>
          <w:rFonts w:ascii="Arial" w:cs="Arial" w:eastAsia="Arial" w:hAnsi="Arial"/>
          <w:sz w:val="17"/>
          <w:szCs w:val="17"/>
          <w:color w:val="auto"/>
        </w:rPr>
      </w:pPr>
    </w:p>
    <w:p>
      <w:pPr>
        <w:jc w:val="both"/>
        <w:ind w:left="880" w:hanging="494"/>
        <w:spacing w:after="0" w:line="264"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the level of Due to banks and correspondents, which represents the second largest source of funding to support the gradual recovery posted this quarter in loan growth. Furthermore, this source has also helped replace BCRP instruments that have matured while allowing us to maintain an adequate level of structural funding.</w:t>
      </w:r>
    </w:p>
    <w:p>
      <w:pPr>
        <w:spacing w:after="0" w:line="181" w:lineRule="exact"/>
        <w:rPr>
          <w:rFonts w:ascii="Arial" w:cs="Arial" w:eastAsia="Arial" w:hAnsi="Arial"/>
          <w:sz w:val="18"/>
          <w:szCs w:val="18"/>
          <w:color w:val="auto"/>
        </w:rPr>
      </w:pPr>
    </w:p>
    <w:p>
      <w:pPr>
        <w:jc w:val="both"/>
        <w:ind w:left="880" w:hanging="494"/>
        <w:spacing w:after="0" w:line="286"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slight decrease in the funding cost in LC due to the drop in the Central Bank’s reference rate, and most importantly, the increase in liquidity in Soles, which in turn is the result of the Central Bank’s FX policy to soften the appreciation of the sol against the US Dollar. Initially, the reduction in the Central Bank’s reference rate stabilize the funding cost in LC, which had been growing since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offset the increase in the funding cost generated by:</w:t>
      </w:r>
    </w:p>
    <w:p>
      <w:pPr>
        <w:spacing w:after="0" w:line="225" w:lineRule="exact"/>
        <w:rPr>
          <w:sz w:val="20"/>
          <w:szCs w:val="20"/>
          <w:color w:val="auto"/>
        </w:rPr>
      </w:pPr>
    </w:p>
    <w:p>
      <w:pPr>
        <w:ind w:left="880" w:hanging="49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volumes of liabilities, mainly in Deposits and Due to banks and correspondents; and</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change in the mix by currency given that funding in LC increased its share of total funding and the cost of LC funding is higher than that of FC.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funding cost per subsidiary: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9"/>
              </w:rPr>
              <w:t xml:space="preserve">Credicorp </w:t>
            </w:r>
            <w:r>
              <w:rPr>
                <w:rFonts w:ascii="Arial" w:cs="Arial" w:eastAsia="Arial" w:hAnsi="Arial"/>
                <w:sz w:val="30"/>
                <w:szCs w:val="30"/>
                <w:b w:val="1"/>
                <w:bCs w:val="1"/>
                <w:color w:val="auto"/>
                <w:w w:val="99"/>
                <w:vertAlign w:val="superscript"/>
              </w:rPr>
              <w:t>(1)</w:t>
            </w:r>
          </w:p>
        </w:tc>
        <w:tc>
          <w:tcPr>
            <w:tcW w:w="0" w:type="dxa"/>
            <w:vAlign w:val="bottom"/>
          </w:tcPr>
          <w:p>
            <w:pPr>
              <w:spacing w:after="0"/>
              <w:rPr>
                <w:sz w:val="1"/>
                <w:szCs w:val="1"/>
                <w:color w:val="auto"/>
              </w:rPr>
            </w:pPr>
          </w:p>
        </w:tc>
      </w:tr>
      <w:tr>
        <w:trPr>
          <w:trHeight w:val="257"/>
        </w:trPr>
        <w:tc>
          <w:tcPr>
            <w:tcW w:w="104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60" w:type="dxa"/>
            <w:vAlign w:val="bottom"/>
          </w:tcPr>
          <w:p>
            <w:pPr>
              <w:spacing w:after="0"/>
              <w:rPr>
                <w:sz w:val="22"/>
                <w:szCs w:val="22"/>
                <w:color w:val="auto"/>
              </w:rPr>
            </w:pPr>
          </w:p>
        </w:tc>
        <w:tc>
          <w:tcPr>
            <w:tcW w:w="1280" w:type="dxa"/>
            <w:vAlign w:val="bottom"/>
          </w:tcPr>
          <w:p>
            <w:pPr>
              <w:ind w:left="300"/>
              <w:spacing w:after="0"/>
              <w:rPr>
                <w:sz w:val="20"/>
                <w:szCs w:val="20"/>
                <w:color w:val="auto"/>
              </w:rPr>
            </w:pPr>
            <w:r>
              <w:rPr>
                <w:rFonts w:ascii="Arial" w:cs="Arial" w:eastAsia="Arial" w:hAnsi="Arial"/>
                <w:sz w:val="18"/>
                <w:szCs w:val="18"/>
                <w:b w:val="1"/>
                <w:bCs w:val="1"/>
                <w:color w:val="auto"/>
              </w:rPr>
              <w:t>Mibanco</w:t>
            </w:r>
          </w:p>
        </w:tc>
        <w:tc>
          <w:tcPr>
            <w:tcW w:w="240" w:type="dxa"/>
            <w:vAlign w:val="bottom"/>
          </w:tcPr>
          <w:p>
            <w:pPr>
              <w:spacing w:after="0"/>
              <w:rPr>
                <w:sz w:val="22"/>
                <w:szCs w:val="22"/>
                <w:color w:val="auto"/>
              </w:rPr>
            </w:pPr>
          </w:p>
        </w:tc>
        <w:tc>
          <w:tcPr>
            <w:tcW w:w="1300" w:type="dxa"/>
            <w:vAlign w:val="bottom"/>
          </w:tcPr>
          <w:p>
            <w:pPr>
              <w:ind w:left="180"/>
              <w:spacing w:after="0"/>
              <w:rPr>
                <w:sz w:val="20"/>
                <w:szCs w:val="20"/>
                <w:color w:val="auto"/>
              </w:rPr>
            </w:pPr>
            <w:r>
              <w:rPr>
                <w:rFonts w:ascii="Arial" w:cs="Arial" w:eastAsia="Arial" w:hAnsi="Arial"/>
                <w:sz w:val="18"/>
                <w:szCs w:val="18"/>
                <w:b w:val="1"/>
                <w:bCs w:val="1"/>
                <w:color w:val="auto"/>
              </w:rPr>
              <w:t>BCP Bolivia</w:t>
            </w:r>
          </w:p>
        </w:tc>
        <w:tc>
          <w:tcPr>
            <w:tcW w:w="260" w:type="dxa"/>
            <w:vAlign w:val="bottom"/>
          </w:tcPr>
          <w:p>
            <w:pPr>
              <w:spacing w:after="0"/>
              <w:rPr>
                <w:sz w:val="22"/>
                <w:szCs w:val="22"/>
                <w:color w:val="auto"/>
              </w:rPr>
            </w:pPr>
          </w:p>
        </w:tc>
        <w:tc>
          <w:tcPr>
            <w:tcW w:w="1260" w:type="dxa"/>
            <w:vAlign w:val="bottom"/>
          </w:tcPr>
          <w:p>
            <w:pPr>
              <w:ind w:left="460"/>
              <w:spacing w:after="0"/>
              <w:rPr>
                <w:sz w:val="20"/>
                <w:szCs w:val="20"/>
                <w:color w:val="auto"/>
              </w:rPr>
            </w:pPr>
            <w:r>
              <w:rPr>
                <w:rFonts w:ascii="Arial" w:cs="Arial" w:eastAsia="Arial" w:hAnsi="Arial"/>
                <w:sz w:val="18"/>
                <w:szCs w:val="18"/>
                <w:b w:val="1"/>
                <w:bCs w:val="1"/>
                <w:color w:val="auto"/>
              </w:rPr>
              <w:t>ASB</w:t>
            </w:r>
          </w:p>
        </w:tc>
        <w:tc>
          <w:tcPr>
            <w:tcW w:w="260" w:type="dxa"/>
            <w:vAlign w:val="bottom"/>
          </w:tcPr>
          <w:p>
            <w:pPr>
              <w:spacing w:after="0"/>
              <w:rPr>
                <w:sz w:val="22"/>
                <w:szCs w:val="22"/>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Banking business</w:t>
            </w:r>
          </w:p>
        </w:tc>
        <w:tc>
          <w:tcPr>
            <w:tcW w:w="15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CEEFF"/>
          </w:tcPr>
          <w:p>
            <w:pPr>
              <w:ind w:left="280"/>
              <w:spacing w:after="0"/>
              <w:rPr>
                <w:sz w:val="20"/>
                <w:szCs w:val="20"/>
                <w:color w:val="auto"/>
              </w:rPr>
            </w:pPr>
            <w:r>
              <w:rPr>
                <w:rFonts w:ascii="Arial" w:cs="Arial" w:eastAsia="Arial" w:hAnsi="Arial"/>
                <w:sz w:val="18"/>
                <w:szCs w:val="18"/>
                <w:b w:val="1"/>
                <w:bCs w:val="1"/>
                <w:color w:val="auto"/>
              </w:rPr>
              <w:t>3Q16</w:t>
            </w: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r>
        <w:trPr>
          <w:trHeight w:val="216"/>
        </w:trPr>
        <w:tc>
          <w:tcPr>
            <w:tcW w:w="1040" w:type="dxa"/>
            <w:vAlign w:val="bottom"/>
          </w:tcPr>
          <w:p>
            <w:pPr>
              <w:ind w:left="280"/>
              <w:spacing w:after="0"/>
              <w:rPr>
                <w:sz w:val="20"/>
                <w:szCs w:val="20"/>
                <w:color w:val="auto"/>
              </w:rPr>
            </w:pPr>
            <w:r>
              <w:rPr>
                <w:rFonts w:ascii="Arial" w:cs="Arial" w:eastAsia="Arial" w:hAnsi="Arial"/>
                <w:sz w:val="18"/>
                <w:szCs w:val="18"/>
                <w:b w:val="1"/>
                <w:bCs w:val="1"/>
                <w:color w:val="auto"/>
              </w:rPr>
              <w:t>2Q17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2.12%</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3Q17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15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banking business results, other subsidiaries and consolidation adjustments.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funding cost at </w:t>
      </w:r>
      <w:r>
        <w:rPr>
          <w:rFonts w:ascii="Arial" w:cs="Arial" w:eastAsia="Arial" w:hAnsi="Arial"/>
          <w:sz w:val="17"/>
          <w:szCs w:val="17"/>
          <w:b w:val="1"/>
          <w:bCs w:val="1"/>
          <w:color w:val="auto"/>
        </w:rPr>
        <w:t>BCP Stand-alone</w:t>
      </w:r>
      <w:r>
        <w:rPr>
          <w:rFonts w:ascii="Arial" w:cs="Arial" w:eastAsia="Arial" w:hAnsi="Arial"/>
          <w:sz w:val="17"/>
          <w:szCs w:val="17"/>
          <w:color w:val="auto"/>
        </w:rPr>
        <w:t xml:space="preserve"> fell -7 bps QoQ. This was mainly due to a decrease in interest expenses on loans, which was in line with:</w:t>
      </w:r>
    </w:p>
    <w:p>
      <w:pPr>
        <w:spacing w:after="0" w:line="241" w:lineRule="exact"/>
        <w:rPr>
          <w:sz w:val="20"/>
          <w:szCs w:val="20"/>
          <w:color w:val="auto"/>
        </w:rPr>
      </w:pPr>
    </w:p>
    <w:p>
      <w:pPr>
        <w:ind w:left="880" w:hanging="49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volumes of BCRP regular repos and of BCRP special repos at the end of 2Q17.</w:t>
      </w:r>
    </w:p>
    <w:p>
      <w:pPr>
        <w:spacing w:after="0" w:line="225" w:lineRule="exact"/>
        <w:rPr>
          <w:rFonts w:ascii="Arial" w:cs="Arial" w:eastAsia="Arial" w:hAnsi="Arial"/>
          <w:sz w:val="18"/>
          <w:szCs w:val="18"/>
          <w:color w:val="auto"/>
        </w:rPr>
      </w:pPr>
    </w:p>
    <w:p>
      <w:pPr>
        <w:jc w:val="both"/>
        <w:ind w:left="880" w:hanging="494"/>
        <w:spacing w:after="0" w:line="286" w:lineRule="auto"/>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Expansion in Demand and Savings deposits and Due to banks and correspondents to replace BCRP funding. The former were obtained at a lower cost than BCRP Instruments and helped maintain an adequate level of structural funding. All of the aforementioned took place in a scenario marked by a reduction in BCRP’s reference rate, which posted another drop in 3Q17 equivalent to 25 bps.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funding cost at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increased +36 bps QoQ due to growth in interest expenses on deposits (specifically time deposits with corporate clients).</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fell -6 bps QoQ. This was due primarily to a drop in interest expenses on deposits, which was associated with maturities at the time deposit level (accounts held by individuals).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20"/>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posted a decrease in its funding cost due to an on-going decrease QoQ in financial expenses (-16.5% QoQ) and a slight drop in average liabilities (-0.4%</w:t>
      </w:r>
      <w:r>
        <w:rPr>
          <w:rFonts w:ascii="Arial" w:cs="Arial" w:eastAsia="Arial" w:hAnsi="Arial"/>
          <w:sz w:val="18"/>
          <w:szCs w:val="18"/>
          <w:b w:val="1"/>
          <w:bCs w:val="1"/>
          <w:color w:val="auto"/>
        </w:rPr>
        <w:t xml:space="preserve"> </w:t>
      </w:r>
      <w:r>
        <w:rPr>
          <w:rFonts w:ascii="Arial" w:cs="Arial" w:eastAsia="Arial" w:hAnsi="Arial"/>
          <w:sz w:val="18"/>
          <w:szCs w:val="18"/>
          <w:color w:val="auto"/>
        </w:rPr>
        <w:t>QoQ).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funding cost by source for the Banking Business</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Banking Business – Funding Structure &amp;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154940</wp:posOffset>
            </wp:positionV>
            <wp:extent cx="4450715" cy="2143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5071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These figures differ from those previously reported; consider the ones in this report.</w:t>
      </w:r>
    </w:p>
    <w:p>
      <w:pPr>
        <w:spacing w:after="0" w:line="23" w:lineRule="exact"/>
        <w:rPr>
          <w:sz w:val="20"/>
          <w:szCs w:val="20"/>
          <w:color w:val="auto"/>
        </w:rPr>
      </w:pPr>
    </w:p>
    <w:p>
      <w:pPr>
        <w:ind w:left="1280" w:hanging="251"/>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Deposits include Demand, Savings, Severance indemnity (CTS) and Time Deposits.</w:t>
      </w:r>
    </w:p>
    <w:p>
      <w:pPr>
        <w:spacing w:after="0" w:line="9" w:lineRule="exact"/>
        <w:rPr>
          <w:rFonts w:ascii="Arial" w:cs="Arial" w:eastAsia="Arial" w:hAnsi="Arial"/>
          <w:sz w:val="18"/>
          <w:szCs w:val="18"/>
          <w:color w:val="auto"/>
        </w:rPr>
      </w:pPr>
    </w:p>
    <w:p>
      <w:pPr>
        <w:ind w:left="1280" w:hanging="251"/>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mainly includes outstanding acceptances and other payable accounts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2.6 Mutual Funds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16</w:t>
            </w:r>
          </w:p>
        </w:tc>
        <w:tc>
          <w:tcPr>
            <w:tcW w:w="1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Jun 17</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Sep 17</w:t>
            </w:r>
          </w:p>
        </w:tc>
        <w:tc>
          <w:tcPr>
            <w:tcW w:w="1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10,581,802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11,069,959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11,297,018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7"/>
              </w:rPr>
              <w:t>6.8%</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543,444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578,799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552,046</w:t>
            </w: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w w:val="97"/>
              </w:rPr>
              <w:t>1.6%</w:t>
            </w:r>
          </w:p>
        </w:tc>
      </w:tr>
      <w:tr>
        <w:trPr>
          <w:trHeight w:val="210"/>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11,125,246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11,648,758</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11,849,065</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6.5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grew QoQ, mainly due to an increase in corporate funds. Nevertheless, the company’s market share at the end of September 2017 fell slightly (40.4% versus 41.5% at the end of June 2017). Despite this, Credicorp Capital Fondos Peru continued to lead the market in Peru and was situated approximately 19.2 percentage points above its closest competitor. In the YoY analysis, Credicorp Capital Fondos Peru reported +6.8% growth in its funds under management (FuMs).</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FuMs at </w:t>
      </w:r>
      <w:r>
        <w:rPr>
          <w:rFonts w:ascii="Arial" w:cs="Arial" w:eastAsia="Arial" w:hAnsi="Arial"/>
          <w:sz w:val="17"/>
          <w:szCs w:val="17"/>
          <w:b w:val="1"/>
          <w:bCs w:val="1"/>
          <w:color w:val="auto"/>
        </w:rPr>
        <w:t>Credifondo Bolivia</w:t>
      </w:r>
      <w:r>
        <w:rPr>
          <w:rFonts w:ascii="Arial" w:cs="Arial" w:eastAsia="Arial" w:hAnsi="Arial"/>
          <w:sz w:val="17"/>
          <w:szCs w:val="17"/>
          <w:color w:val="auto"/>
        </w:rPr>
        <w:t xml:space="preserve"> fell QoQ due to a decrease in the investment volume despite an increase in the number of clients, mainly in terms of individual investors. The market share in mutual funds was situated at 13.0 percent at the end of September 2017 vs. 13.8% at the end of June 2017. In this context, Credifondo Bolivia was the fourth largest competitor in the Bolivian market. In YoY terms, it reported expansion of +1.6% in FuMs.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253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49" w:lineRule="exact"/>
        <w:rPr>
          <w:sz w:val="20"/>
          <w:szCs w:val="20"/>
          <w:color w:val="auto"/>
        </w:rPr>
      </w:pPr>
    </w:p>
    <w:p>
      <w:pPr>
        <w:ind w:left="120" w:hanging="112"/>
        <w:spacing w:after="0"/>
        <w:tabs>
          <w:tab w:leader="none" w:pos="1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Includes BCP Individual, Mibanco, BCP Bolivia and ASB.</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In 3Q17, the cost of risk (CofR) fell -26 bps QoQ and -6 bps YoY to situate at 1.59%, the lowest level reported since 2013. This was primarily attributable to a drop in provisions, which was in line with a decrease in provision requirements for the underlying portfolio and, to a lesser extent, to lower provisions for the FEN. The improvement in the underlying portfolio’s risk quality was mainly due to a slight improvement in the majority of segments.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w w:val="99"/>
              </w:rPr>
              <w:t>Portfolio quality and Provisions for loan losses</w:t>
            </w: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ind w:left="960"/>
              <w:spacing w:after="0"/>
              <w:rPr>
                <w:sz w:val="20"/>
                <w:szCs w:val="20"/>
                <w:color w:val="auto"/>
              </w:rPr>
            </w:pPr>
            <w:r>
              <w:rPr>
                <w:rFonts w:ascii="Arial" w:cs="Arial" w:eastAsia="Arial" w:hAnsi="Arial"/>
                <w:sz w:val="18"/>
                <w:szCs w:val="18"/>
                <w:b w:val="1"/>
                <w:bCs w:val="1"/>
                <w:color w:val="auto"/>
                <w:w w:val="99"/>
              </w:rPr>
              <w:t>% change</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3Q16</w:t>
            </w:r>
          </w:p>
        </w:tc>
        <w:tc>
          <w:tcPr>
            <w:tcW w:w="3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2Q17</w:t>
            </w:r>
          </w:p>
        </w:tc>
        <w:tc>
          <w:tcPr>
            <w:tcW w:w="3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3Q17</w:t>
            </w:r>
          </w:p>
        </w:tc>
        <w:tc>
          <w:tcPr>
            <w:tcW w:w="3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(489,514)</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(499,390)</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(447,504)</w:t>
            </w:r>
          </w:p>
        </w:tc>
        <w:tc>
          <w:tcPr>
            <w:tcW w:w="300" w:type="dxa"/>
            <w:vAlign w:val="bottom"/>
            <w:tcBorders>
              <w:left w:val="single" w:sz="8" w:color="CCEEFF"/>
            </w:tcBorders>
            <w:shd w:val="clear" w:color="auto" w:fill="CCEEFF"/>
          </w:tcPr>
          <w:p>
            <w:pPr>
              <w:spacing w:after="0"/>
              <w:rPr>
                <w:sz w:val="18"/>
                <w:szCs w:val="18"/>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100,428</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66,171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69,302</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 net of recoveries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(389,086)</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(433,219)</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(378,202)</w:t>
            </w:r>
          </w:p>
        </w:tc>
        <w:tc>
          <w:tcPr>
            <w:tcW w:w="1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(1)</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vMerge w:val="continue"/>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1820" w:type="dxa"/>
            <w:vAlign w:val="bottom"/>
            <w:gridSpan w:val="3"/>
          </w:tcPr>
          <w:p>
            <w:pPr>
              <w:jc w:val="right"/>
              <w:ind w:right="640"/>
              <w:spacing w:after="0"/>
              <w:rPr>
                <w:sz w:val="20"/>
                <w:szCs w:val="20"/>
                <w:color w:val="auto"/>
              </w:rPr>
            </w:pPr>
            <w:r>
              <w:rPr>
                <w:rFonts w:ascii="Arial" w:cs="Arial" w:eastAsia="Arial" w:hAnsi="Arial"/>
                <w:sz w:val="18"/>
                <w:szCs w:val="18"/>
                <w:color w:val="auto"/>
              </w:rPr>
              <w:t>-26 bps</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-6 bps</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 for loan losses / Net interest income</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8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-340 bps</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-90 bps</w:t>
            </w: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loans (Quarter-end balance)</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94,319,220</w:t>
            </w:r>
          </w:p>
        </w:tc>
        <w:tc>
          <w:tcPr>
            <w:tcW w:w="3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93,670,216</w:t>
            </w:r>
          </w:p>
        </w:tc>
        <w:tc>
          <w:tcPr>
            <w:tcW w:w="30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95,142,268</w:t>
            </w:r>
          </w:p>
        </w:tc>
        <w:tc>
          <w:tcPr>
            <w:tcW w:w="30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4,084,178</w:t>
            </w: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4,323,480</w:t>
            </w:r>
          </w:p>
        </w:tc>
        <w:tc>
          <w:tcPr>
            <w:tcW w:w="3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4,419,769</w:t>
            </w:r>
          </w:p>
        </w:tc>
        <w:tc>
          <w:tcPr>
            <w:tcW w:w="300" w:type="dxa"/>
            <w:vAlign w:val="bottom"/>
            <w:tcBorders>
              <w:left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4040" w:type="dxa"/>
            <w:vAlign w:val="bottom"/>
            <w:gridSpan w:val="2"/>
          </w:tcPr>
          <w:p>
            <w:pPr>
              <w:spacing w:after="0" w:line="250" w:lineRule="exact"/>
              <w:rPr>
                <w:sz w:val="20"/>
                <w:szCs w:val="20"/>
                <w:color w:val="auto"/>
              </w:rPr>
            </w:pPr>
            <w:r>
              <w:rPr>
                <w:rFonts w:ascii="Arial" w:cs="Arial" w:eastAsia="Arial" w:hAnsi="Arial"/>
                <w:sz w:val="17"/>
                <w:szCs w:val="17"/>
                <w:color w:val="auto"/>
              </w:rPr>
              <w:t xml:space="preserve">Write-offs </w:t>
            </w:r>
            <w:r>
              <w:rPr>
                <w:rFonts w:ascii="Arial" w:cs="Arial" w:eastAsia="Arial" w:hAnsi="Arial"/>
                <w:sz w:val="28"/>
                <w:szCs w:val="28"/>
                <w:color w:val="auto"/>
                <w:vertAlign w:val="superscript"/>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398,410</w:t>
            </w:r>
          </w:p>
        </w:tc>
        <w:tc>
          <w:tcPr>
            <w:tcW w:w="300" w:type="dxa"/>
            <w:vAlign w:val="bottom"/>
          </w:tcPr>
          <w:p>
            <w:pPr>
              <w:spacing w:after="0"/>
              <w:rPr>
                <w:sz w:val="21"/>
                <w:szCs w:val="21"/>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381,986</w:t>
            </w:r>
          </w:p>
        </w:tc>
        <w:tc>
          <w:tcPr>
            <w:tcW w:w="1220" w:type="dxa"/>
            <w:vAlign w:val="bottom"/>
          </w:tcPr>
          <w:p>
            <w:pPr>
              <w:jc w:val="right"/>
              <w:spacing w:after="0"/>
              <w:rPr>
                <w:sz w:val="20"/>
                <w:szCs w:val="20"/>
                <w:color w:val="auto"/>
              </w:rPr>
            </w:pPr>
            <w:r>
              <w:rPr>
                <w:rFonts w:ascii="Arial" w:cs="Arial" w:eastAsia="Arial" w:hAnsi="Arial"/>
                <w:sz w:val="18"/>
                <w:szCs w:val="18"/>
                <w:color w:val="auto"/>
              </w:rPr>
              <w:t>332,995</w:t>
            </w:r>
          </w:p>
        </w:tc>
        <w:tc>
          <w:tcPr>
            <w:tcW w:w="300" w:type="dxa"/>
            <w:vAlign w:val="bottom"/>
          </w:tcPr>
          <w:p>
            <w:pPr>
              <w:spacing w:after="0"/>
              <w:rPr>
                <w:sz w:val="21"/>
                <w:szCs w:val="21"/>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Internal overdue loans (IOLs) </w:t>
            </w:r>
            <w:r>
              <w:rPr>
                <w:rFonts w:ascii="Arial" w:cs="Arial" w:eastAsia="Arial" w:hAnsi="Arial"/>
                <w:sz w:val="29"/>
                <w:szCs w:val="29"/>
                <w:color w:val="auto"/>
                <w:vertAlign w:val="superscript"/>
              </w:rPr>
              <w:t>(3)</w:t>
            </w: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40" w:type="dxa"/>
            <w:vAlign w:val="bottom"/>
            <w:gridSpan w:val="2"/>
            <w:vMerge w:val="continue"/>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2,627,587</w:t>
            </w:r>
          </w:p>
        </w:tc>
        <w:tc>
          <w:tcPr>
            <w:tcW w:w="3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2,749,047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2,874,071</w:t>
            </w:r>
          </w:p>
        </w:tc>
        <w:tc>
          <w:tcPr>
            <w:tcW w:w="300" w:type="dxa"/>
            <w:vAlign w:val="bottom"/>
            <w:tcBorders>
              <w:left w:val="single" w:sz="8" w:color="CCEEFF"/>
            </w:tcBorders>
            <w:shd w:val="clear" w:color="auto" w:fill="CCEEFF"/>
          </w:tcPr>
          <w:p>
            <w:pPr>
              <w:spacing w:after="0"/>
              <w:rPr>
                <w:sz w:val="20"/>
                <w:szCs w:val="20"/>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807,904</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922,974</w:t>
            </w:r>
          </w:p>
        </w:tc>
        <w:tc>
          <w:tcPr>
            <w:tcW w:w="1220" w:type="dxa"/>
            <w:vAlign w:val="bottom"/>
          </w:tcPr>
          <w:p>
            <w:pPr>
              <w:jc w:val="right"/>
              <w:spacing w:after="0"/>
              <w:rPr>
                <w:sz w:val="20"/>
                <w:szCs w:val="20"/>
                <w:color w:val="auto"/>
              </w:rPr>
            </w:pPr>
            <w:r>
              <w:rPr>
                <w:rFonts w:ascii="Arial" w:cs="Arial" w:eastAsia="Arial" w:hAnsi="Arial"/>
                <w:sz w:val="18"/>
                <w:szCs w:val="18"/>
                <w:color w:val="auto"/>
              </w:rPr>
              <w:t>963,807</w:t>
            </w:r>
          </w:p>
        </w:tc>
        <w:tc>
          <w:tcPr>
            <w:tcW w:w="300" w:type="dxa"/>
            <w:vAlign w:val="bottom"/>
          </w:tcPr>
          <w:p>
            <w:pPr>
              <w:spacing w:after="0"/>
              <w:rPr>
                <w:sz w:val="18"/>
                <w:szCs w:val="18"/>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3,435,491</w:t>
            </w:r>
          </w:p>
        </w:tc>
        <w:tc>
          <w:tcPr>
            <w:tcW w:w="3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3,672,021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3,837,878</w:t>
            </w:r>
          </w:p>
        </w:tc>
        <w:tc>
          <w:tcPr>
            <w:tcW w:w="300" w:type="dxa"/>
            <w:vAlign w:val="bottom"/>
            <w:tcBorders>
              <w:left w:val="single" w:sz="8" w:color="CCEEFF"/>
            </w:tcBorders>
            <w:shd w:val="clear" w:color="auto" w:fill="CCEEFF"/>
          </w:tcPr>
          <w:p>
            <w:pPr>
              <w:spacing w:after="0"/>
              <w:rPr>
                <w:sz w:val="23"/>
                <w:szCs w:val="23"/>
                <w:color w:val="auto"/>
              </w:rPr>
            </w:pP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Delinquency ratio over 90 days</w:t>
            </w: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2.28%</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4.03%</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153.8%</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Coverage ratio of NPLs</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118.9%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117.7%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115.2%</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Annualized provisions for loans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 (Quarter-end balances).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allowance for loan losses net recoveries </w:t>
      </w:r>
      <w:r>
        <w:rPr>
          <w:rFonts w:ascii="Arial" w:cs="Arial" w:eastAsia="Arial" w:hAnsi="Arial"/>
          <w:sz w:val="18"/>
          <w:szCs w:val="18"/>
          <w:color w:val="auto"/>
        </w:rPr>
        <w:t>fell -12.7% QoQ and -2.8% YoY. This was due to:</w:t>
      </w:r>
    </w:p>
    <w:p>
      <w:pPr>
        <w:spacing w:after="0" w:line="229" w:lineRule="exact"/>
        <w:rPr>
          <w:sz w:val="20"/>
          <w:szCs w:val="20"/>
          <w:color w:val="auto"/>
        </w:rPr>
      </w:pPr>
    </w:p>
    <w:p>
      <w:pPr>
        <w:ind w:left="880" w:hanging="49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provisions requirements for the underlying portfolio; this was seen in the majority of segments and was particularly noteworthy at Wholesale Banking, Mibanco, Credit Card and SME-Pyme.</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drop in the provisions required for the portfolio due to the FEN, which totaled S/ 15 million in 2Q17 at Mibanco.</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All of the aforementioned, coupled with slight growth in total loans of +1.6% QoQ, translated into a contraction in the </w:t>
      </w:r>
      <w:r>
        <w:rPr>
          <w:rFonts w:ascii="Arial" w:cs="Arial" w:eastAsia="Arial" w:hAnsi="Arial"/>
          <w:sz w:val="18"/>
          <w:szCs w:val="18"/>
          <w:b w:val="1"/>
          <w:bCs w:val="1"/>
          <w:color w:val="auto"/>
        </w:rPr>
        <w:t>CofR</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of -26 bps QoQ and -6 bps YoY. In this scenario, the CofR was situated at 1.59%.</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context, it is important to note the drop in the CofR for the underlying portfolio, which went from 1.79% in 2Q17 to 1.59% in 3Q17. The aforementioned was due to an improvement in the risk quality of the vast majority of segments and in Mibanco, Credit Cards and SME-Pyme in particular and to growth in loans, which will be explained later in this report. Year-to-date (YTD), the CofR for the underlying portfolio reported a drop of -16 bps, going from 1.87% in 2016 to 1.72% for the same period in 2017.</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ratios for the internal overdue and non-performing loan portfolios</w:t>
      </w:r>
      <w:r>
        <w:rPr>
          <w:rFonts w:ascii="Arial" w:cs="Arial" w:eastAsia="Arial" w:hAnsi="Arial"/>
          <w:sz w:val="18"/>
          <w:szCs w:val="18"/>
          <w:color w:val="auto"/>
        </w:rPr>
        <w:t xml:space="preserve"> fell although the allowance for loan losses increased (+2.2% QoQ and +8.2% YoY) given that the internal overdue and non-performing loan portfolios increased to a larger extent (+4.5% QoQ +9.4% YoY and +4.5% QoQ and + 11.7% YoY,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538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7"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Annualized provisions for loan losses net of recoveries over total loans.</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3.2 Portfolio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154940</wp:posOffset>
            </wp:positionV>
            <wp:extent cx="5522595" cy="1792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2259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80" w:hanging="26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NPL ratio = (Non-performing loans + Charge-offs) / (Total loans + Charge-offs).</w:t>
      </w:r>
    </w:p>
    <w:p>
      <w:pPr>
        <w:spacing w:after="0" w:line="23" w:lineRule="exact"/>
        <w:rPr>
          <w:rFonts w:ascii="Arial" w:cs="Arial" w:eastAsia="Arial" w:hAnsi="Arial"/>
          <w:sz w:val="18"/>
          <w:szCs w:val="18"/>
          <w:color w:val="auto"/>
        </w:rPr>
      </w:pPr>
    </w:p>
    <w:p>
      <w:pPr>
        <w:ind w:left="780" w:hanging="262"/>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9" w:lineRule="exact"/>
        <w:rPr>
          <w:rFonts w:ascii="Arial" w:cs="Arial" w:eastAsia="Arial" w:hAnsi="Arial"/>
          <w:sz w:val="18"/>
          <w:szCs w:val="18"/>
          <w:color w:val="auto"/>
        </w:rPr>
      </w:pPr>
    </w:p>
    <w:p>
      <w:pPr>
        <w:ind w:left="520" w:hanging="2"/>
        <w:spacing w:after="0" w:line="261" w:lineRule="auto"/>
        <w:tabs>
          <w:tab w:leader="none" w:pos="7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risk of the Underlying portfolio for March 17 and June 17 was calculated eliminating provisions related to the construction sector and the El Nino weather phenomenon.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Prior to analyzing the evolution of Credicorp’s delinquency indicators, it is important to note that:</w:t>
      </w:r>
    </w:p>
    <w:p>
      <w:pPr>
        <w:spacing w:after="0" w:line="225" w:lineRule="exact"/>
        <w:rPr>
          <w:sz w:val="20"/>
          <w:szCs w:val="20"/>
          <w:color w:val="auto"/>
        </w:rPr>
      </w:pPr>
    </w:p>
    <w:p>
      <w:pPr>
        <w:jc w:val="both"/>
        <w:ind w:left="880" w:hanging="494"/>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Traditional delinquency indicators (IOL and NPL) continue to be distorted by the presence of real estate collateral (commercial and residential properties). This means that loans that are 150 days past due cannot be written off although provisions have been set aside, given that foreclosure takes 5 years on average.</w:t>
      </w:r>
    </w:p>
    <w:p>
      <w:pPr>
        <w:spacing w:after="0" w:line="181"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second semester (2H) every year, loans are more dynamic, particularly in the SME-Pyme and Mibanco segments given that the main financing campaigns (Christmas Season) are conducted in the second semester (2H). These short-term loans are paid in full in 1H of the following year.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above shows a slight QoQ increase in the adjusted NPL ratio due to higher growth in non-performing loans than in total loans. Accordingly, both the IOL and the NPL ratios show slight deterioration QoQ.</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Growth in the internal overdue and non-performing loan portfolio (which includes refinanced loans) was in line with the increase reported in these portfolios, mainly in the SME-Pyme, Wholesale, Mibanco and Credit Card segments, and with a lower level of written-off loans.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figure below shows the evolution of the cost of risk by business line and product: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 of risk by segment</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90170</wp:posOffset>
            </wp:positionV>
            <wp:extent cx="5480050" cy="3207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0050"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Figures differ from previously reported, please consider the data presented on this report.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Prior to analyzing delinquency indicators by business line, it is important to note that, as is evident in the figure above, the </w:t>
      </w:r>
      <w:r>
        <w:rPr>
          <w:rFonts w:ascii="Arial" w:cs="Arial" w:eastAsia="Arial" w:hAnsi="Arial"/>
          <w:sz w:val="18"/>
          <w:szCs w:val="18"/>
          <w:b w:val="1"/>
          <w:bCs w:val="1"/>
          <w:color w:val="auto"/>
        </w:rPr>
        <w:t>CofR</w:t>
      </w:r>
      <w:r>
        <w:rPr>
          <w:rFonts w:ascii="Arial" w:cs="Arial" w:eastAsia="Arial" w:hAnsi="Arial"/>
          <w:sz w:val="18"/>
          <w:szCs w:val="18"/>
          <w:color w:val="auto"/>
        </w:rPr>
        <w:t xml:space="preserve"> fell QoQ in most of the segments (Mortgage segment posted an atypical level in 1Q17). In YoY terms, the CofR contracted for the fourth consecutive quarter (not including 1Q17, which was affected by the FEN).</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analysis YTD, it is important to note that the CofR as of September 2017 was situated at 1.89%, which was similar to the 1.87% reported for the same period in 2016. This is noteworthy given that:</w:t>
      </w:r>
    </w:p>
    <w:p>
      <w:pPr>
        <w:spacing w:after="0" w:line="170" w:lineRule="exact"/>
        <w:rPr>
          <w:sz w:val="20"/>
          <w:szCs w:val="20"/>
          <w:color w:val="auto"/>
        </w:rPr>
      </w:pPr>
    </w:p>
    <w:p>
      <w:pPr>
        <w:ind w:left="880" w:hanging="49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in 2017 includes provisions for FEN and for construction companies, which were registered in 1Q and 2Q;</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Loans reported slight growth in the context of slow economic growth and low internal demand over the last two years;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underlying portfolio has registered a CofR of 1.72% YTD in 2017 while the level for the same period in 2016 was 1.87%.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154940</wp:posOffset>
            </wp:positionV>
            <wp:extent cx="5205730" cy="19983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05730"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880" w:hanging="494"/>
        <w:spacing w:after="0" w:line="261"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CofR in </w:t>
      </w:r>
      <w:r>
        <w:rPr>
          <w:rFonts w:ascii="Arial" w:cs="Arial" w:eastAsia="Arial" w:hAnsi="Arial"/>
          <w:sz w:val="18"/>
          <w:szCs w:val="18"/>
          <w:b w:val="1"/>
          <w:bCs w:val="1"/>
          <w:color w:val="auto"/>
        </w:rPr>
        <w:t>Wholesale Banking</w:t>
      </w:r>
      <w:r>
        <w:rPr>
          <w:rFonts w:ascii="Arial" w:cs="Arial" w:eastAsia="Arial" w:hAnsi="Arial"/>
          <w:sz w:val="18"/>
          <w:szCs w:val="18"/>
          <w:color w:val="auto"/>
        </w:rPr>
        <w:t xml:space="preserve"> was situated at 0.06%, which represents a decrease of -15 bps QoQ. This decline was due to i) the reduction in provisions for Corporate and Middle-Market Banking clients, and ii) a provision reversal because a client in the Work-out unit agreed to give an asset as payment and as such, the loan was cancelled. This result is even more positive if we consider that this segment posted a QoQ contraction in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NPL ratio increased slightly due to the deterioration in the situation of a certain number of clients, whose debt has been refinanced.</w:t>
      </w:r>
    </w:p>
    <w:p>
      <w:pPr>
        <w:spacing w:after="0" w:line="2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154940</wp:posOffset>
            </wp:positionV>
            <wp:extent cx="5171440" cy="1955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7144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80" w:right="60" w:hanging="49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BCP Bolivia reported an increase QoQ and YoY in the CofR due to higher provisions; this increase was partially offset by loan growth. Thus, the IOL and NPL ratios remained relatively stable.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154940</wp:posOffset>
            </wp:positionV>
            <wp:extent cx="5797550" cy="21526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80" w:right="200" w:hanging="494"/>
        <w:spacing w:after="0" w:line="26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CofR in the SME-Business fell QoQ and YoY, which was due primarily to a decrease in provisions in 3Q17 and to a lesser extent to loan growth. The reduction in provisions was attributable to: i) the improvement in loan book’s risk performance in 3Q, and ii) the recovery of some past due loans.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NPL ratio improved QoQ, which was in line with (i) the contraction in NPLs due to write-offs and recoveries of loans that were in a judicial process for collection; and (ii) the expansion of +4.0% in the loan book. YoY, the drop in the NPL ratio was due to higher growth rate in loans than that of NPLs. It is important to note that this business maintains its risk-quality indicators within the organization’s risk appetite.</w:t>
      </w:r>
    </w:p>
    <w:p>
      <w:pPr>
        <w:spacing w:after="0" w:line="17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154940</wp:posOffset>
            </wp:positionV>
            <wp:extent cx="5659755" cy="2212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975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880" w:hanging="494"/>
        <w:spacing w:after="0" w:line="289"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With regard to the </w:t>
      </w:r>
      <w:r>
        <w:rPr>
          <w:rFonts w:ascii="Arial" w:cs="Arial" w:eastAsia="Arial" w:hAnsi="Arial"/>
          <w:sz w:val="17"/>
          <w:szCs w:val="17"/>
          <w:b w:val="1"/>
          <w:bCs w:val="1"/>
          <w:color w:val="auto"/>
        </w:rPr>
        <w:t>SME-Pyme,</w:t>
      </w:r>
      <w:r>
        <w:rPr>
          <w:rFonts w:ascii="Arial" w:cs="Arial" w:eastAsia="Arial" w:hAnsi="Arial"/>
          <w:sz w:val="17"/>
          <w:szCs w:val="17"/>
          <w:color w:val="auto"/>
        </w:rPr>
        <w:t xml:space="preserve"> it is important to analyze the early delinquency indicator, which excludes loans that are overdue less than 60 days (volatile loans whose percentage of recovery is very high), and those more than 150 days overdue (loans that have been provisioned but cannot be written-off due to the existence of real estate collateral- commercial properties that require 5 years on average to liquidate).</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beginning of 2014, early delinquency has followed a downward trend YoY that reflects continuous improvement in the risk quality of vintages, which in turn is explained by all adjustments made to the business model for SME-Pyme. All this is more evident in vintages originated in 2015. In 3Q17, early delinquency fell -96 bps YoY to hit its lowest level since 1Q13, prior to the delinquency problem that was triggered by the slowdown in the Peruvian economy.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In this context, the cost of risk fell -194 bps YoY to once again hit a record low for the last 3 years. This was due primarily to a reduction in provisions, in line with an improvement in the portfolio’s risk quality following the implementation of measures to fine-tune risk management.</w:t>
      </w:r>
    </w:p>
    <w:p>
      <w:pPr>
        <w:spacing w:after="0" w:line="17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 xml:space="preserve">Mortgage – Portfolio quality and Cost of risk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-46355</wp:posOffset>
            </wp:positionV>
            <wp:extent cx="5360035" cy="21183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6003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360" w:hanging="262"/>
        <w:spacing w:after="0"/>
        <w:tabs>
          <w:tab w:leader="none" w:pos="13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Figures differ from previously reported due to adjustments during the data processing that have been incorporated in this report.</w:t>
      </w:r>
    </w:p>
    <w:p>
      <w:pPr>
        <w:spacing w:after="0" w:line="232" w:lineRule="exact"/>
        <w:rPr>
          <w:rFonts w:ascii="Arial" w:cs="Arial" w:eastAsia="Arial" w:hAnsi="Arial"/>
          <w:sz w:val="17"/>
          <w:szCs w:val="17"/>
          <w:color w:val="auto"/>
        </w:rPr>
      </w:pPr>
    </w:p>
    <w:p>
      <w:pPr>
        <w:jc w:val="both"/>
        <w:ind w:left="880" w:hanging="494"/>
        <w:spacing w:after="0" w:line="258"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loans, it is important to remember that these indicators have also been affected by the existence of real estate guarantees because the loans cannot be written-off until foreclosure, which takes 5 years on average. Nevertheless, QoQ traditional delinquency indicators area stable due to (i) loan growth; and (ii) lower level of loan amortization that affected this loan book after a change in AFP regulation (new regulation allowed affiliates to withdraw 25% of their funds to use them for new mortgages or to amortize existing loans, which translated into an amortization of approximately 8% of loan book over the last 12 months).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early delinquency indicator, which excludes the effect of loans that are more than 150 days overdue, is within the average range observed over the past two years.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CofR increased +13 bps QoQ due to an increase in provisions, which reach more normalized levels. This was mainly attributable to the fact that in the last few quarters, these levels were unusually low due to an operating error in the MiVivienda portfolio that led the bank to set aside provisions for loans that were not required and that we reversed in previous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early delinquency fell -19 bps and the cost of risk increased +6 bps, in line with an increase in provision expenses.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 xml:space="preserve">Consumer – Portfolio quality and Cost of risk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90170</wp:posOffset>
            </wp:positionV>
            <wp:extent cx="5642610" cy="22212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261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80" w:hanging="251"/>
        <w:spacing w:after="0"/>
        <w:tabs>
          <w:tab w:leader="none" w:pos="12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Figures differ from previously reported due to adjustments during the data processing that have been incorporated in this report.</w:t>
      </w:r>
    </w:p>
    <w:p>
      <w:pPr>
        <w:spacing w:after="0" w:line="232" w:lineRule="exact"/>
        <w:rPr>
          <w:rFonts w:ascii="Arial" w:cs="Arial" w:eastAsia="Arial" w:hAnsi="Arial"/>
          <w:sz w:val="17"/>
          <w:szCs w:val="17"/>
          <w:color w:val="auto"/>
        </w:rPr>
      </w:pPr>
    </w:p>
    <w:p>
      <w:pPr>
        <w:jc w:val="both"/>
        <w:ind w:left="880" w:hanging="494"/>
        <w:spacing w:after="0" w:line="258"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portfolio, the CofR remained stable QoQ and decreased -148 bps YoY due to a reduction in provisions. This was due to (i) the extinction of vintages originated prior to 2015; and (ii) a change in the loan book’s risk profile. At the end of August 2017, 70% of the portfolio corresponded to vintages from 2016 or after, which have better risk quality than the ones of 2015 and before that triggered the delinquency problem. The portfolio’s new composition reflects the calibrated profile that was generated by the change in the risk policy for admissions, which led to a subsequent decrease in the level of provisions.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Early delinquency fell -2 bps QoQ and -42 bps YoY due to an improvement in the risk quality of new vintages. Consequently, this indicator reached levels similar to those seen in 2013 but at a lower cost of risk. It is evident that we have room to increase the speed of growth, which will allow us to maximize the portfolio’s profitability while maintaining this loan book within the organization’s risk appetite. Higher growth is not reflected in the loan balances at the end of 3Q17 given that this new approach was initiated at the beginning of the quarter and will take time to fully implement.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Credit Card – Portfolio quality and Cost of risk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90170</wp:posOffset>
            </wp:positionV>
            <wp:extent cx="5746115" cy="1783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611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80" w:hanging="262"/>
        <w:spacing w:after="0"/>
        <w:tabs>
          <w:tab w:leader="none" w:pos="7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reported a drop QoQ and YoY in the CofR, which was in line with the reduction in provisions. The portfolio grew slightly QoQ given that, as discussed earlier, the decision to increase the speed of growth in this segment and meet the objective to maximize the portfolio’s profitability has yet to fully materialize in 3Q17.</w:t>
      </w:r>
    </w:p>
    <w:p>
      <w:pPr>
        <w:spacing w:after="0" w:line="39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line="277" w:lineRule="auto"/>
        <w:rPr>
          <w:sz w:val="20"/>
          <w:szCs w:val="20"/>
          <w:color w:val="auto"/>
        </w:rPr>
      </w:pPr>
      <w:r>
        <w:rPr>
          <w:rFonts w:ascii="Arial" w:cs="Arial" w:eastAsia="Arial" w:hAnsi="Arial"/>
          <w:sz w:val="18"/>
          <w:szCs w:val="18"/>
          <w:color w:val="auto"/>
        </w:rPr>
        <w:t>Early delinquency fell -10 bps QoQ and -28 bps YoY, which reflects the improvement in the quality of risk of new vintages after corrective measures were taken to address the delinquency problem that became evident at the end of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154940</wp:posOffset>
            </wp:positionV>
            <wp:extent cx="5059680" cy="2324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5968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 Adjusted cost of risk of March 2017 and June 2017 calculated eliminating provisions related to the El Nino weather phenomenon.</w:t>
      </w:r>
    </w:p>
    <w:p>
      <w:pPr>
        <w:spacing w:after="0" w:line="225" w:lineRule="exact"/>
        <w:rPr>
          <w:sz w:val="20"/>
          <w:szCs w:val="20"/>
          <w:color w:val="auto"/>
        </w:rPr>
      </w:pPr>
    </w:p>
    <w:p>
      <w:pPr>
        <w:jc w:val="both"/>
        <w:ind w:left="880" w:hanging="494"/>
        <w:spacing w:after="0" w:line="264"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risk at Mibanco fell -62 bps QoQ, which was primarily due to a decrease in the provisions required for the El Nino Phenomenon (FEN) in 3Q17 and, to a lesser extent, to portfolio expansion. If we exclude the provisions set aside for FEN in 2Q17 (S 15.0 million), the CofR posts a relatively stable level QoQ.</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non-performing portfolio posted a slight increase QoQ and YoY, which as attributable to the programs offered to clients that have been affected by FEN.</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520" w:hanging="51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 line with a gradual recovery in loan growth, mainly in higher-margin segments, the risk-adjusted net interest margin posted a slight increase (+1bps) YTD. The aforementioned was due to a decrease in the CofR and the stability of NIM. NIM reported an increase QoQ that reflected the seasonality of loans as well as higher loan growth in LC and in higher-margin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ind w:left="900"/>
              <w:spacing w:after="0"/>
              <w:rPr>
                <w:sz w:val="20"/>
                <w:szCs w:val="20"/>
                <w:color w:val="auto"/>
              </w:rPr>
            </w:pPr>
            <w:r>
              <w:rPr>
                <w:rFonts w:ascii="Arial" w:cs="Arial" w:eastAsia="Arial" w:hAnsi="Arial"/>
                <w:sz w:val="14"/>
                <w:szCs w:val="14"/>
                <w:b w:val="1"/>
                <w:bCs w:val="1"/>
                <w:color w:val="auto"/>
              </w:rPr>
              <w:t>YTD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3Q16</w:t>
            </w:r>
          </w:p>
        </w:tc>
        <w:tc>
          <w:tcPr>
            <w:tcW w:w="26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2Q17</w:t>
            </w:r>
          </w:p>
        </w:tc>
        <w:tc>
          <w:tcPr>
            <w:tcW w:w="26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Arial" w:cs="Arial" w:eastAsia="Arial" w:hAnsi="Arial"/>
                <w:sz w:val="14"/>
                <w:szCs w:val="14"/>
                <w:b w:val="1"/>
                <w:bCs w:val="1"/>
                <w:color w:val="auto"/>
              </w:rPr>
              <w:t>3Q17</w:t>
            </w:r>
          </w:p>
        </w:tc>
        <w:tc>
          <w:tcPr>
            <w:tcW w:w="2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17</w:t>
            </w:r>
          </w:p>
        </w:tc>
        <w:tc>
          <w:tcPr>
            <w:tcW w:w="220" w:type="dxa"/>
            <w:vAlign w:val="bottom"/>
          </w:tcPr>
          <w:p>
            <w:pPr>
              <w:spacing w:after="0"/>
              <w:rPr>
                <w:sz w:val="14"/>
                <w:szCs w:val="14"/>
                <w:color w:val="auto"/>
              </w:rPr>
            </w:pPr>
          </w:p>
        </w:tc>
        <w:tc>
          <w:tcPr>
            <w:tcW w:w="11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w w:val="96"/>
              </w:rPr>
              <w:t>Sep 17 / Sep 16</w:t>
            </w:r>
          </w:p>
        </w:tc>
        <w:tc>
          <w:tcPr>
            <w:tcW w:w="0" w:type="dxa"/>
            <w:vAlign w:val="bottom"/>
          </w:tcPr>
          <w:p>
            <w:pPr>
              <w:spacing w:after="0"/>
              <w:rPr>
                <w:sz w:val="1"/>
                <w:szCs w:val="1"/>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0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2,712,138</w:t>
            </w:r>
          </w:p>
        </w:tc>
        <w:tc>
          <w:tcPr>
            <w:tcW w:w="26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2,715,901</w:t>
            </w:r>
          </w:p>
        </w:tc>
        <w:tc>
          <w:tcPr>
            <w:tcW w:w="26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2,768,798</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1.9%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2.1%</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7,958,185</w:t>
            </w: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8,224,478</w:t>
            </w:r>
          </w:p>
        </w:tc>
        <w:tc>
          <w:tcPr>
            <w:tcW w:w="22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49"/>
        </w:trPr>
        <w:tc>
          <w:tcPr>
            <w:tcW w:w="2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2,392,826</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2,353,070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2,396,969</w:t>
            </w:r>
          </w:p>
        </w:tc>
        <w:tc>
          <w:tcPr>
            <w:tcW w:w="240" w:type="dxa"/>
            <w:vAlign w:val="bottom"/>
          </w:tcPr>
          <w:p>
            <w:pPr>
              <w:spacing w:after="0"/>
              <w:rPr>
                <w:sz w:val="12"/>
                <w:szCs w:val="12"/>
                <w:color w:val="auto"/>
              </w:rPr>
            </w:pP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7,036,313</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7,111,698</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Dividends on investments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2,975</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4,223</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8,530</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102.0%</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186.7%</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48,929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42,876</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11,480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20,416</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21,172</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3.7%</w:t>
            </w:r>
          </w:p>
        </w:tc>
        <w:tc>
          <w:tcPr>
            <w:tcW w:w="24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84.4%</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35,604</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65,048</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securities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291,187</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331,953</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330,378</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13.5%</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796,943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975,763</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13,670</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6,239</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11,749</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88.3%</w:t>
            </w:r>
          </w:p>
        </w:tc>
        <w:tc>
          <w:tcPr>
            <w:tcW w:w="24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-14.1%</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40,396</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29,093</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715,986</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743,196</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736,375</w:t>
            </w:r>
          </w:p>
        </w:tc>
        <w:tc>
          <w:tcPr>
            <w:tcW w:w="11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2.8%</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2,119,929</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2,203,263</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49"/>
        </w:trPr>
        <w:tc>
          <w:tcPr>
            <w:tcW w:w="22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271,089</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284,093</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287,046</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5.9%</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788,794</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838,673</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2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203,756</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199,127</w:t>
            </w:r>
          </w:p>
        </w:tc>
        <w:tc>
          <w:tcPr>
            <w:tcW w:w="11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185,962</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-6.6%</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-8.7%</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615,436</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583,595</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0"/>
        </w:trPr>
        <w:tc>
          <w:tcPr>
            <w:tcW w:w="222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Interest on bonds and</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20" w:type="dxa"/>
            <w:vAlign w:val="bottom"/>
            <w:gridSpan w:val="2"/>
          </w:tcPr>
          <w:p>
            <w:pPr>
              <w:ind w:left="180"/>
              <w:spacing w:after="0"/>
              <w:rPr>
                <w:sz w:val="20"/>
                <w:szCs w:val="20"/>
                <w:color w:val="auto"/>
              </w:rPr>
            </w:pPr>
            <w:r>
              <w:rPr>
                <w:rFonts w:ascii="Arial" w:cs="Arial" w:eastAsia="Arial" w:hAnsi="Arial"/>
                <w:sz w:val="14"/>
                <w:szCs w:val="14"/>
                <w:color w:val="auto"/>
              </w:rPr>
              <w:t>subordinated notes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191,288</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210,905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203,083</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14"/>
                <w:szCs w:val="14"/>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4"/>
                <w:szCs w:val="14"/>
                <w:color w:val="auto"/>
              </w:rPr>
              <w:t>6.2%</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569,967</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622,147</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62"/>
        </w:trPr>
        <w:tc>
          <w:tcPr>
            <w:tcW w:w="22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interest expense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49,853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49,071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60,284</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22.9%</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145,732</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158,848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1,996,152</w:t>
            </w:r>
          </w:p>
        </w:tc>
        <w:tc>
          <w:tcPr>
            <w:tcW w:w="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1,972,705</w:t>
            </w:r>
          </w:p>
        </w:tc>
        <w:tc>
          <w:tcPr>
            <w:tcW w:w="2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2,032,423</w:t>
            </w:r>
          </w:p>
        </w:tc>
        <w:tc>
          <w:tcPr>
            <w:tcW w:w="2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w:t>
            </w:r>
          </w:p>
        </w:tc>
        <w:tc>
          <w:tcPr>
            <w:tcW w:w="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5,838,256</w:t>
            </w: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6,021,215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142"/>
        </w:trPr>
        <w:tc>
          <w:tcPr>
            <w:tcW w:w="2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Risk-adjusted Net interest income</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1,607,066</w:t>
            </w:r>
          </w:p>
        </w:tc>
        <w:tc>
          <w:tcPr>
            <w:tcW w:w="2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1,539,486</w:t>
            </w:r>
          </w:p>
        </w:tc>
        <w:tc>
          <w:tcPr>
            <w:tcW w:w="26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1,654,221</w:t>
            </w:r>
          </w:p>
        </w:tc>
        <w:tc>
          <w:tcPr>
            <w:tcW w:w="2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w:t>
            </w: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4,512,022</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4,673,300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146,035,709</w:t>
            </w: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149,939,696</w:t>
            </w:r>
          </w:p>
        </w:tc>
        <w:tc>
          <w:tcPr>
            <w:tcW w:w="2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152,336,614</w:t>
            </w:r>
          </w:p>
        </w:tc>
        <w:tc>
          <w:tcPr>
            <w:tcW w:w="2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145,413,797</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150,033,279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9"/>
        </w:trPr>
        <w:tc>
          <w:tcPr>
            <w:tcW w:w="222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5.47%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5.26%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5.34%</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8 bps</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-13 bps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5.35%</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5.35%</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0 bps</w:t>
            </w:r>
          </w:p>
        </w:tc>
        <w:tc>
          <w:tcPr>
            <w:tcW w:w="0" w:type="dxa"/>
            <w:vAlign w:val="bottom"/>
          </w:tcPr>
          <w:p>
            <w:pPr>
              <w:spacing w:after="0"/>
              <w:rPr>
                <w:sz w:val="1"/>
                <w:szCs w:val="1"/>
                <w:color w:val="auto"/>
              </w:rPr>
            </w:pPr>
          </w:p>
        </w:tc>
      </w:tr>
      <w:tr>
        <w:trPr>
          <w:trHeight w:val="149"/>
        </w:trPr>
        <w:tc>
          <w:tcPr>
            <w:tcW w:w="2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NIM on loans</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8.33%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8.13%</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8.22%</w:t>
            </w:r>
          </w:p>
        </w:tc>
        <w:tc>
          <w:tcPr>
            <w:tcW w:w="14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9 bps</w:t>
            </w:r>
          </w:p>
        </w:tc>
        <w:tc>
          <w:tcPr>
            <w:tcW w:w="88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-11 bps</w:t>
            </w:r>
          </w:p>
        </w:tc>
        <w:tc>
          <w:tcPr>
            <w:tcW w:w="11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8.22%</w:t>
            </w:r>
          </w:p>
        </w:tc>
        <w:tc>
          <w:tcPr>
            <w:tcW w:w="100" w:type="dxa"/>
            <w:vAlign w:val="bottom"/>
          </w:tcPr>
          <w:p>
            <w:pPr>
              <w:spacing w:after="0"/>
              <w:rPr>
                <w:sz w:val="12"/>
                <w:szCs w:val="12"/>
                <w:color w:val="auto"/>
              </w:rPr>
            </w:pPr>
          </w:p>
        </w:tc>
        <w:tc>
          <w:tcPr>
            <w:tcW w:w="10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8.03%</w:t>
            </w:r>
          </w:p>
        </w:tc>
        <w:tc>
          <w:tcPr>
            <w:tcW w:w="8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-19 bps</w:t>
            </w:r>
          </w:p>
        </w:tc>
        <w:tc>
          <w:tcPr>
            <w:tcW w:w="0" w:type="dxa"/>
            <w:vAlign w:val="bottom"/>
          </w:tcPr>
          <w:p>
            <w:pPr>
              <w:spacing w:after="0"/>
              <w:rPr>
                <w:sz w:val="1"/>
                <w:szCs w:val="1"/>
                <w:color w:val="auto"/>
              </w:rPr>
            </w:pPr>
          </w:p>
        </w:tc>
      </w:tr>
      <w:tr>
        <w:trPr>
          <w:trHeight w:val="136"/>
        </w:trPr>
        <w:tc>
          <w:tcPr>
            <w:tcW w:w="22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8"/>
              </w:rPr>
              <w:t>Risk-adjusted Net interest margin</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(1)</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4.40%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4.11%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4.34%</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23 bps</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-6 bps</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4.14%</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4.15%</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 bps</w:t>
            </w:r>
          </w:p>
        </w:tc>
        <w:tc>
          <w:tcPr>
            <w:tcW w:w="0" w:type="dxa"/>
            <w:vAlign w:val="bottom"/>
          </w:tcPr>
          <w:p>
            <w:pPr>
              <w:spacing w:after="0"/>
              <w:rPr>
                <w:sz w:val="1"/>
                <w:szCs w:val="1"/>
                <w:color w:val="auto"/>
              </w:rPr>
            </w:pPr>
          </w:p>
        </w:tc>
      </w:tr>
      <w:tr>
        <w:trPr>
          <w:trHeight w:val="126"/>
        </w:trPr>
        <w:tc>
          <w:tcPr>
            <w:tcW w:w="22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Net provisions for loan losses /</w:t>
            </w: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19.49%</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21.96%</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18.61%</w:t>
            </w:r>
          </w:p>
        </w:tc>
        <w:tc>
          <w:tcPr>
            <w:tcW w:w="14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-335 bps</w:t>
            </w:r>
          </w:p>
        </w:tc>
        <w:tc>
          <w:tcPr>
            <w:tcW w:w="8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-88 bps</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22.72%</w:t>
            </w:r>
          </w:p>
        </w:tc>
        <w:tc>
          <w:tcPr>
            <w:tcW w:w="10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22.39%</w:t>
            </w:r>
          </w:p>
        </w:tc>
        <w:tc>
          <w:tcPr>
            <w:tcW w:w="80" w:type="dxa"/>
            <w:vAlign w:val="bottom"/>
          </w:tcPr>
          <w:p>
            <w:pPr>
              <w:spacing w:after="0"/>
              <w:rPr>
                <w:sz w:val="16"/>
                <w:szCs w:val="16"/>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-33 bps</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beginning this discussion, it is important to remember that in order to manage NIM with greater precision and clarity, and to ensure better disclosure, in 1Q17 we began excluding the derivatives result from NII to include it in non-financial income. For comparative purposes, these changes have been applied retroactively to 3Q16.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Interest income increased +1.9% QoQ. This was due primarily to growth in </w:t>
      </w:r>
      <w:r>
        <w:rPr>
          <w:rFonts w:ascii="Arial" w:cs="Arial" w:eastAsia="Arial" w:hAnsi="Arial"/>
          <w:sz w:val="18"/>
          <w:szCs w:val="18"/>
          <w:b w:val="1"/>
          <w:bCs w:val="1"/>
          <w:color w:val="auto"/>
        </w:rPr>
        <w:t>interest income on loans</w:t>
      </w:r>
      <w:r>
        <w:rPr>
          <w:rFonts w:ascii="Arial" w:cs="Arial" w:eastAsia="Arial" w:hAnsi="Arial"/>
          <w:sz w:val="18"/>
          <w:szCs w:val="18"/>
          <w:color w:val="auto"/>
        </w:rPr>
        <w:t>, which was in turn attributable to:</w:t>
      </w:r>
    </w:p>
    <w:p>
      <w:pPr>
        <w:spacing w:after="0" w:line="229" w:lineRule="exact"/>
        <w:rPr>
          <w:sz w:val="20"/>
          <w:szCs w:val="20"/>
          <w:color w:val="auto"/>
        </w:rPr>
      </w:pPr>
    </w:p>
    <w:p>
      <w:pPr>
        <w:ind w:left="880" w:hanging="49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VOLUMES: Growth in average daily loan balances, as explained in section 1.2 Credicorp Loans.</w:t>
      </w:r>
    </w:p>
    <w:p>
      <w:pPr>
        <w:spacing w:after="0" w:line="225" w:lineRule="exact"/>
        <w:rPr>
          <w:rFonts w:ascii="Arial" w:cs="Arial" w:eastAsia="Arial" w:hAnsi="Arial"/>
          <w:sz w:val="18"/>
          <w:szCs w:val="18"/>
          <w:color w:val="auto"/>
        </w:rPr>
      </w:pPr>
    </w:p>
    <w:p>
      <w:pPr>
        <w:jc w:val="both"/>
        <w:ind w:left="880" w:hanging="494"/>
        <w:spacing w:after="0" w:line="312" w:lineRule="auto"/>
        <w:tabs>
          <w:tab w:leader="none" w:pos="8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MIX BY SEGMENT: The loan mix shows an increase in the share of higher-margin segments. This reflects the positive effect of seasonality in the second half of every year when the Retail Banking segments at BCP Stand-alone and Mibanco roll out their main financing campaigns to lead loan growth. It is important to note that within Retail Banking, the segments with higher growth were SME-Business, SME-Pyme and Mortgage.</w:t>
      </w:r>
    </w:p>
    <w:p>
      <w:pPr>
        <w:spacing w:after="0" w:line="146" w:lineRule="exact"/>
        <w:rPr>
          <w:rFonts w:ascii="Arial" w:cs="Arial" w:eastAsia="Arial" w:hAnsi="Arial"/>
          <w:sz w:val="16"/>
          <w:szCs w:val="16"/>
          <w:color w:val="auto"/>
        </w:rPr>
      </w:pPr>
    </w:p>
    <w:p>
      <w:pPr>
        <w:ind w:left="880" w:right="20" w:hanging="494"/>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MIX BY CURRENCY: Reflecting slight growth in the share of LC loans in the portfolio mix by currency and interest rates for LC that are higher than those associated with FC.</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of the aforementioned offset the negative effects generated by the contraction in Corporate Banking loans, which also posted lower margins due to aggressive competition.</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income expanded +2.1%. </w:t>
      </w:r>
      <w:r>
        <w:rPr>
          <w:rFonts w:ascii="Arial" w:cs="Arial" w:eastAsia="Arial" w:hAnsi="Arial"/>
          <w:sz w:val="18"/>
          <w:szCs w:val="18"/>
          <w:b w:val="1"/>
          <w:bCs w:val="1"/>
          <w:color w:val="auto"/>
        </w:rPr>
        <w:t>Interest income on loans</w:t>
      </w:r>
      <w:r>
        <w:rPr>
          <w:rFonts w:ascii="Arial" w:cs="Arial" w:eastAsia="Arial" w:hAnsi="Arial"/>
          <w:sz w:val="18"/>
          <w:szCs w:val="18"/>
          <w:color w:val="auto"/>
        </w:rPr>
        <w:t xml:space="preserve"> followed the same trend YoY as described above for the QoQ evolution. Additionally, and more significantly, the YoY increase in interest was positively affected by the increase in </w:t>
      </w:r>
      <w:r>
        <w:rPr>
          <w:rFonts w:ascii="Arial" w:cs="Arial" w:eastAsia="Arial" w:hAnsi="Arial"/>
          <w:sz w:val="18"/>
          <w:szCs w:val="18"/>
          <w:b w:val="1"/>
          <w:bCs w:val="1"/>
          <w:color w:val="auto"/>
        </w:rPr>
        <w:t>interest income on securities</w:t>
      </w:r>
      <w:r>
        <w:rPr>
          <w:rFonts w:ascii="Arial" w:cs="Arial" w:eastAsia="Arial" w:hAnsi="Arial"/>
          <w:sz w:val="18"/>
          <w:szCs w:val="18"/>
          <w:color w:val="auto"/>
        </w:rPr>
        <w:t xml:space="preserve"> due to more active management of the investment portfolio in a context of low loan growth to maximize the profitability of IEA.</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YTD, the 3.3% increase in interest income was attributable to growth in </w:t>
      </w:r>
      <w:r>
        <w:rPr>
          <w:rFonts w:ascii="Arial" w:cs="Arial" w:eastAsia="Arial" w:hAnsi="Arial"/>
          <w:sz w:val="18"/>
          <w:szCs w:val="18"/>
          <w:b w:val="1"/>
          <w:bCs w:val="1"/>
          <w:color w:val="auto"/>
        </w:rPr>
        <w:t>interest income on loans</w:t>
      </w:r>
      <w:r>
        <w:rPr>
          <w:rFonts w:ascii="Arial" w:cs="Arial" w:eastAsia="Arial" w:hAnsi="Arial"/>
          <w:sz w:val="18"/>
          <w:szCs w:val="18"/>
          <w:color w:val="auto"/>
        </w:rPr>
        <w:t xml:space="preserve"> and to an increase in interest on securities, which was attributable to:</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VOLUMES: Growth in average daily loan balances, as explained in section 1.2 Credicorp Loans.</w:t>
      </w:r>
    </w:p>
    <w:p>
      <w:pPr>
        <w:spacing w:after="0" w:line="22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MIX BY SEGMENT: If we exclude the seasonal effect in 3T, the mix showed an increase in higher-margin segments. It is important to note that within Retail Banking, SME-Business, SME-Pyme and Mortgage were the highest growth segments.</w:t>
      </w:r>
    </w:p>
    <w:p>
      <w:pPr>
        <w:spacing w:after="0" w:line="17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MIX BY CURRENCY: The share of LC loans, which carry higher rates than their FC counterparts, increased their share of Retail Banking segments at BCP Stand-alone and Mibanco</w:t>
      </w:r>
    </w:p>
    <w:p>
      <w:pPr>
        <w:spacing w:after="0" w:line="17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MIX WITHIN IEA: Investments, specifically investments available for sale, have grown significantly over the last year, which led interest income on securities to increase significantly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expenses fell -0.9% QoQ, which was attributable to:</w:t>
      </w:r>
    </w:p>
    <w:p>
      <w:pPr>
        <w:spacing w:after="0" w:line="225" w:lineRule="exact"/>
        <w:rPr>
          <w:sz w:val="20"/>
          <w:szCs w:val="20"/>
          <w:color w:val="auto"/>
        </w:rPr>
      </w:pPr>
    </w:p>
    <w:p>
      <w:pPr>
        <w:jc w:val="both"/>
        <w:ind w:left="9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FUNDING STRUCTURE: Deposits, a lower-cost funding source, increased while the number of repo agreements with BCRP decreased. This drop in BCRP instruments was partially offset by the increase in Due to banks and correspondents. In this scenario, professional funding replaced BCRP funding.</w:t>
      </w:r>
    </w:p>
    <w:p>
      <w:pPr>
        <w:spacing w:after="0" w:line="181"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RATE: The pace of renewals of Due to banks and correspondents was slowed in a context in which rates in Soles followed a negative trend, in line with the latest reduction in BCRP’s rate.</w:t>
      </w:r>
    </w:p>
    <w:p>
      <w:pPr>
        <w:spacing w:after="0" w:line="17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MIX OF DEPOSITS: Deposits grew but growth was concentrated in lower-cost deposits such as Demand deposits and Savings deposits</w:t>
      </w:r>
    </w:p>
    <w:p>
      <w:pPr>
        <w:spacing w:after="0" w:line="236"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MIX BY CURRENCY IN DEPOSITS: the deposit volume in LC increased while the volume in FC decreased, which in previous periods would have led to an increase in expenses given that interest in LC is higher but in the current context, rates in Soles are following a downward trend. This change in the currency mix of deposits has not led to a significant increase in interest expenses.</w:t>
      </w:r>
    </w:p>
    <w:p>
      <w:pPr>
        <w:spacing w:after="0" w:line="17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YoY analysis</w:t>
      </w:r>
      <w:r>
        <w:rPr>
          <w:rFonts w:ascii="Arial" w:cs="Arial" w:eastAsia="Arial" w:hAnsi="Arial"/>
          <w:sz w:val="16"/>
          <w:szCs w:val="16"/>
          <w:color w:val="auto"/>
        </w:rPr>
        <w:t xml:space="preserve">, interest income grew +2.8%, which was mainly attributable to higher expenses for </w:t>
      </w:r>
      <w:r>
        <w:rPr>
          <w:rFonts w:ascii="Arial" w:cs="Arial" w:eastAsia="Arial" w:hAnsi="Arial"/>
          <w:sz w:val="16"/>
          <w:szCs w:val="16"/>
          <w:b w:val="1"/>
          <w:bCs w:val="1"/>
          <w:color w:val="auto"/>
        </w:rPr>
        <w:t>Interest on Deposits.</w:t>
      </w:r>
      <w:r>
        <w:rPr>
          <w:rFonts w:ascii="Arial" w:cs="Arial" w:eastAsia="Arial" w:hAnsi="Arial"/>
          <w:sz w:val="16"/>
          <w:szCs w:val="16"/>
          <w:color w:val="auto"/>
        </w:rPr>
        <w:t xml:space="preserve"> This scenario was generated by a volume effect and a rate effect given that the deposits that posted the highest growth were also those with the highest rates. It is also important to note that the drop in </w:t>
      </w:r>
      <w:r>
        <w:rPr>
          <w:rFonts w:ascii="Arial" w:cs="Arial" w:eastAsia="Arial" w:hAnsi="Arial"/>
          <w:sz w:val="16"/>
          <w:szCs w:val="16"/>
          <w:b w:val="1"/>
          <w:bCs w:val="1"/>
          <w:color w:val="auto"/>
        </w:rPr>
        <w:t>Interest on loans</w:t>
      </w:r>
      <w:r>
        <w:rPr>
          <w:rFonts w:ascii="Arial" w:cs="Arial" w:eastAsia="Arial" w:hAnsi="Arial"/>
          <w:sz w:val="16"/>
          <w:szCs w:val="16"/>
          <w:color w:val="auto"/>
        </w:rPr>
        <w:t xml:space="preserve"> was attributable to a reduction in BCRP instruments, whose funding cost is higher than that of deposits.</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NIM and Risk-Adjusted NIM</w:t>
      </w:r>
      <w:r>
        <w:rPr>
          <w:rFonts w:ascii="Arial" w:cs="Arial" w:eastAsia="Arial" w:hAnsi="Arial"/>
          <w:sz w:val="30"/>
          <w:szCs w:val="30"/>
          <w:b w:val="1"/>
          <w:bCs w:val="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90170</wp:posOffset>
            </wp:positionV>
            <wp:extent cx="5514340" cy="26498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1434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0" w:right="120" w:firstLine="6"/>
        <w:spacing w:after="0" w:line="277" w:lineRule="auto"/>
        <w:tabs>
          <w:tab w:leader="none" w:pos="8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NIM recovered +8 bps due to growth in NII (+3.0% QoQ). This was due primarily to growth in Interest Income, as explained in the previous section, in a scenario in which average IEAs grew slightly (+1.6%). Risk-adjusted NIM has recovered to an even larger extent (+23 bps) given that in 3Q17, provisions for loan losses fell -12.7%.</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 drop in NIM was attributable to a scenario in which average IEA grew 4.3% while growth in NII as situated at 1.8%. Risk-Adjusted NIM posted a decline (-6 bps) given that provisions for loan losses fell -2.8% YoY. The evolution of these two indicators YoY is mainly due to the fact that growth in IEA was led by an expansion in the portfolio of investments, which is a less profitable asset than loans.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YTD analysis</w:t>
      </w:r>
      <w:r>
        <w:rPr>
          <w:rFonts w:ascii="Arial" w:cs="Arial" w:eastAsia="Arial" w:hAnsi="Arial"/>
          <w:sz w:val="18"/>
          <w:szCs w:val="18"/>
          <w:b w:val="1"/>
          <w:bCs w:val="1"/>
          <w:color w:val="auto"/>
        </w:rPr>
        <w:t>,</w:t>
      </w:r>
      <w:r>
        <w:rPr>
          <w:rFonts w:ascii="Arial" w:cs="Arial" w:eastAsia="Arial" w:hAnsi="Arial"/>
          <w:sz w:val="18"/>
          <w:szCs w:val="18"/>
          <w:color w:val="auto"/>
        </w:rPr>
        <w:t xml:space="preserve"> NIM remained stable while risk-adjusted NIM posted a slight recovery </w:t>
      </w:r>
      <w:r>
        <w:rPr>
          <w:rFonts w:ascii="Arial" w:cs="Arial" w:eastAsia="Arial" w:hAnsi="Arial"/>
          <w:sz w:val="18"/>
          <w:szCs w:val="18"/>
          <w:i w:val="1"/>
          <w:iCs w:val="1"/>
          <w:color w:val="auto"/>
        </w:rPr>
        <w:t>(+1 bps)</w:t>
      </w:r>
      <w:r>
        <w:rPr>
          <w:rFonts w:ascii="Arial" w:cs="Arial" w:eastAsia="Arial" w:hAnsi="Arial"/>
          <w:sz w:val="18"/>
          <w:szCs w:val="18"/>
          <w:color w:val="auto"/>
        </w:rPr>
        <w:t>, in line with a gradual recovery in loan growth that was accompanied by a risk management approach to ensure that our portfolios remain within the risk appetite in a scenario in which growth has stemmed from higher-margin segments such as Mibanco and Retail Banking at BCP Stand-alone. The aforementioned helped offset the contraction in Retail Banking margins due to aggressive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7" w:lineRule="exact"/>
        <w:rPr>
          <w:sz w:val="20"/>
          <w:szCs w:val="20"/>
          <w:color w:val="auto"/>
        </w:rPr>
      </w:pPr>
    </w:p>
    <w:p>
      <w:pPr>
        <w:ind w:left="120" w:hanging="112"/>
        <w:spacing w:after="0"/>
        <w:tabs>
          <w:tab w:leader="none" w:pos="12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137160</wp:posOffset>
            </wp:positionV>
            <wp:extent cx="4373880" cy="231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7388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right="1560"/>
        <w:spacing w:after="0" w:line="255" w:lineRule="auto"/>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18"/>
          <w:szCs w:val="18"/>
          <w:color w:val="auto"/>
        </w:rPr>
        <w:t>posted a recovery of +9 bps</w:t>
      </w:r>
      <w:r>
        <w:rPr>
          <w:rFonts w:ascii="Arial" w:cs="Arial" w:eastAsia="Arial" w:hAnsi="Arial"/>
          <w:sz w:val="18"/>
          <w:szCs w:val="18"/>
          <w:b w:val="1"/>
          <w:bCs w:val="1"/>
          <w:color w:val="auto"/>
        </w:rPr>
        <w:t xml:space="preserve"> QoQ</w:t>
      </w:r>
      <w:r>
        <w:rPr>
          <w:rFonts w:ascii="Arial" w:cs="Arial" w:eastAsia="Arial" w:hAnsi="Arial"/>
          <w:sz w:val="18"/>
          <w:szCs w:val="18"/>
          <w:color w:val="auto"/>
        </w:rPr>
        <w:t>, which was in line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growth in Mibanco and in Retail Banking segments at BCP Stand-alone due to the seasonality that affects these segments in the second half of the year. Nevertheless, </w:t>
      </w:r>
      <w:r>
        <w:rPr>
          <w:rFonts w:ascii="Arial" w:cs="Arial" w:eastAsia="Arial" w:hAnsi="Arial"/>
          <w:sz w:val="18"/>
          <w:szCs w:val="18"/>
          <w:b w:val="1"/>
          <w:bCs w:val="1"/>
          <w:color w:val="auto"/>
        </w:rPr>
        <w:t>YoY and YTD</w:t>
      </w:r>
      <w:r>
        <w:rPr>
          <w:rFonts w:ascii="Arial" w:cs="Arial" w:eastAsia="Arial" w:hAnsi="Arial"/>
          <w:sz w:val="18"/>
          <w:szCs w:val="18"/>
          <w:color w:val="auto"/>
        </w:rPr>
        <w:t xml:space="preserve"> indicator deteriorated due to: i) a contraction in Wholesale Banking loans at BCP Stand-alone and ii) margins in this segment were pressured by aggressive competition. The aforementioned was attenuated by higher volumes in Retail Banking and Mibanco and higher margins at Mibanco.</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6"/>
          <w:szCs w:val="16"/>
          <w:b w:val="1"/>
          <w:bCs w:val="1"/>
          <w:color w:val="auto"/>
        </w:rPr>
        <w:t>NIM on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169545</wp:posOffset>
            </wp:positionV>
            <wp:extent cx="2538730" cy="1672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38730" cy="1672590"/>
                    </a:xfrm>
                    <a:prstGeom prst="rect">
                      <a:avLst/>
                    </a:prstGeom>
                    <a:noFill/>
                  </pic:spPr>
                </pic:pic>
              </a:graphicData>
            </a:graphic>
          </wp:anchor>
        </w:drawing>
      </w:r>
    </w:p>
    <w:p>
      <w:pPr>
        <w:spacing w:after="0" w:line="1775" w:lineRule="exact"/>
        <w:rPr>
          <w:sz w:val="20"/>
          <w:szCs w:val="20"/>
          <w:color w:val="auto"/>
        </w:rPr>
      </w:pPr>
    </w:p>
    <w:p>
      <w:pPr>
        <w:sectPr>
          <w:pgSz w:w="11900" w:h="16838" w:orient="portrait"/>
          <w:cols w:equalWidth="0" w:num="2">
            <w:col w:w="7380" w:space="720"/>
            <w:col w:w="33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It is important to analyze NIM by subsidiary. The table below provides information on the interest margins for reach of Credicorp’s main subsidiaries.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BCP Stand-alone</w:t>
            </w: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Mibanco</w:t>
            </w: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BCP Bolivia</w:t>
            </w: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ASB</w:t>
            </w:r>
          </w:p>
        </w:tc>
        <w:tc>
          <w:tcPr>
            <w:tcW w:w="2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 xml:space="preserve">Credicorp </w:t>
            </w:r>
            <w:r>
              <w:rPr>
                <w:rFonts w:ascii="Arial" w:cs="Arial" w:eastAsia="Arial" w:hAnsi="Arial"/>
                <w:sz w:val="30"/>
                <w:szCs w:val="30"/>
                <w:b w:val="1"/>
                <w:bCs w:val="1"/>
                <w:color w:val="auto"/>
                <w:w w:val="97"/>
                <w:vertAlign w:val="superscript"/>
              </w:rPr>
              <w:t>(1)</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3Q16</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2Q17</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15.20%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5.26%</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3Q17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YTD - Sep 16</w:t>
            </w: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5.35%</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YTD - Sep 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Credicorp Capital, Prima, Grupo Credito and Eliminations for consolidation purposes.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QoQ evolution of Global NIM by subsidiary shows a recovery in Credicorp’s margin that was primarily attributable to </w:t>
      </w:r>
      <w:r>
        <w:rPr>
          <w:rFonts w:ascii="Arial" w:cs="Arial" w:eastAsia="Arial" w:hAnsi="Arial"/>
          <w:sz w:val="18"/>
          <w:szCs w:val="18"/>
          <w:b w:val="1"/>
          <w:bCs w:val="1"/>
          <w:color w:val="auto"/>
        </w:rPr>
        <w:t>BCP Stand-alone and Mibanco</w:t>
      </w:r>
      <w:r>
        <w:rPr>
          <w:rFonts w:ascii="Arial" w:cs="Arial" w:eastAsia="Arial" w:hAnsi="Arial"/>
          <w:sz w:val="18"/>
          <w:szCs w:val="18"/>
          <w:color w:val="auto"/>
        </w:rPr>
        <w:t xml:space="preserve">, which represent around 65% and 23% of net interest income respectively.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registered a recovery in its margin that was associated primarily with loan growth in higher-margin segments (SME-Pyme and SME-Business) while at </w:t>
      </w:r>
      <w:r>
        <w:rPr>
          <w:rFonts w:ascii="Arial" w:cs="Arial" w:eastAsia="Arial" w:hAnsi="Arial"/>
          <w:sz w:val="18"/>
          <w:szCs w:val="18"/>
          <w:b w:val="1"/>
          <w:bCs w:val="1"/>
          <w:color w:val="auto"/>
        </w:rPr>
        <w:t>Mibanco</w:t>
      </w:r>
      <w:r>
        <w:rPr>
          <w:rFonts w:ascii="Arial" w:cs="Arial" w:eastAsia="Arial" w:hAnsi="Arial"/>
          <w:sz w:val="18"/>
          <w:szCs w:val="18"/>
          <w:color w:val="auto"/>
        </w:rPr>
        <w:t>, the growth of 71bps posted in the margin is related to an increase in the loan volume and a decrease in interest expenses associated with Due to banks and correspondents given that many obligations were renewed at a lower rate.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YTD a</w:t>
      </w:r>
      <w:r>
        <w:rPr>
          <w:rFonts w:ascii="Arial" w:cs="Arial" w:eastAsia="Arial" w:hAnsi="Arial"/>
          <w:sz w:val="18"/>
          <w:szCs w:val="18"/>
          <w:b w:val="1"/>
          <w:bCs w:val="1"/>
          <w:color w:val="auto"/>
        </w:rPr>
        <w:t>nalysis</w:t>
      </w:r>
      <w:r>
        <w:rPr>
          <w:rFonts w:ascii="Arial" w:cs="Arial" w:eastAsia="Arial" w:hAnsi="Arial"/>
          <w:sz w:val="18"/>
          <w:szCs w:val="18"/>
          <w:color w:val="auto"/>
        </w:rPr>
        <w:t xml:space="preserve"> shows that Credicorp’s NIM has remained stable while BCP Stand-alone’s NIM deteriorated slightly by -8 bps. This deterioration was offset by the increase of +100 bps in Mibanco’s NIM, which reported both a larger increase in NII and a more significant increase in IEA. The evolution of the margin at Mibanco at the accumulated level is also due to a reduction in the funding cost, which was attributable to an increase in the share of deposits and lower costs for Due to banks and correspondents.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2" w:name="page33"/>
    <w:bookmarkEnd w:id="32"/>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Non-financial income grew +21.7% QoQ and +28.3% YoY. This was mainly attributable to gains on sales of securities, which were generated by the sale of the remaining shares of BCI. The aforementioned helped offset a decrease in gains on foreign exchange transactions, investments in associates and other income. Fee income, the main source of non-financial income, fell slightly QoQ. Nevertheless, YoY and YTD, slight growth was reported.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Non-financial income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860"/>
              <w:spacing w:after="0"/>
              <w:rPr>
                <w:sz w:val="20"/>
                <w:szCs w:val="20"/>
                <w:color w:val="auto"/>
              </w:rPr>
            </w:pPr>
            <w:r>
              <w:rPr>
                <w:rFonts w:ascii="Arial" w:cs="Arial" w:eastAsia="Arial" w:hAnsi="Arial"/>
                <w:sz w:val="14"/>
                <w:szCs w:val="14"/>
                <w:b w:val="1"/>
                <w:bCs w:val="1"/>
                <w:color w:val="auto"/>
              </w:rPr>
              <w:t>YTD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3Q16</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2Q17</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Sep 16</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 17</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 / 2016</w:t>
            </w:r>
          </w:p>
        </w:tc>
        <w:tc>
          <w:tcPr>
            <w:tcW w:w="120" w:type="dxa"/>
            <w:vAlign w:val="bottom"/>
            <w:tcBorders>
              <w:bottom w:val="single" w:sz="8" w:color="CCEEFF"/>
            </w:tcBorders>
          </w:tcPr>
          <w:p>
            <w:pPr>
              <w:spacing w:after="0"/>
              <w:rPr>
                <w:sz w:val="14"/>
                <w:szCs w:val="14"/>
                <w:color w:val="auto"/>
              </w:rPr>
            </w:pPr>
          </w:p>
        </w:tc>
      </w:tr>
      <w:tr>
        <w:trPr>
          <w:trHeight w:val="142"/>
        </w:trPr>
        <w:tc>
          <w:tcPr>
            <w:tcW w:w="23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Fee income</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698,029</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717,190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711,632</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-0.8%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1.9%</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2,061,972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2,106,869</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Net gain on foreign exchange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2420" w:type="dxa"/>
            <w:vAlign w:val="bottom"/>
            <w:gridSpan w:val="2"/>
          </w:tcPr>
          <w:p>
            <w:pPr>
              <w:spacing w:after="0"/>
              <w:rPr>
                <w:sz w:val="20"/>
                <w:szCs w:val="20"/>
                <w:color w:val="auto"/>
              </w:rPr>
            </w:pPr>
            <w:r>
              <w:rPr>
                <w:rFonts w:ascii="Arial" w:cs="Arial" w:eastAsia="Arial" w:hAnsi="Arial"/>
                <w:sz w:val="14"/>
                <w:szCs w:val="14"/>
                <w:color w:val="auto"/>
              </w:rPr>
              <w:t>transactions</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174,578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160,256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150,777</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-5.9%</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-13.6%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504,744</w:t>
            </w:r>
          </w:p>
        </w:tc>
        <w:tc>
          <w:tcPr>
            <w:tcW w:w="1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477,519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-5.4%</w:t>
            </w:r>
          </w:p>
        </w:tc>
      </w:tr>
      <w:tr>
        <w:trPr>
          <w:trHeight w:val="189"/>
        </w:trPr>
        <w:tc>
          <w:tcPr>
            <w:tcW w:w="242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5,974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(528)</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-108.8%</w:t>
            </w:r>
          </w:p>
        </w:tc>
        <w:tc>
          <w:tcPr>
            <w:tcW w:w="2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-112.8%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8,564</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11,469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33.9%</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Net gain on sales of securities</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102,866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83,151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346,122</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316.3%</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236.5%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284,942</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487,094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70.9%</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gain on derivatives</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(36,730)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15,313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25,713</w:t>
            </w:r>
          </w:p>
        </w:tc>
        <w:tc>
          <w:tcPr>
            <w:tcW w:w="11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67.9%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-170.0%</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(27,923)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95,367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-441.5%</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Result on exchange difference</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3,293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4,028</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74.8%</w:t>
            </w: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22.3%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(42,253)</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15,403</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-136.5%</w:t>
            </w:r>
          </w:p>
        </w:tc>
      </w:tr>
      <w:tr>
        <w:trPr>
          <w:trHeight w:val="162"/>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non-financial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53,172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69,771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44,732</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2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153,092</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183,248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42"/>
        </w:trPr>
        <w:tc>
          <w:tcPr>
            <w:tcW w:w="2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non financial income</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999,344</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1,053,960</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1,282,476</w:t>
            </w: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21.7</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28.3</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2,943,138</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3,376,969</w:t>
            </w:r>
          </w:p>
        </w:tc>
        <w:tc>
          <w:tcPr>
            <w:tcW w:w="20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14.7</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Mainly includes the agreement between Grupo Pacifico and Banmedica.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QoQ growth </w:t>
      </w:r>
      <w:r>
        <w:rPr>
          <w:rFonts w:ascii="Arial" w:cs="Arial" w:eastAsia="Arial" w:hAnsi="Arial"/>
          <w:sz w:val="18"/>
          <w:szCs w:val="18"/>
          <w:color w:val="auto"/>
        </w:rPr>
        <w:t>in non-financial was due mainly to:</w:t>
      </w:r>
    </w:p>
    <w:p>
      <w:pPr>
        <w:spacing w:after="0" w:line="225" w:lineRule="exact"/>
        <w:rPr>
          <w:sz w:val="20"/>
          <w:szCs w:val="20"/>
          <w:color w:val="auto"/>
        </w:rPr>
      </w:pPr>
    </w:p>
    <w:p>
      <w:pPr>
        <w:jc w:val="both"/>
        <w:ind w:left="900" w:hanging="446"/>
        <w:spacing w:after="0" w:line="26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 increase in the </w:t>
      </w:r>
      <w:r>
        <w:rPr>
          <w:rFonts w:ascii="Arial" w:cs="Arial" w:eastAsia="Arial" w:hAnsi="Arial"/>
          <w:sz w:val="18"/>
          <w:szCs w:val="18"/>
          <w:b w:val="1"/>
          <w:bCs w:val="1"/>
          <w:color w:val="auto"/>
        </w:rPr>
        <w:t>Net gains on sales of securities.</w:t>
      </w:r>
      <w:r>
        <w:rPr>
          <w:rFonts w:ascii="Arial" w:cs="Arial" w:eastAsia="Arial" w:hAnsi="Arial"/>
          <w:sz w:val="18"/>
          <w:szCs w:val="18"/>
          <w:color w:val="auto"/>
        </w:rPr>
        <w:t xml:space="preserve"> This was generated by the sale of the remaining shares of BCI, which produced a net income of S/ 281 million, and, to a lesser extent, by the sale of sovereign bonds from the Peruvian government and certificates of deposit at BCRP at BCP Stand-alone.</w:t>
      </w:r>
    </w:p>
    <w:p>
      <w:pPr>
        <w:spacing w:after="0" w:line="176"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 increase in the </w:t>
      </w:r>
      <w:r>
        <w:rPr>
          <w:rFonts w:ascii="Arial" w:cs="Arial" w:eastAsia="Arial" w:hAnsi="Arial"/>
          <w:sz w:val="18"/>
          <w:szCs w:val="18"/>
          <w:b w:val="1"/>
          <w:bCs w:val="1"/>
          <w:color w:val="auto"/>
        </w:rPr>
        <w:t>Derivatives result,</w:t>
      </w:r>
      <w:r>
        <w:rPr>
          <w:rFonts w:ascii="Arial" w:cs="Arial" w:eastAsia="Arial" w:hAnsi="Arial"/>
          <w:sz w:val="18"/>
          <w:szCs w:val="18"/>
          <w:color w:val="auto"/>
        </w:rPr>
        <w:t xml:space="preserve"> which was due to gains on forwards at Credicorp Capital Colombia.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offset:</w:t>
      </w:r>
    </w:p>
    <w:p>
      <w:pPr>
        <w:spacing w:after="0" w:line="221" w:lineRule="exact"/>
        <w:rPr>
          <w:sz w:val="20"/>
          <w:szCs w:val="20"/>
          <w:color w:val="auto"/>
        </w:rPr>
      </w:pPr>
    </w:p>
    <w:p>
      <w:pPr>
        <w:ind w:left="900" w:hanging="446"/>
        <w:spacing w:after="0" w:line="282"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contraction in </w:t>
      </w:r>
      <w:r>
        <w:rPr>
          <w:rFonts w:ascii="Arial" w:cs="Arial" w:eastAsia="Arial" w:hAnsi="Arial"/>
          <w:sz w:val="18"/>
          <w:szCs w:val="18"/>
          <w:b w:val="1"/>
          <w:bCs w:val="1"/>
          <w:color w:val="auto"/>
        </w:rPr>
        <w:t>Other income</w:t>
      </w:r>
      <w:r>
        <w:rPr>
          <w:rFonts w:ascii="Arial" w:cs="Arial" w:eastAsia="Arial" w:hAnsi="Arial"/>
          <w:sz w:val="18"/>
          <w:szCs w:val="18"/>
          <w:color w:val="auto"/>
        </w:rPr>
        <w:t>, which was mainly the result of a gain registered in 2Q17 at BCP Stand-alone after a real estate property was sold.</w:t>
      </w:r>
    </w:p>
    <w:p>
      <w:pPr>
        <w:spacing w:after="0" w:line="161"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 decrease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xml:space="preserve"> at BCP Stand-alone, which was attributable to both a contraction in the volume of foreign exchange transactions and to lower margins. This was, in turn, a reflection of i) low volatility in the exchange rate, which reduces arbitrage opportunities and ii) higher competition.</w:t>
      </w:r>
    </w:p>
    <w:p>
      <w:pPr>
        <w:spacing w:after="0" w:line="176" w:lineRule="exact"/>
        <w:rPr>
          <w:rFonts w:ascii="Arial" w:cs="Arial" w:eastAsia="Arial" w:hAnsi="Arial"/>
          <w:sz w:val="18"/>
          <w:szCs w:val="18"/>
          <w:color w:val="auto"/>
        </w:rPr>
      </w:pPr>
    </w:p>
    <w:p>
      <w:pPr>
        <w:jc w:val="both"/>
        <w:ind w:left="900" w:hanging="446"/>
        <w:spacing w:after="0" w:line="26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 loss on the </w:t>
      </w:r>
      <w:r>
        <w:rPr>
          <w:rFonts w:ascii="Arial" w:cs="Arial" w:eastAsia="Arial" w:hAnsi="Arial"/>
          <w:sz w:val="18"/>
          <w:szCs w:val="18"/>
          <w:b w:val="1"/>
          <w:bCs w:val="1"/>
          <w:color w:val="auto"/>
        </w:rPr>
        <w:t>Net gain for investments in associates</w:t>
      </w:r>
      <w:r>
        <w:rPr>
          <w:rFonts w:ascii="Arial" w:cs="Arial" w:eastAsia="Arial" w:hAnsi="Arial"/>
          <w:sz w:val="18"/>
          <w:szCs w:val="18"/>
          <w:color w:val="auto"/>
        </w:rPr>
        <w:t xml:space="preserve"> due to an increase in the loss ratio at EPS due to a seasonal effect (weather change) and, to a lesser extent, to higher deductions on private health insurance (medical assistance), which reflect an improvement in the business managed by PPS.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Millions (S/)</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2Q17</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 Private health insurance deduction (50%)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-5.58</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47.9%</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210"/>
        </w:trPr>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 excluding</w:t>
            </w: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Non-recurring income / expense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4.14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5.97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-0.53</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-108.8%</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-112.8%</w:t>
            </w:r>
          </w:p>
        </w:tc>
      </w:tr>
      <w:tr>
        <w:trPr>
          <w:trHeight w:val="210"/>
        </w:trPr>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Non-recurring income/expense</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 Net gain from associates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-108.8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a significant increase of 28.3% is evident. This was attributable to the </w:t>
      </w:r>
      <w:r>
        <w:rPr>
          <w:rFonts w:ascii="Arial" w:cs="Arial" w:eastAsia="Arial" w:hAnsi="Arial"/>
          <w:sz w:val="18"/>
          <w:szCs w:val="18"/>
          <w:b w:val="1"/>
          <w:bCs w:val="1"/>
          <w:color w:val="auto"/>
        </w:rPr>
        <w:t>net gain on sales of securities</w:t>
      </w:r>
      <w:r>
        <w:rPr>
          <w:rFonts w:ascii="Arial" w:cs="Arial" w:eastAsia="Arial" w:hAnsi="Arial"/>
          <w:sz w:val="18"/>
          <w:szCs w:val="18"/>
          <w:color w:val="auto"/>
        </w:rPr>
        <w:t xml:space="preserve"> and to slight growth in fee income (primarily associated with fees from the banking business), which we will address in section 5.1.2 Banking Business. The aforementioned helped offset lower </w:t>
      </w:r>
      <w:r>
        <w:rPr>
          <w:rFonts w:ascii="Arial" w:cs="Arial" w:eastAsia="Arial" w:hAnsi="Arial"/>
          <w:sz w:val="18"/>
          <w:szCs w:val="18"/>
          <w:b w:val="1"/>
          <w:bCs w:val="1"/>
          <w:color w:val="auto"/>
        </w:rPr>
        <w:t>gains on foreign exchange transactions.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YTD (Jan-Sep 17 vs. Jan-Sep 16), non-financial income increased mainly due to:</w:t>
      </w:r>
    </w:p>
    <w:p>
      <w:pPr>
        <w:spacing w:after="0" w:line="221" w:lineRule="exact"/>
        <w:rPr>
          <w:sz w:val="20"/>
          <w:szCs w:val="20"/>
          <w:color w:val="auto"/>
        </w:rPr>
      </w:pPr>
    </w:p>
    <w:p>
      <w:pPr>
        <w:ind w:left="900" w:hanging="446"/>
        <w:spacing w:after="0" w:line="282"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Net gain on sales of securities</w:t>
      </w:r>
      <w:r>
        <w:rPr>
          <w:rFonts w:ascii="Arial" w:cs="Arial" w:eastAsia="Arial" w:hAnsi="Arial"/>
          <w:sz w:val="18"/>
          <w:szCs w:val="18"/>
          <w:color w:val="auto"/>
        </w:rPr>
        <w:t>, which include gains on the sale of the first and second package of BCI shares in both periods. Nevertheless, in 2017, the net income was significantly higher (S/ 281 million vs. S/ 105 million).</w:t>
      </w:r>
    </w:p>
    <w:p>
      <w:pPr>
        <w:spacing w:after="0" w:line="161" w:lineRule="exact"/>
        <w:rPr>
          <w:rFonts w:ascii="Arial" w:cs="Arial" w:eastAsia="Arial" w:hAnsi="Arial"/>
          <w:sz w:val="18"/>
          <w:szCs w:val="18"/>
          <w:color w:val="auto"/>
        </w:rPr>
      </w:pPr>
    </w:p>
    <w:p>
      <w:pPr>
        <w:ind w:left="900" w:hanging="446"/>
        <w:spacing w:after="0" w:line="282"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Derivatives result</w:t>
      </w:r>
      <w:r>
        <w:rPr>
          <w:rFonts w:ascii="Arial" w:cs="Arial" w:eastAsia="Arial" w:hAnsi="Arial"/>
          <w:sz w:val="18"/>
          <w:szCs w:val="18"/>
          <w:color w:val="auto"/>
        </w:rPr>
        <w:t>, mainly associated with BCP Stand-alone, which made amendments to swap contracts that covered fixed income instruments in 1Q17. The aforementioned was made to reduce ineffectiveness of accounting hedge</w:t>
      </w:r>
    </w:p>
    <w:p>
      <w:pPr>
        <w:spacing w:after="0" w:line="161" w:lineRule="exact"/>
        <w:rPr>
          <w:rFonts w:ascii="Arial" w:cs="Arial" w:eastAsia="Arial" w:hAnsi="Arial"/>
          <w:sz w:val="18"/>
          <w:szCs w:val="18"/>
          <w:color w:val="auto"/>
        </w:rPr>
      </w:pPr>
    </w:p>
    <w:p>
      <w:pPr>
        <w:jc w:val="both"/>
        <w:ind w:left="900" w:hanging="446"/>
        <w:spacing w:after="0" w:line="261"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In terms of </w:t>
      </w:r>
      <w:r>
        <w:rPr>
          <w:rFonts w:ascii="Arial" w:cs="Arial" w:eastAsia="Arial" w:hAnsi="Arial"/>
          <w:sz w:val="18"/>
          <w:szCs w:val="18"/>
          <w:b w:val="1"/>
          <w:bCs w:val="1"/>
          <w:color w:val="auto"/>
        </w:rPr>
        <w:t>Fee income</w:t>
      </w:r>
      <w:r>
        <w:rPr>
          <w:rFonts w:ascii="Arial" w:cs="Arial" w:eastAsia="Arial" w:hAnsi="Arial"/>
          <w:sz w:val="18"/>
          <w:szCs w:val="18"/>
          <w:color w:val="auto"/>
        </w:rPr>
        <w:t>, it is important to note that growth has been reported despite (i) an environment of low loan growth and (ii) a less-than-dynamic economy, which has a negative effect on the transactional activity channeled through the banking system. Nevertheless, it is important to consider that, in line with the transformation strategy, the acquisition cost for some services has fallen, which helped increase net income, as we will see later in the report in section 5.2.1 Banking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aforementioned helped offset the decrease in the </w:t>
      </w: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as explained in the QoQ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figure below shows the contribution of each of Credicorp’s subsidiaries to fee income at Credicorp in 3Q17.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154940</wp:posOffset>
            </wp:positionV>
            <wp:extent cx="5942965" cy="19551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42965"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next figure shows the YoY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154940</wp:posOffset>
            </wp:positionV>
            <wp:extent cx="5720080" cy="2160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2008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68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tcPr>
          <w:p>
            <w:pPr>
              <w:ind w:left="820"/>
              <w:spacing w:after="0"/>
              <w:rPr>
                <w:sz w:val="20"/>
                <w:szCs w:val="20"/>
                <w:color w:val="auto"/>
              </w:rPr>
            </w:pPr>
            <w:r>
              <w:rPr>
                <w:rFonts w:ascii="Arial" w:cs="Arial" w:eastAsia="Arial" w:hAnsi="Arial"/>
                <w:sz w:val="18"/>
                <w:szCs w:val="18"/>
                <w:b w:val="1"/>
                <w:bCs w:val="1"/>
                <w:color w:val="auto"/>
              </w:rPr>
              <w:t>YTD</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7"/>
              </w:rPr>
              <w:t>% change</w:t>
            </w:r>
          </w:p>
        </w:tc>
      </w:tr>
      <w:tr>
        <w:trPr>
          <w:trHeight w:val="234"/>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3Q16</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3Q17</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 16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Sep 17</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2017 / 2016</w:t>
            </w:r>
          </w:p>
        </w:tc>
        <w:tc>
          <w:tcPr>
            <w:tcW w:w="180" w:type="dxa"/>
            <w:vAlign w:val="bottom"/>
            <w:tcBorders>
              <w:bottom w:val="single" w:sz="8" w:color="CCEEFF"/>
            </w:tcBorders>
          </w:tcPr>
          <w:p>
            <w:pPr>
              <w:spacing w:after="0"/>
              <w:rPr>
                <w:sz w:val="20"/>
                <w:szCs w:val="20"/>
                <w:color w:val="auto"/>
              </w:rPr>
            </w:pPr>
          </w:p>
        </w:tc>
      </w:tr>
      <w:tr>
        <w:trPr>
          <w:trHeight w:val="250"/>
        </w:trPr>
        <w:tc>
          <w:tcPr>
            <w:tcW w:w="22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w w:val="99"/>
              </w:rPr>
              <w:t xml:space="preserve">Miscellaneous accounts </w:t>
            </w:r>
            <w:r>
              <w:rPr>
                <w:rFonts w:ascii="Arial" w:cs="Arial" w:eastAsia="Arial" w:hAnsi="Arial"/>
                <w:sz w:val="29"/>
                <w:szCs w:val="29"/>
                <w:color w:val="auto"/>
                <w:w w:val="99"/>
                <w:vertAlign w:val="superscript"/>
              </w:rPr>
              <w:t>(1)</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172,278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170,676</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178,868</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503,290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523,436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71,194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72,237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68,748</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-3.4%</w:t>
            </w:r>
          </w:p>
        </w:tc>
        <w:tc>
          <w:tcPr>
            <w:tcW w:w="900" w:type="dxa"/>
            <w:vAlign w:val="bottom"/>
          </w:tcPr>
          <w:p>
            <w:pPr>
              <w:jc w:val="right"/>
              <w:spacing w:after="0"/>
              <w:rPr>
                <w:sz w:val="20"/>
                <w:szCs w:val="20"/>
                <w:color w:val="auto"/>
              </w:rPr>
            </w:pPr>
            <w:r>
              <w:rPr>
                <w:rFonts w:ascii="Arial" w:cs="Arial" w:eastAsia="Arial" w:hAnsi="Arial"/>
                <w:sz w:val="18"/>
                <w:szCs w:val="18"/>
                <w:color w:val="auto"/>
              </w:rPr>
              <w:t>215,963</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213,111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41,429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47,590</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23,436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24,989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26,809</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69,404</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75,534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12,625</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51,444</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45,864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19,917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18,297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19,540</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56,353</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56,353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10,807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11,181</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26,628</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42,237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44,303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49,225</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16.5%</w:t>
            </w:r>
          </w:p>
        </w:tc>
        <w:tc>
          <w:tcPr>
            <w:tcW w:w="900" w:type="dxa"/>
            <w:vAlign w:val="bottom"/>
          </w:tcPr>
          <w:p>
            <w:pPr>
              <w:jc w:val="right"/>
              <w:spacing w:after="0"/>
              <w:rPr>
                <w:sz w:val="20"/>
                <w:szCs w:val="20"/>
                <w:color w:val="auto"/>
              </w:rPr>
            </w:pPr>
            <w:r>
              <w:rPr>
                <w:rFonts w:ascii="Arial" w:cs="Arial" w:eastAsia="Arial" w:hAnsi="Arial"/>
                <w:sz w:val="18"/>
                <w:szCs w:val="18"/>
                <w:color w:val="auto"/>
              </w:rPr>
              <w:t>126,580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136,602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8"/>
              </w:rPr>
              <w:t xml:space="preserve">Payments and collections </w:t>
            </w:r>
            <w:r>
              <w:rPr>
                <w:rFonts w:ascii="Arial" w:cs="Arial" w:eastAsia="Arial" w:hAnsi="Arial"/>
                <w:sz w:val="29"/>
                <w:szCs w:val="29"/>
                <w:color w:val="auto"/>
                <w:w w:val="98"/>
                <w:vertAlign w:val="superscript"/>
              </w:rPr>
              <w:t>(3)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96,404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99,570</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286,290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291,521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23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18,547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21,287</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22"/>
                <w:szCs w:val="22"/>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64.4%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46,181</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57,014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57"/>
        </w:trPr>
        <w:tc>
          <w:tcPr>
            <w:tcW w:w="2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10,462</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37,083</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32,602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2"/>
        </w:trPr>
        <w:tc>
          <w:tcPr>
            <w:tcW w:w="2320" w:type="dxa"/>
            <w:vAlign w:val="bottom"/>
            <w:gridSpan w:val="2"/>
          </w:tcPr>
          <w:p>
            <w:pPr>
              <w:spacing w:after="0" w:line="201" w:lineRule="exact"/>
              <w:rPr>
                <w:sz w:val="20"/>
                <w:szCs w:val="20"/>
                <w:color w:val="auto"/>
              </w:rPr>
            </w:pPr>
            <w:r>
              <w:rPr>
                <w:rFonts w:ascii="Arial" w:cs="Arial" w:eastAsia="Arial" w:hAnsi="Arial"/>
                <w:sz w:val="18"/>
                <w:szCs w:val="18"/>
                <w:color w:val="auto"/>
                <w:w w:val="96"/>
              </w:rPr>
              <w:t>Corporate finance and mutual</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funds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12,683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12,114</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20"/>
                <w:szCs w:val="20"/>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39,786</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45,985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ASB</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-131.6%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70"/>
        </w:trPr>
        <w:tc>
          <w:tcPr>
            <w:tcW w:w="23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(4)(5)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49,623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56,869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56,393</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3"/>
                <w:szCs w:val="23"/>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13.6%</w:t>
            </w:r>
          </w:p>
        </w:tc>
        <w:tc>
          <w:tcPr>
            <w:tcW w:w="900" w:type="dxa"/>
            <w:vAlign w:val="bottom"/>
          </w:tcPr>
          <w:p>
            <w:pPr>
              <w:jc w:val="right"/>
              <w:spacing w:after="0"/>
              <w:rPr>
                <w:sz w:val="20"/>
                <w:szCs w:val="20"/>
                <w:color w:val="auto"/>
              </w:rPr>
            </w:pPr>
            <w:r>
              <w:rPr>
                <w:rFonts w:ascii="Arial" w:cs="Arial" w:eastAsia="Arial" w:hAnsi="Arial"/>
                <w:sz w:val="18"/>
                <w:szCs w:val="18"/>
                <w:color w:val="auto"/>
              </w:rPr>
              <w:t>146,512</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154,406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2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589,011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603,754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613,487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1,734,967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4"/>
              </w:rPr>
              <w:t>1,802,250</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fee income in the banking business increased +1.6% QoQ. This was mainly due to:</w:t>
      </w:r>
    </w:p>
    <w:p>
      <w:pPr>
        <w:spacing w:after="0" w:line="225" w:lineRule="exact"/>
        <w:rPr>
          <w:sz w:val="20"/>
          <w:szCs w:val="20"/>
          <w:color w:val="auto"/>
        </w:rPr>
      </w:pPr>
    </w:p>
    <w:p>
      <w:pPr>
        <w:ind w:left="900" w:right="20" w:hanging="446"/>
        <w:spacing w:after="0" w:line="282"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result of </w:t>
      </w:r>
      <w:r>
        <w:rPr>
          <w:rFonts w:ascii="Arial" w:cs="Arial" w:eastAsia="Arial" w:hAnsi="Arial"/>
          <w:sz w:val="18"/>
          <w:szCs w:val="18"/>
          <w:b w:val="1"/>
          <w:bCs w:val="1"/>
          <w:color w:val="auto"/>
        </w:rPr>
        <w:t>Miscellaneous accounts</w:t>
      </w:r>
      <w:r>
        <w:rPr>
          <w:rFonts w:ascii="Arial" w:cs="Arial" w:eastAsia="Arial" w:hAnsi="Arial"/>
          <w:sz w:val="18"/>
          <w:szCs w:val="18"/>
          <w:color w:val="auto"/>
        </w:rPr>
        <w:t>, which grew mainly due to an increase in consumption at establishments, which are charged when clients use their debit card to pay and, to a lesser extent, to a slight increase in maintenance income.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left="900" w:hanging="446"/>
        <w:spacing w:after="0" w:line="266"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increase in income from </w:t>
      </w:r>
      <w:r>
        <w:rPr>
          <w:rFonts w:ascii="Arial" w:cs="Arial" w:eastAsia="Arial" w:hAnsi="Arial"/>
          <w:sz w:val="18"/>
          <w:szCs w:val="18"/>
          <w:b w:val="1"/>
          <w:bCs w:val="1"/>
          <w:color w:val="auto"/>
        </w:rPr>
        <w:t>Drafts and transfers</w:t>
      </w:r>
      <w:r>
        <w:rPr>
          <w:rFonts w:ascii="Arial" w:cs="Arial" w:eastAsia="Arial" w:hAnsi="Arial"/>
          <w:sz w:val="18"/>
          <w:szCs w:val="18"/>
          <w:color w:val="auto"/>
        </w:rPr>
        <w:t>, which was mainly due to an increase in the number of draft transactions after the FEN Campaign. This campaign offered free transfers between March and April; in this way, clients became more aware of this product generating higher income.</w:t>
      </w:r>
    </w:p>
    <w:p>
      <w:pPr>
        <w:spacing w:after="0" w:line="176"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increase in </w:t>
      </w:r>
      <w:r>
        <w:rPr>
          <w:rFonts w:ascii="Arial" w:cs="Arial" w:eastAsia="Arial" w:hAnsi="Arial"/>
          <w:sz w:val="18"/>
          <w:szCs w:val="18"/>
          <w:b w:val="1"/>
          <w:bCs w:val="1"/>
          <w:color w:val="auto"/>
        </w:rPr>
        <w:t>Off-balance sheet</w:t>
      </w:r>
      <w:r>
        <w:rPr>
          <w:rFonts w:ascii="Arial" w:cs="Arial" w:eastAsia="Arial" w:hAnsi="Arial"/>
          <w:sz w:val="18"/>
          <w:szCs w:val="18"/>
          <w:color w:val="auto"/>
        </w:rPr>
        <w:t xml:space="preserve"> was attributable to higher fee income from performance bonds for corporate clients.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helped offset:</w:t>
      </w:r>
    </w:p>
    <w:p>
      <w:pPr>
        <w:spacing w:after="0" w:line="221" w:lineRule="exact"/>
        <w:rPr>
          <w:sz w:val="20"/>
          <w:szCs w:val="20"/>
          <w:color w:val="auto"/>
        </w:rPr>
      </w:pPr>
    </w:p>
    <w:p>
      <w:pPr>
        <w:jc w:val="both"/>
        <w:ind w:left="900" w:hanging="446"/>
        <w:spacing w:after="0" w:line="26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drop in </w:t>
      </w:r>
      <w:r>
        <w:rPr>
          <w:rFonts w:ascii="Arial" w:cs="Arial" w:eastAsia="Arial" w:hAnsi="Arial"/>
          <w:sz w:val="18"/>
          <w:szCs w:val="18"/>
          <w:b w:val="1"/>
          <w:bCs w:val="1"/>
          <w:color w:val="auto"/>
        </w:rPr>
        <w:t>Corporate finance</w:t>
      </w:r>
      <w:r>
        <w:rPr>
          <w:rFonts w:ascii="Arial" w:cs="Arial" w:eastAsia="Arial" w:hAnsi="Arial"/>
          <w:sz w:val="18"/>
          <w:szCs w:val="18"/>
          <w:color w:val="auto"/>
        </w:rPr>
        <w:t xml:space="preserve"> due to extraordinary income in 2Q17 after 2 loans, which were subject to deferment of structuring fees for a period of 5 and 7 years, were pre-paid. It is important to note that this fee income in Corporate Finance is related to loan origination, which in turn has performed below expectations in 1S17.</w:t>
      </w:r>
    </w:p>
    <w:p>
      <w:pPr>
        <w:spacing w:after="0" w:line="176"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loss that was reported by </w:t>
      </w:r>
      <w:r>
        <w:rPr>
          <w:rFonts w:ascii="Arial" w:cs="Arial" w:eastAsia="Arial" w:hAnsi="Arial"/>
          <w:sz w:val="18"/>
          <w:szCs w:val="18"/>
          <w:b w:val="1"/>
          <w:bCs w:val="1"/>
          <w:color w:val="auto"/>
        </w:rPr>
        <w:t>ASB</w:t>
      </w:r>
      <w:r>
        <w:rPr>
          <w:rFonts w:ascii="Arial" w:cs="Arial" w:eastAsia="Arial" w:hAnsi="Arial"/>
          <w:sz w:val="18"/>
          <w:szCs w:val="18"/>
          <w:color w:val="auto"/>
        </w:rPr>
        <w:t xml:space="preserve"> due to higher commissions to manage the proprietary and third-party portfolios.</w:t>
      </w:r>
    </w:p>
    <w:p>
      <w:pPr>
        <w:spacing w:after="0" w:line="225" w:lineRule="exact"/>
        <w:rPr>
          <w:rFonts w:ascii="Arial" w:cs="Arial" w:eastAsia="Arial" w:hAnsi="Arial"/>
          <w:sz w:val="18"/>
          <w:szCs w:val="18"/>
          <w:color w:val="auto"/>
        </w:rPr>
      </w:pPr>
    </w:p>
    <w:p>
      <w:pPr>
        <w:ind w:left="900" w:right="20" w:hanging="446"/>
        <w:spacing w:after="0" w:line="282"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reduction in </w:t>
      </w:r>
      <w:r>
        <w:rPr>
          <w:rFonts w:ascii="Arial" w:cs="Arial" w:eastAsia="Arial" w:hAnsi="Arial"/>
          <w:sz w:val="18"/>
          <w:szCs w:val="18"/>
          <w:b w:val="1"/>
          <w:bCs w:val="1"/>
          <w:color w:val="auto"/>
        </w:rPr>
        <w:t>Credit cards</w:t>
      </w:r>
      <w:r>
        <w:rPr>
          <w:rFonts w:ascii="Arial" w:cs="Arial" w:eastAsia="Arial" w:hAnsi="Arial"/>
          <w:sz w:val="18"/>
          <w:szCs w:val="18"/>
          <w:color w:val="auto"/>
        </w:rPr>
        <w:t>, which was attributable to lower fee income from past-due loans. This is reflected in the lower provisions needed in this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4.2% growth was due to:</w:t>
      </w:r>
    </w:p>
    <w:p>
      <w:pPr>
        <w:spacing w:after="0" w:line="221" w:lineRule="exact"/>
        <w:rPr>
          <w:sz w:val="20"/>
          <w:szCs w:val="20"/>
          <w:color w:val="auto"/>
        </w:rPr>
      </w:pPr>
    </w:p>
    <w:p>
      <w:pPr>
        <w:ind w:left="900" w:hanging="446"/>
        <w:spacing w:after="0" w:line="282"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Higher gains on </w:t>
      </w:r>
      <w:r>
        <w:rPr>
          <w:rFonts w:ascii="Arial" w:cs="Arial" w:eastAsia="Arial" w:hAnsi="Arial"/>
          <w:sz w:val="18"/>
          <w:szCs w:val="18"/>
          <w:b w:val="1"/>
          <w:bCs w:val="1"/>
          <w:color w:val="auto"/>
        </w:rPr>
        <w:t>Commercial loans</w:t>
      </w:r>
      <w:r>
        <w:rPr>
          <w:rFonts w:ascii="Arial" w:cs="Arial" w:eastAsia="Arial" w:hAnsi="Arial"/>
          <w:sz w:val="18"/>
          <w:szCs w:val="18"/>
          <w:color w:val="auto"/>
        </w:rPr>
        <w:t xml:space="preserve"> that were associated with fees charged to finance medium and long term loans in Corporate Banking and, to a lesser extent, to fees in Middle-Market banking and Retail Banking.</w:t>
      </w:r>
    </w:p>
    <w:p>
      <w:pPr>
        <w:spacing w:after="0" w:line="161"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Higher gains on </w:t>
      </w:r>
      <w:r>
        <w:rPr>
          <w:rFonts w:ascii="Arial" w:cs="Arial" w:eastAsia="Arial" w:hAnsi="Arial"/>
          <w:sz w:val="18"/>
          <w:szCs w:val="18"/>
          <w:b w:val="1"/>
          <w:bCs w:val="1"/>
          <w:color w:val="auto"/>
        </w:rPr>
        <w:t>Contingences</w:t>
      </w:r>
      <w:r>
        <w:rPr>
          <w:rFonts w:ascii="Arial" w:cs="Arial" w:eastAsia="Arial" w:hAnsi="Arial"/>
          <w:sz w:val="18"/>
          <w:szCs w:val="18"/>
          <w:color w:val="auto"/>
        </w:rPr>
        <w:t xml:space="preserve"> due to higher commissions, as explained in the QoQ analysis;</w:t>
      </w:r>
    </w:p>
    <w:p>
      <w:pPr>
        <w:spacing w:after="0" w:line="225" w:lineRule="exact"/>
        <w:rPr>
          <w:rFonts w:ascii="Arial" w:cs="Arial" w:eastAsia="Arial" w:hAnsi="Arial"/>
          <w:sz w:val="18"/>
          <w:szCs w:val="18"/>
          <w:color w:val="auto"/>
        </w:rPr>
      </w:pPr>
    </w:p>
    <w:p>
      <w:pPr>
        <w:jc w:val="both"/>
        <w:ind w:left="900" w:right="20" w:hanging="446"/>
        <w:spacing w:after="0" w:line="347"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Higher income from </w:t>
      </w:r>
      <w:r>
        <w:rPr>
          <w:rFonts w:ascii="Arial" w:cs="Arial" w:eastAsia="Arial" w:hAnsi="Arial"/>
          <w:sz w:val="16"/>
          <w:szCs w:val="16"/>
          <w:b w:val="1"/>
          <w:bCs w:val="1"/>
          <w:color w:val="auto"/>
        </w:rPr>
        <w:t>Miscellaneous accounts</w:t>
      </w:r>
      <w:r>
        <w:rPr>
          <w:rFonts w:ascii="Arial" w:cs="Arial" w:eastAsia="Arial" w:hAnsi="Arial"/>
          <w:sz w:val="16"/>
          <w:szCs w:val="16"/>
          <w:color w:val="auto"/>
        </w:rPr>
        <w:t>, specifically from the debit card segment, which offset the drop in income from fund transfers after the inter-province commission for individuals who withdraw funds in a city other than the one in which the account was opened were eliminated.</w:t>
      </w:r>
    </w:p>
    <w:p>
      <w:pPr>
        <w:spacing w:after="0" w:line="11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aforementioned helped offset the drop at </w:t>
      </w:r>
      <w:r>
        <w:rPr>
          <w:rFonts w:ascii="Arial" w:cs="Arial" w:eastAsia="Arial" w:hAnsi="Arial"/>
          <w:sz w:val="18"/>
          <w:szCs w:val="18"/>
          <w:b w:val="1"/>
          <w:bCs w:val="1"/>
          <w:color w:val="auto"/>
        </w:rPr>
        <w:t>ASB</w:t>
      </w:r>
      <w:r>
        <w:rPr>
          <w:rFonts w:ascii="Arial" w:cs="Arial" w:eastAsia="Arial" w:hAnsi="Arial"/>
          <w:sz w:val="18"/>
          <w:szCs w:val="18"/>
          <w:color w:val="auto"/>
        </w:rPr>
        <w:t xml:space="preserve"> due to higher expenses in commissions and the lower gains on </w:t>
      </w:r>
      <w:r>
        <w:rPr>
          <w:rFonts w:ascii="Arial" w:cs="Arial" w:eastAsia="Arial" w:hAnsi="Arial"/>
          <w:sz w:val="18"/>
          <w:szCs w:val="18"/>
          <w:b w:val="1"/>
          <w:bCs w:val="1"/>
          <w:color w:val="auto"/>
        </w:rPr>
        <w:t>SME-Pyme loans,</w:t>
      </w:r>
      <w:r>
        <w:rPr>
          <w:rFonts w:ascii="Arial" w:cs="Arial" w:eastAsia="Arial" w:hAnsi="Arial"/>
          <w:sz w:val="18"/>
          <w:szCs w:val="18"/>
          <w:color w:val="auto"/>
        </w:rPr>
        <w:t xml:space="preserve"> which was mainly attributable to property insurance payments made in August by clients affected by FEN.</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insurance underwriting result fell -2.8% QoQ and -10.1% YoY. The QoQ drop was primarily attributable to the increase in the acquisition cost for Individual Life and Group Life (SCTR) and to an increase in claims in Individual Life, AFP and Annuities. Nevertheless, this effect was partially attenuated by an increase in the underwriting result in property and casualty in terms of net earned premiums in the Car and Medical Assistancelines and to a decrease in the loss ratio of Wholesale Lines and Medical Assistance. In the YoY analysis, the drop in the underwriting result was mainly registered in the property and casualty business due to that in 3Q16 there was a particularly lower loss ratio in Wholesale Lines and Personal Lines, and to an increase in the acquisition cost given that provisions were set aside in 3Q17 for uncollectible premiums in the Car line.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w w:val="94"/>
              </w:rPr>
              <w:t>Insurance underwriting result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 change</w:t>
            </w:r>
          </w:p>
        </w:tc>
        <w:tc>
          <w:tcPr>
            <w:tcW w:w="1280" w:type="dxa"/>
            <w:vAlign w:val="bottom"/>
            <w:gridSpan w:val="3"/>
          </w:tcPr>
          <w:p>
            <w:pPr>
              <w:ind w:left="840"/>
              <w:spacing w:after="0"/>
              <w:rPr>
                <w:sz w:val="20"/>
                <w:szCs w:val="20"/>
                <w:color w:val="auto"/>
              </w:rPr>
            </w:pPr>
            <w:r>
              <w:rPr>
                <w:rFonts w:ascii="Arial" w:cs="Arial" w:eastAsia="Arial" w:hAnsi="Arial"/>
                <w:sz w:val="18"/>
                <w:szCs w:val="18"/>
                <w:b w:val="1"/>
                <w:bCs w:val="1"/>
                <w:color w:val="auto"/>
              </w:rPr>
              <w:t>YTD</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 change</w:t>
            </w:r>
          </w:p>
        </w:tc>
      </w:tr>
      <w:tr>
        <w:trPr>
          <w:trHeight w:val="234"/>
        </w:trPr>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3Q16</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2Q17</w:t>
            </w:r>
          </w:p>
        </w:tc>
        <w:tc>
          <w:tcPr>
            <w:tcW w:w="1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3Q17</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Sep 16</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Sep 17</w:t>
            </w: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Sep 17 / Sep 16</w:t>
            </w:r>
          </w:p>
        </w:tc>
        <w:tc>
          <w:tcPr>
            <w:tcW w:w="160" w:type="dxa"/>
            <w:vAlign w:val="bottom"/>
            <w:tcBorders>
              <w:bottom w:val="single" w:sz="8" w:color="CCEEFF"/>
            </w:tcBorders>
          </w:tcPr>
          <w:p>
            <w:pPr>
              <w:spacing w:after="0"/>
              <w:rPr>
                <w:sz w:val="20"/>
                <w:szCs w:val="20"/>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471,207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473,457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1,405,136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(271,591)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(278,265)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(275,722)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(801,329)</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(834,951)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70"/>
        </w:trPr>
        <w:tc>
          <w:tcPr>
            <w:tcW w:w="24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(62,916)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(61,665)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(74,776)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(176,157)</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(198,502)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178"/>
        </w:trPr>
        <w:tc>
          <w:tcPr>
            <w:tcW w:w="24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w w:val="97"/>
              </w:rPr>
              <w:t>Total insurance underwriting</w:t>
            </w: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8"/>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result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136,700</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126,445</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122,959</w:t>
            </w:r>
          </w:p>
        </w:tc>
        <w:tc>
          <w:tcPr>
            <w:tcW w:w="1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400,605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371,683</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-7.2%</w:t>
            </w: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142875</wp:posOffset>
            </wp:positionV>
            <wp:extent cx="4013200" cy="17754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01320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2701290" cy="13804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01290" cy="138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56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56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142875</wp:posOffset>
            </wp:positionV>
            <wp:extent cx="3129915" cy="13633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29915" cy="13633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41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Total premiums </w:t>
      </w:r>
      <w:r>
        <w:rPr>
          <w:rFonts w:ascii="Arial" w:cs="Arial" w:eastAsia="Arial" w:hAnsi="Arial"/>
          <w:sz w:val="17"/>
          <w:szCs w:val="17"/>
          <w:color w:val="auto"/>
        </w:rPr>
        <w:t>increased 5.4% QoQ in the life insurance and property and casualty businesses. The increase in the life insurance line was attributable to</w:t>
      </w:r>
      <w:r>
        <w:rPr>
          <w:rFonts w:ascii="Arial" w:cs="Arial" w:eastAsia="Arial" w:hAnsi="Arial"/>
          <w:sz w:val="17"/>
          <w:szCs w:val="17"/>
          <w:b w:val="1"/>
          <w:bCs w:val="1"/>
          <w:color w:val="auto"/>
        </w:rPr>
        <w:t xml:space="preserve"> </w:t>
      </w:r>
      <w:r>
        <w:rPr>
          <w:rFonts w:ascii="Arial" w:cs="Arial" w:eastAsia="Arial" w:hAnsi="Arial"/>
          <w:sz w:val="17"/>
          <w:szCs w:val="17"/>
          <w:color w:val="auto"/>
        </w:rPr>
        <w:t>higher sales for the new product “Renta Flex”, in Individual Life dueto higher premiums turnover in direct channels and in Group Life due to annual renewals with mining companies in 3Q17. The QoQ increase in the property and casualty line was registered in the Wholesale lineswhich was attributable to the entry of a new institutional client, and in Cars due to higher premium turnover in the bank assurance channel.</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7" w:name="page38"/>
    <w:bookmarkEnd w:id="37"/>
    <w:p>
      <w:pPr>
        <w:jc w:val="both"/>
        <w:spacing w:after="0" w:line="258"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1.5% QoQ. This was primarily attributable to the property and casualty business given that life insurance registered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that was similar to that obtained last quarter. The increase in P &amp; C business was registered in i) Cars, due to higher total premiums and lower technical reserves and in ii) Medical Assistance due to a decrease in technical reserves. Nevertheless, this effect was partially attenuated by the lower retained premiums in Wholesale lines in 3Q17. The slight increase posted by the life insurance business was the result of the net effect between the increase in Annuities and the decrease in AFP.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142875</wp:posOffset>
            </wp:positionV>
            <wp:extent cx="3927475" cy="17151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2747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fell 0.9% QoQ due to a decrease in the loss ratio in the property and casualty business, which offset the increase in the loss ratio in the life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lines. The drop in property and casualty was registered primarily in i) Wholesale Lines due to the high loss ratio posted in 2Q17, which was associated with the El Nino Phenomenon and ii) Medical Assistance, due to a decrease in the severity of cases reported in 3Q17 in oncological and international coverage insurance.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Nevertheless, this effect was attenuated by an increase in the loss ratio posted by life insurance in i) Individual Life and Personal Accident lines due to an increase in reported cases in 3Q17; in ii) AFP, due to an increase in the loss ratio for the SISCO III contract (Collective Insurance to manage risks relative to disability, survival and burial costs); and iii) Individual Annuities line due to a decrease in paid pensions. It is important to note that the aforementioned effect was slightly offset by a drop in claims in Group Life and Credit Life.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142875</wp:posOffset>
            </wp:positionV>
            <wp:extent cx="3996055" cy="17583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96055"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Acquisition cost</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Quarter</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 change</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ind w:left="960"/>
              <w:spacing w:after="0"/>
              <w:rPr>
                <w:sz w:val="20"/>
                <w:szCs w:val="20"/>
                <w:color w:val="auto"/>
              </w:rPr>
            </w:pPr>
            <w:r>
              <w:rPr>
                <w:rFonts w:ascii="Arial" w:cs="Arial" w:eastAsia="Arial" w:hAnsi="Arial"/>
                <w:sz w:val="14"/>
                <w:szCs w:val="14"/>
                <w:b w:val="1"/>
                <w:bCs w:val="1"/>
                <w:color w:val="auto"/>
              </w:rPr>
              <w:t>YTD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3Q16</w:t>
            </w:r>
          </w:p>
        </w:tc>
        <w:tc>
          <w:tcPr>
            <w:tcW w:w="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2Q17</w:t>
            </w:r>
          </w:p>
        </w:tc>
        <w:tc>
          <w:tcPr>
            <w:tcW w:w="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QoQ</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YoY</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Sep 16</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Sep 17</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2"/>
              </w:rPr>
              <w:t>Sep 17 / Sep 16</w:t>
            </w:r>
          </w:p>
        </w:tc>
        <w:tc>
          <w:tcPr>
            <w:tcW w:w="120" w:type="dxa"/>
            <w:vAlign w:val="bottom"/>
            <w:tcBorders>
              <w:bottom w:val="single" w:sz="8" w:color="CCEEFF"/>
            </w:tcBorders>
          </w:tcPr>
          <w:p>
            <w:pPr>
              <w:spacing w:after="0"/>
              <w:rPr>
                <w:sz w:val="14"/>
                <w:szCs w:val="14"/>
                <w:color w:val="auto"/>
              </w:rPr>
            </w:pPr>
          </w:p>
        </w:tc>
      </w:tr>
      <w:tr>
        <w:trPr>
          <w:trHeight w:val="142"/>
        </w:trPr>
        <w:tc>
          <w:tcPr>
            <w:tcW w:w="1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fees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ind w:left="600"/>
              <w:spacing w:after="0" w:line="142" w:lineRule="exact"/>
              <w:rPr>
                <w:sz w:val="20"/>
                <w:szCs w:val="20"/>
                <w:color w:val="auto"/>
              </w:rPr>
            </w:pPr>
            <w:r>
              <w:rPr>
                <w:rFonts w:ascii="Arial" w:cs="Arial" w:eastAsia="Arial" w:hAnsi="Arial"/>
                <w:sz w:val="14"/>
                <w:szCs w:val="14"/>
                <w:color w:val="auto"/>
                <w:w w:val="80"/>
              </w:rPr>
              <w:t>(54,735)</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(49,849)</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(52,986)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6.3%</w:t>
            </w:r>
          </w:p>
        </w:tc>
        <w:tc>
          <w:tcPr>
            <w:tcW w:w="6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-3.2%</w:t>
            </w: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(145,675)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(156,329)</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7.3%</w:t>
            </w:r>
          </w:p>
        </w:tc>
      </w:tr>
      <w:tr>
        <w:trPr>
          <w:trHeight w:val="149"/>
        </w:trPr>
        <w:tc>
          <w:tcPr>
            <w:tcW w:w="150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expenses</w:t>
            </w:r>
          </w:p>
        </w:tc>
        <w:tc>
          <w:tcPr>
            <w:tcW w:w="130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(23,944)</w:t>
            </w:r>
          </w:p>
        </w:tc>
        <w:tc>
          <w:tcPr>
            <w:tcW w:w="12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(24,882)</w:t>
            </w:r>
          </w:p>
        </w:tc>
        <w:tc>
          <w:tcPr>
            <w:tcW w:w="12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(34,387)</w:t>
            </w:r>
          </w:p>
        </w:tc>
        <w:tc>
          <w:tcPr>
            <w:tcW w:w="700" w:type="dxa"/>
            <w:vAlign w:val="bottom"/>
          </w:tcPr>
          <w:p>
            <w:pPr>
              <w:spacing w:after="0"/>
              <w:rPr>
                <w:sz w:val="12"/>
                <w:szCs w:val="12"/>
                <w:color w:val="auto"/>
              </w:rPr>
            </w:pPr>
          </w:p>
        </w:tc>
        <w:tc>
          <w:tcPr>
            <w:tcW w:w="5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38.2%</w:t>
            </w:r>
          </w:p>
        </w:tc>
        <w:tc>
          <w:tcPr>
            <w:tcW w:w="660" w:type="dxa"/>
            <w:vAlign w:val="bottom"/>
          </w:tcPr>
          <w:p>
            <w:pPr>
              <w:spacing w:after="0"/>
              <w:rPr>
                <w:sz w:val="12"/>
                <w:szCs w:val="12"/>
                <w:color w:val="auto"/>
              </w:rPr>
            </w:pPr>
          </w:p>
        </w:tc>
        <w:tc>
          <w:tcPr>
            <w:tcW w:w="6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43.6%</w:t>
            </w:r>
          </w:p>
        </w:tc>
        <w:tc>
          <w:tcPr>
            <w:tcW w:w="12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(76,301)</w:t>
            </w:r>
          </w:p>
        </w:tc>
        <w:tc>
          <w:tcPr>
            <w:tcW w:w="18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(83,108)</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w:t>
            </w:r>
          </w:p>
        </w:tc>
      </w:tr>
      <w:tr>
        <w:trPr>
          <w:trHeight w:val="162"/>
        </w:trPr>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Underwriting income</w:t>
            </w:r>
          </w:p>
        </w:tc>
        <w:tc>
          <w:tcPr>
            <w:tcW w:w="13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15,762</w:t>
            </w:r>
          </w:p>
        </w:tc>
        <w:tc>
          <w:tcPr>
            <w:tcW w:w="124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13,066</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12,596</w:t>
            </w:r>
          </w:p>
        </w:tc>
        <w:tc>
          <w:tcPr>
            <w:tcW w:w="7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6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w w:val="99"/>
              </w:rPr>
              <w:t>-20.1%</w:t>
            </w:r>
          </w:p>
        </w:tc>
        <w:tc>
          <w:tcPr>
            <w:tcW w:w="122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45,818</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40,935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Acquisition cost</w:t>
            </w:r>
          </w:p>
        </w:tc>
        <w:tc>
          <w:tcPr>
            <w:tcW w:w="1040" w:type="dxa"/>
            <w:vAlign w:val="bottom"/>
            <w:tcBorders>
              <w:top w:val="single" w:sz="8" w:color="auto"/>
            </w:tcBorders>
          </w:tcPr>
          <w:p>
            <w:pPr>
              <w:ind w:left="600"/>
              <w:spacing w:after="0" w:line="142" w:lineRule="exact"/>
              <w:rPr>
                <w:sz w:val="20"/>
                <w:szCs w:val="20"/>
                <w:color w:val="auto"/>
              </w:rPr>
            </w:pPr>
            <w:r>
              <w:rPr>
                <w:rFonts w:ascii="Arial" w:cs="Arial" w:eastAsia="Arial" w:hAnsi="Arial"/>
                <w:sz w:val="14"/>
                <w:szCs w:val="14"/>
                <w:b w:val="1"/>
                <w:bCs w:val="1"/>
                <w:color w:val="auto"/>
                <w:w w:val="88"/>
              </w:rPr>
              <w:t>(62,917</w:t>
            </w:r>
          </w:p>
        </w:tc>
        <w:tc>
          <w:tcPr>
            <w:tcW w:w="26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84"/>
              </w:rPr>
              <w:t>)</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(61,665</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(74,776</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21.3</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18.8</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(176,158</w:t>
            </w:r>
          </w:p>
        </w:tc>
        <w:tc>
          <w:tcPr>
            <w:tcW w:w="200" w:type="dxa"/>
            <w:vAlign w:val="bottom"/>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(198,502</w:t>
            </w:r>
          </w:p>
        </w:tc>
        <w:tc>
          <w:tcPr>
            <w:tcW w:w="2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84"/>
              </w:rPr>
              <w:t>)</w:t>
            </w: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acquisition cost rose 21.3% QoQ due to the higher underwriting expenses as a consequence of an increase in provisions for uncollectible premiums in 3Q17 for Cars and Group Life lines. Additionally, the higher net fees in 3Q17 were attributable to an increase in premium turnover in the life insurance lines.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520" w:hanging="512"/>
        <w:spacing w:after="0"/>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efficiency ratio improved and reached a level of 43.1% YTD, which represents a reduction of 40 bps. The improvement is explained by the gradual recovery in income generation, as well as adequate control over operating expenses. It is important to mention that the increase QoQ in operating expenses represented a historic minimum for the last 2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ind w:left="7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880"/>
              <w:spacing w:after="0"/>
              <w:rPr>
                <w:sz w:val="20"/>
                <w:szCs w:val="20"/>
                <w:color w:val="auto"/>
              </w:rPr>
            </w:pPr>
            <w:r>
              <w:rPr>
                <w:rFonts w:ascii="Arial" w:cs="Arial" w:eastAsia="Arial" w:hAnsi="Arial"/>
                <w:sz w:val="14"/>
                <w:szCs w:val="14"/>
                <w:b w:val="1"/>
                <w:bCs w:val="1"/>
                <w:color w:val="auto"/>
              </w:rPr>
              <w:t>YTD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10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3Q16</w:t>
            </w:r>
          </w:p>
        </w:tc>
        <w:tc>
          <w:tcPr>
            <w:tcW w:w="26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2Q17</w:t>
            </w:r>
          </w:p>
        </w:tc>
        <w:tc>
          <w:tcPr>
            <w:tcW w:w="2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3Q17</w:t>
            </w:r>
          </w:p>
        </w:tc>
        <w:tc>
          <w:tcPr>
            <w:tcW w:w="240" w:type="dxa"/>
            <w:vAlign w:val="bottom"/>
          </w:tcPr>
          <w:p>
            <w:pPr>
              <w:spacing w:after="0"/>
              <w:rPr>
                <w:sz w:val="14"/>
                <w:szCs w:val="14"/>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17</w:t>
            </w:r>
          </w:p>
        </w:tc>
        <w:tc>
          <w:tcPr>
            <w:tcW w:w="26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8"/>
              </w:rPr>
              <w:t>Sep 17 / Sep 16</w:t>
            </w:r>
          </w:p>
        </w:tc>
        <w:tc>
          <w:tcPr>
            <w:tcW w:w="0" w:type="dxa"/>
            <w:vAlign w:val="bottom"/>
          </w:tcPr>
          <w:p>
            <w:pPr>
              <w:spacing w:after="0"/>
              <w:rPr>
                <w:sz w:val="1"/>
                <w:szCs w:val="1"/>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747,396</w:t>
            </w:r>
          </w:p>
        </w:tc>
        <w:tc>
          <w:tcPr>
            <w:tcW w:w="260" w:type="dxa"/>
            <w:vAlign w:val="bottom"/>
            <w:vMerge w:val="continue"/>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746,499</w:t>
            </w:r>
          </w:p>
        </w:tc>
        <w:tc>
          <w:tcPr>
            <w:tcW w:w="26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760,441</w:t>
            </w:r>
          </w:p>
        </w:tc>
        <w:tc>
          <w:tcPr>
            <w:tcW w:w="240" w:type="dxa"/>
            <w:vAlign w:val="bottom"/>
            <w:vMerge w:val="continue"/>
            <w:shd w:val="clear" w:color="auto" w:fill="CCEEFF"/>
          </w:tcPr>
          <w:p>
            <w:pPr>
              <w:spacing w:after="0"/>
              <w:rPr>
                <w:sz w:val="12"/>
                <w:szCs w:val="12"/>
                <w:color w:val="auto"/>
              </w:rPr>
            </w:pPr>
          </w:p>
        </w:tc>
        <w:tc>
          <w:tcPr>
            <w:tcW w:w="11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1.7%</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2,218,780</w:t>
            </w:r>
          </w:p>
        </w:tc>
        <w:tc>
          <w:tcPr>
            <w:tcW w:w="2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2,260,206</w:t>
            </w:r>
          </w:p>
        </w:tc>
        <w:tc>
          <w:tcPr>
            <w:tcW w:w="26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2"/>
            <w:shd w:val="clear" w:color="auto" w:fill="CCEEFF"/>
          </w:tcPr>
          <w:p>
            <w:pPr>
              <w:ind w:left="740"/>
              <w:spacing w:after="0" w:line="142" w:lineRule="exact"/>
              <w:rPr>
                <w:sz w:val="20"/>
                <w:szCs w:val="20"/>
                <w:color w:val="auto"/>
              </w:rPr>
            </w:pPr>
            <w:r>
              <w:rPr>
                <w:rFonts w:ascii="Arial" w:cs="Arial" w:eastAsia="Arial" w:hAnsi="Arial"/>
                <w:sz w:val="14"/>
                <w:szCs w:val="14"/>
                <w:color w:val="auto"/>
                <w:w w:val="93"/>
              </w:rPr>
              <w:t>1.9%</w:t>
            </w:r>
          </w:p>
        </w:tc>
        <w:tc>
          <w:tcPr>
            <w:tcW w:w="0" w:type="dxa"/>
            <w:vAlign w:val="bottom"/>
          </w:tcPr>
          <w:p>
            <w:pPr>
              <w:spacing w:after="0"/>
              <w:rPr>
                <w:sz w:val="1"/>
                <w:szCs w:val="1"/>
                <w:color w:val="auto"/>
              </w:rPr>
            </w:pPr>
          </w:p>
        </w:tc>
      </w:tr>
      <w:tr>
        <w:trPr>
          <w:trHeight w:val="130"/>
        </w:trPr>
        <w:tc>
          <w:tcPr>
            <w:tcW w:w="2300" w:type="dxa"/>
            <w:vAlign w:val="bottom"/>
            <w:gridSpan w:val="2"/>
          </w:tcPr>
          <w:p>
            <w:pPr>
              <w:spacing w:after="0" w:line="130" w:lineRule="exact"/>
              <w:rPr>
                <w:sz w:val="20"/>
                <w:szCs w:val="20"/>
                <w:color w:val="auto"/>
              </w:rPr>
            </w:pPr>
            <w:r>
              <w:rPr>
                <w:rFonts w:ascii="Arial" w:cs="Arial" w:eastAsia="Arial" w:hAnsi="Arial"/>
                <w:sz w:val="14"/>
                <w:szCs w:val="14"/>
                <w:color w:val="auto"/>
              </w:rPr>
              <w:t>Administrative, general and tax</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526,613</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541,054</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534,204</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1.4%</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1,493,951</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1,563,724</w:t>
            </w:r>
          </w:p>
        </w:tc>
        <w:tc>
          <w:tcPr>
            <w:tcW w:w="260" w:type="dxa"/>
            <w:vAlign w:val="bottom"/>
          </w:tcPr>
          <w:p>
            <w:pPr>
              <w:spacing w:after="0"/>
              <w:rPr>
                <w:sz w:val="14"/>
                <w:szCs w:val="14"/>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w w:val="93"/>
              </w:rPr>
              <w:t>4.7%</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115,129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113,958</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114,799</w:t>
            </w:r>
          </w:p>
        </w:tc>
        <w:tc>
          <w:tcPr>
            <w:tcW w:w="11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11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340,809</w:t>
            </w:r>
          </w:p>
        </w:tc>
        <w:tc>
          <w:tcPr>
            <w:tcW w:w="12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344,644</w:t>
            </w:r>
          </w:p>
        </w:tc>
        <w:tc>
          <w:tcPr>
            <w:tcW w:w="10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w w:val="93"/>
              </w:rPr>
              <w:t>1.1%</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40,709</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51,676</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35,693</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-30.9%</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-12.3%</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135,205</w:t>
            </w:r>
          </w:p>
        </w:tc>
        <w:tc>
          <w:tcPr>
            <w:tcW w:w="1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136,861</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w w:val="93"/>
              </w:rPr>
              <w:t>1.2%</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1,429,847</w:t>
            </w:r>
          </w:p>
        </w:tc>
        <w:tc>
          <w:tcPr>
            <w:tcW w:w="2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1,453,187</w:t>
            </w:r>
          </w:p>
        </w:tc>
        <w:tc>
          <w:tcPr>
            <w:tcW w:w="2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1,445,137</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-0.6</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4,188,745</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4,305,435</w:t>
            </w: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ind w:left="740"/>
              <w:spacing w:after="0" w:line="142" w:lineRule="exact"/>
              <w:rPr>
                <w:sz w:val="20"/>
                <w:szCs w:val="20"/>
                <w:color w:val="auto"/>
              </w:rPr>
            </w:pPr>
            <w:r>
              <w:rPr>
                <w:rFonts w:ascii="Arial" w:cs="Arial" w:eastAsia="Arial" w:hAnsi="Arial"/>
                <w:sz w:val="14"/>
                <w:szCs w:val="14"/>
                <w:b w:val="1"/>
                <w:bCs w:val="1"/>
                <w:color w:val="auto"/>
                <w:w w:val="81"/>
              </w:rPr>
              <w:t>2.8</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9"/>
        </w:trPr>
        <w:tc>
          <w:tcPr>
            <w:tcW w:w="230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(1)</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3,310,665</w:t>
            </w: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3,340,118</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3,397,502</w:t>
            </w:r>
          </w:p>
        </w:tc>
        <w:tc>
          <w:tcPr>
            <w:tcW w:w="1140" w:type="dxa"/>
            <w:vAlign w:val="bottom"/>
            <w:gridSpan w:val="2"/>
          </w:tcPr>
          <w:p>
            <w:pPr>
              <w:jc w:val="right"/>
              <w:ind w:right="68"/>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900" w:type="dxa"/>
            <w:vAlign w:val="bottom"/>
            <w:gridSpan w:val="2"/>
          </w:tcPr>
          <w:p>
            <w:pPr>
              <w:jc w:val="right"/>
              <w:ind w:right="68"/>
              <w:spacing w:after="0"/>
              <w:rPr>
                <w:sz w:val="20"/>
                <w:szCs w:val="20"/>
                <w:color w:val="auto"/>
              </w:rPr>
            </w:pPr>
            <w:r>
              <w:rPr>
                <w:rFonts w:ascii="Arial" w:cs="Arial" w:eastAsia="Arial" w:hAnsi="Arial"/>
                <w:sz w:val="14"/>
                <w:szCs w:val="14"/>
                <w:color w:val="auto"/>
              </w:rPr>
              <w:t>2.6%</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9,721,451</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10,132,978</w:t>
            </w:r>
          </w:p>
        </w:tc>
        <w:tc>
          <w:tcPr>
            <w:tcW w:w="260" w:type="dxa"/>
            <w:vAlign w:val="bottom"/>
          </w:tcPr>
          <w:p>
            <w:pPr>
              <w:spacing w:after="0"/>
              <w:rPr>
                <w:sz w:val="14"/>
                <w:szCs w:val="14"/>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w w:val="93"/>
              </w:rPr>
              <w:t>4.2%</w:t>
            </w: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1,452,054</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1,463,176</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1,484,220</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4,229,697</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4,367,076</w:t>
            </w:r>
          </w:p>
        </w:tc>
        <w:tc>
          <w:tcPr>
            <w:tcW w:w="260" w:type="dxa"/>
            <w:vAlign w:val="bottom"/>
            <w:tcBorders>
              <w:right w:val="single" w:sz="8" w:color="CCEEFF"/>
            </w:tcBorders>
            <w:shd w:val="clear" w:color="auto" w:fill="CCEEFF"/>
          </w:tcPr>
          <w:p>
            <w:pPr>
              <w:spacing w:after="0"/>
              <w:rPr>
                <w:sz w:val="17"/>
                <w:szCs w:val="17"/>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w w:val="93"/>
              </w:rPr>
              <w:t>3.2%</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(3)</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43.9%</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43.8%</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43.7%</w:t>
            </w:r>
          </w:p>
        </w:tc>
        <w:tc>
          <w:tcPr>
            <w:tcW w:w="14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-10 bps</w:t>
            </w:r>
          </w:p>
        </w:tc>
        <w:tc>
          <w:tcPr>
            <w:tcW w:w="9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 bps</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43.5%</w:t>
            </w: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43.1%</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-40 bps</w:t>
            </w:r>
          </w:p>
        </w:tc>
        <w:tc>
          <w:tcPr>
            <w:tcW w:w="0" w:type="dxa"/>
            <w:vAlign w:val="bottom"/>
          </w:tcPr>
          <w:p>
            <w:pPr>
              <w:spacing w:after="0"/>
              <w:rPr>
                <w:sz w:val="1"/>
                <w:szCs w:val="1"/>
                <w:color w:val="auto"/>
              </w:rPr>
            </w:pPr>
          </w:p>
        </w:tc>
      </w:tr>
      <w:tr>
        <w:trPr>
          <w:trHeight w:val="116"/>
        </w:trPr>
        <w:tc>
          <w:tcPr>
            <w:tcW w:w="230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Operating expenses / Total average</w:t>
            </w: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right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300" w:type="dxa"/>
            <w:vAlign w:val="bottom"/>
            <w:gridSpan w:val="2"/>
            <w:shd w:val="clear" w:color="auto" w:fill="CCEEFF"/>
          </w:tcPr>
          <w:p>
            <w:pPr>
              <w:spacing w:after="0" w:line="215" w:lineRule="exact"/>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23"/>
                <w:szCs w:val="23"/>
                <w:b w:val="1"/>
                <w:bCs w:val="1"/>
                <w:color w:val="auto"/>
                <w:vertAlign w:val="superscript"/>
              </w:rPr>
              <w:t>(4)</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3.63%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3.62%</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-1 bps</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-7 bps</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3.50%</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3.70%</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 bps</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8"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income = Net interest income + Fee income + Gain on foreign exchange transactions + Net gain from associates + Net premiums earned + Net gain</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on derivatives+ Result on exchange difference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expenses fell 0.6% QoQ. This was mainly attributable to a drop in Administrative and general expenses as well as in taxes, as indicated in the table below. The aforementioned offset the increase in Employee salaries and benefits, which was associated with organic growth in the number of employees. In the YoY analysis and in accumulated terms, total expenses increased. This was primarily due to an increase in investment in projects for digital and cultural transformation.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00" w:type="dxa"/>
            <w:vAlign w:val="bottom"/>
            <w:gridSpan w:val="11"/>
          </w:tcPr>
          <w:p>
            <w:pPr>
              <w:ind w:left="620"/>
              <w:spacing w:after="0"/>
              <w:rPr>
                <w:sz w:val="20"/>
                <w:szCs w:val="20"/>
                <w:color w:val="auto"/>
              </w:rPr>
            </w:pPr>
            <w:r>
              <w:rPr>
                <w:rFonts w:ascii="Arial" w:cs="Arial" w:eastAsia="Arial" w:hAnsi="Arial"/>
                <w:sz w:val="18"/>
                <w:szCs w:val="18"/>
                <w:b w:val="1"/>
                <w:bCs w:val="1"/>
                <w:color w:val="auto"/>
              </w:rPr>
              <w:t>Credicorp’s administrative and general expenses</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Administrative and general expenses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3"/>
          </w:tcPr>
          <w:p>
            <w:pPr>
              <w:ind w:left="560"/>
              <w:spacing w:after="0"/>
              <w:rPr>
                <w:sz w:val="20"/>
                <w:szCs w:val="20"/>
                <w:color w:val="auto"/>
              </w:rPr>
            </w:pPr>
            <w:r>
              <w:rPr>
                <w:rFonts w:ascii="Arial" w:cs="Arial" w:eastAsia="Arial" w:hAnsi="Arial"/>
                <w:sz w:val="18"/>
                <w:szCs w:val="18"/>
                <w:b w:val="1"/>
                <w:bCs w:val="1"/>
                <w:color w:val="auto"/>
              </w:rPr>
              <w:t>Quarter</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3Q16</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2Q17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3Q17</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Taxes and contributions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55,450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52,589</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55,544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Insfrastructure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65,097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68,611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Minor expenses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51,855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54,345</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54,665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Systems outsourcing</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61,101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55,254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54,255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Programs and systems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56,350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57,922</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72,197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25,422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22,284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Rent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44,405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45,846</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43,633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35,918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48,498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25,424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Channels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46,989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47,109</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52,600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70"/>
        </w:trPr>
        <w:tc>
          <w:tcPr>
            <w:tcW w:w="32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30"/>
                <w:szCs w:val="30"/>
                <w:color w:val="auto"/>
                <w:vertAlign w:val="superscript"/>
              </w:rPr>
              <w:t>(1)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20,695</w:t>
            </w:r>
          </w:p>
        </w:tc>
        <w:tc>
          <w:tcPr>
            <w:tcW w:w="2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23,211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w:t>
            </w:r>
          </w:p>
        </w:tc>
      </w:tr>
      <w:tr>
        <w:trPr>
          <w:trHeight w:val="178"/>
        </w:trPr>
        <w:tc>
          <w:tcPr>
            <w:tcW w:w="322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administrative and general</w:t>
            </w: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8"/>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526,613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541,054</w:t>
            </w:r>
          </w:p>
        </w:tc>
        <w:tc>
          <w:tcPr>
            <w:tcW w:w="24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534,204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20" w:firstLine="8"/>
        <w:spacing w:after="0" w:line="528" w:lineRule="auto"/>
        <w:tabs>
          <w:tab w:leader="none" w:pos="2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Others include ASB, BCP Bolivia, Grupo Credito and eliminations for consolidation. At BCP Stand-alone, the main accounts that led to the decrease are:</w:t>
      </w:r>
    </w:p>
    <w:p>
      <w:pPr>
        <w:ind w:left="900" w:hanging="446"/>
        <w:spacing w:after="0" w:line="282"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given that the highest quarterly expense thus far this year was posted in 2Q17. This expense was associated with projects for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and cultural transformation.</w:t>
      </w:r>
    </w:p>
    <w:p>
      <w:pPr>
        <w:spacing w:after="0" w:line="161" w:lineRule="exact"/>
        <w:rPr>
          <w:rFonts w:ascii="Arial" w:cs="Arial" w:eastAsia="Arial" w:hAnsi="Arial"/>
          <w:sz w:val="18"/>
          <w:szCs w:val="18"/>
          <w:color w:val="auto"/>
        </w:rPr>
      </w:pPr>
    </w:p>
    <w:p>
      <w:pPr>
        <w:ind w:left="900" w:hanging="446"/>
        <w:spacing w:after="0"/>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Infrastructure, </w:t>
      </w:r>
      <w:r>
        <w:rPr>
          <w:rFonts w:ascii="Arial" w:cs="Arial" w:eastAsia="Arial" w:hAnsi="Arial"/>
          <w:sz w:val="18"/>
          <w:szCs w:val="18"/>
          <w:color w:val="auto"/>
        </w:rPr>
        <w:t>due to a decrease in utilities and supplies at different BCP offices.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YoY, total administrative and general expenses increased slightly by +1.4%, which was primarily due to an increase in programming and systems for strategic IT projects.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7.1 Operating Expenses / Total Average Assets Ratio</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operating expenses/total average assets ratio remained stable QoQ. This was primarily due to lower growth QoQ in operating expenses, which was attributable to better spending control in 3Q17, as is evident in the following figure: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 / Total Average Assets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154940</wp:posOffset>
            </wp:positionV>
            <wp:extent cx="4124960" cy="1938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2496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below shows that on-going control over and stability in operating expenses led to a lower normalized level for the operating expenses/total average assets ratio. QoQ growth in investments and loans helped maintain adequate growth in total average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QoQ % of Change QoQ of Operating Expenses and Total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154940</wp:posOffset>
            </wp:positionV>
            <wp:extent cx="4330700" cy="2075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3070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7.2 Efficiency Ratio</w:t>
            </w: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2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w w:val="89"/>
              </w:rPr>
              <w:t xml:space="preserve">Efficiency Ratio by Subsidiary </w:t>
            </w:r>
            <w:r>
              <w:rPr>
                <w:rFonts w:ascii="Arial" w:cs="Arial" w:eastAsia="Arial" w:hAnsi="Arial"/>
                <w:sz w:val="30"/>
                <w:szCs w:val="30"/>
                <w:b w:val="1"/>
                <w:bCs w:val="1"/>
                <w:color w:val="auto"/>
                <w:w w:val="89"/>
                <w:vertAlign w:val="superscript"/>
              </w:rPr>
              <w:t>(1)</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Credicorp</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BCP Stand-alone</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Mibanco</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BCP Bolivia</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ASB</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Grupo Pacífico</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Prima</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Credicorp</w:t>
            </w:r>
          </w:p>
        </w:tc>
        <w:tc>
          <w:tcPr>
            <w:tcW w:w="0" w:type="dxa"/>
            <w:vAlign w:val="bottom"/>
          </w:tcPr>
          <w:p>
            <w:pPr>
              <w:spacing w:after="0"/>
              <w:rPr>
                <w:sz w:val="1"/>
                <w:szCs w:val="1"/>
                <w:color w:val="auto"/>
              </w:rPr>
            </w:pPr>
          </w:p>
        </w:tc>
      </w:tr>
      <w:tr>
        <w:trPr>
          <w:trHeight w:val="20"/>
        </w:trPr>
        <w:tc>
          <w:tcPr>
            <w:tcW w:w="1740" w:type="dxa"/>
            <w:vAlign w:val="bottom"/>
            <w:vMerge w:val="restart"/>
            <w:shd w:val="clear" w:color="auto" w:fill="CCEEFF"/>
          </w:tcPr>
          <w:p>
            <w:pPr>
              <w:jc w:val="center"/>
              <w:spacing w:after="0" w:line="256" w:lineRule="exact"/>
              <w:rPr>
                <w:sz w:val="20"/>
                <w:szCs w:val="20"/>
                <w:color w:val="auto"/>
              </w:rPr>
            </w:pPr>
            <w:r>
              <w:rPr>
                <w:rFonts w:ascii="Arial" w:cs="Arial" w:eastAsia="Arial" w:hAnsi="Arial"/>
                <w:sz w:val="18"/>
                <w:szCs w:val="18"/>
                <w:b w:val="1"/>
                <w:bCs w:val="1"/>
                <w:color w:val="auto"/>
                <w:w w:val="85"/>
              </w:rPr>
              <w:t xml:space="preserve">3Q16 </w:t>
            </w:r>
            <w:r>
              <w:rPr>
                <w:rFonts w:ascii="Arial" w:cs="Arial" w:eastAsia="Arial" w:hAnsi="Arial"/>
                <w:sz w:val="29"/>
                <w:szCs w:val="29"/>
                <w:b w:val="1"/>
                <w:bCs w:val="1"/>
                <w:color w:val="auto"/>
                <w:w w:val="85"/>
                <w:vertAlign w:val="superscript"/>
              </w:rPr>
              <w:t>(2)</w:t>
            </w: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40" w:type="dxa"/>
            <w:vAlign w:val="bottom"/>
            <w:vMerge w:val="continue"/>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3"/>
              </w:rPr>
              <w:t>43.9%</w:t>
            </w:r>
          </w:p>
        </w:tc>
        <w:tc>
          <w:tcPr>
            <w:tcW w:w="0" w:type="dxa"/>
            <w:vAlign w:val="bottom"/>
          </w:tcPr>
          <w:p>
            <w:pPr>
              <w:spacing w:after="0"/>
              <w:rPr>
                <w:sz w:val="1"/>
                <w:szCs w:val="1"/>
                <w:color w:val="auto"/>
              </w:rPr>
            </w:pP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5"/>
              </w:rPr>
              <w:t>2Q17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54.4%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w w:val="93"/>
              </w:rPr>
              <w:t>43.8%</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3Q17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106.9%</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3"/>
              </w:rPr>
              <w:t>43.7%</w:t>
            </w:r>
          </w:p>
        </w:tc>
        <w:tc>
          <w:tcPr>
            <w:tcW w:w="0" w:type="dxa"/>
            <w:vAlign w:val="bottom"/>
          </w:tcPr>
          <w:p>
            <w:pPr>
              <w:spacing w:after="0"/>
              <w:rPr>
                <w:sz w:val="1"/>
                <w:szCs w:val="1"/>
                <w:color w:val="auto"/>
              </w:rPr>
            </w:pPr>
          </w:p>
        </w:tc>
      </w:tr>
      <w:tr>
        <w:trPr>
          <w:trHeight w:val="210"/>
        </w:trPr>
        <w:tc>
          <w:tcPr>
            <w:tcW w:w="1740" w:type="dxa"/>
            <w:vAlign w:val="bottom"/>
            <w:tcBorders>
              <w:bottom w:val="single" w:sz="8" w:color="CCEEFF"/>
            </w:tcBorders>
          </w:tcPr>
          <w:p>
            <w:pPr>
              <w:jc w:val="center"/>
              <w:ind w:right="10"/>
              <w:spacing w:after="0"/>
              <w:rPr>
                <w:sz w:val="20"/>
                <w:szCs w:val="20"/>
                <w:color w:val="auto"/>
              </w:rPr>
            </w:pPr>
            <w:r>
              <w:rPr>
                <w:rFonts w:ascii="Arial" w:cs="Arial" w:eastAsia="Arial" w:hAnsi="Arial"/>
                <w:sz w:val="18"/>
                <w:szCs w:val="18"/>
                <w:b w:val="1"/>
                <w:bCs w:val="1"/>
                <w:color w:val="auto"/>
                <w:w w:val="92"/>
              </w:rPr>
              <w:t>Var. QoQ</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 bps</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4"/>
              </w:rPr>
              <w:t>-560 bps</w:t>
            </w:r>
          </w:p>
        </w:tc>
        <w:tc>
          <w:tcPr>
            <w:tcW w:w="2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 bps</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 bps</w:t>
            </w:r>
          </w:p>
        </w:tc>
        <w:tc>
          <w:tcPr>
            <w:tcW w:w="2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 bps</w:t>
            </w:r>
          </w:p>
        </w:tc>
        <w:tc>
          <w:tcPr>
            <w:tcW w:w="2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83"/>
              </w:rPr>
              <w:t>750 bps</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1830 bps</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5"/>
              </w:rPr>
              <w:t>-10 bps</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Var. YoY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 bps</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84"/>
              </w:rPr>
              <w:t>-770 bps</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 bps</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 bps</w:t>
            </w:r>
          </w:p>
        </w:tc>
        <w:tc>
          <w:tcPr>
            <w:tcW w:w="26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 bps</w:t>
            </w: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83"/>
              </w:rPr>
              <w:t>920 bps</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 bps</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5"/>
              </w:rPr>
              <w:t>-20 bps</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Acum. Set 16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105.3%</w:t>
            </w:r>
          </w:p>
        </w:tc>
        <w:tc>
          <w:tcPr>
            <w:tcW w:w="1060" w:type="dxa"/>
            <w:vAlign w:val="bottom"/>
            <w:gridSpan w:val="2"/>
          </w:tcPr>
          <w:p>
            <w:pPr>
              <w:ind w:left="560"/>
              <w:spacing w:after="0"/>
              <w:rPr>
                <w:sz w:val="20"/>
                <w:szCs w:val="20"/>
                <w:color w:val="auto"/>
              </w:rPr>
            </w:pPr>
            <w:r>
              <w:rPr>
                <w:rFonts w:ascii="Arial" w:cs="Arial" w:eastAsia="Arial" w:hAnsi="Arial"/>
                <w:sz w:val="18"/>
                <w:szCs w:val="18"/>
                <w:b w:val="1"/>
                <w:bCs w:val="1"/>
                <w:color w:val="auto"/>
                <w:w w:val="93"/>
              </w:rPr>
              <w:t>43.5%</w:t>
            </w:r>
          </w:p>
        </w:tc>
        <w:tc>
          <w:tcPr>
            <w:tcW w:w="0" w:type="dxa"/>
            <w:vAlign w:val="bottom"/>
          </w:tcPr>
          <w:p>
            <w:pPr>
              <w:spacing w:after="0"/>
              <w:rPr>
                <w:sz w:val="1"/>
                <w:szCs w:val="1"/>
                <w:color w:val="auto"/>
              </w:rPr>
            </w:pPr>
          </w:p>
        </w:tc>
      </w:tr>
      <w:tr>
        <w:trPr>
          <w:trHeight w:val="230"/>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Acum. Set 17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93"/>
              </w:rPr>
              <w:t>43.1%</w:t>
            </w:r>
          </w:p>
        </w:tc>
        <w:tc>
          <w:tcPr>
            <w:tcW w:w="0" w:type="dxa"/>
            <w:vAlign w:val="bottom"/>
          </w:tcPr>
          <w:p>
            <w:pPr>
              <w:spacing w:after="0"/>
              <w:rPr>
                <w:sz w:val="1"/>
                <w:szCs w:val="1"/>
                <w:color w:val="auto"/>
              </w:rPr>
            </w:pPr>
          </w:p>
        </w:tc>
      </w:tr>
      <w:tr>
        <w:trPr>
          <w:trHeight w:val="210"/>
        </w:trPr>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Var. Set 17 / Set 16</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 bps</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4"/>
              </w:rPr>
              <w:t>-520 bps</w:t>
            </w:r>
          </w:p>
        </w:tc>
        <w:tc>
          <w:tcPr>
            <w:tcW w:w="2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 bps</w:t>
            </w:r>
          </w:p>
        </w:tc>
        <w:tc>
          <w:tcPr>
            <w:tcW w:w="2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 bps</w:t>
            </w:r>
          </w:p>
        </w:tc>
        <w:tc>
          <w:tcPr>
            <w:tcW w:w="2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 bps</w:t>
            </w:r>
          </w:p>
        </w:tc>
        <w:tc>
          <w:tcPr>
            <w:tcW w:w="260" w:type="dxa"/>
            <w:vAlign w:val="bottom"/>
          </w:tcPr>
          <w:p>
            <w:pPr>
              <w:spacing w:after="0"/>
              <w:rPr>
                <w:sz w:val="18"/>
                <w:szCs w:val="18"/>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83"/>
              </w:rPr>
              <w:t>220 bps</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 bps</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w w:val="85"/>
              </w:rPr>
              <w:t>-40 bps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8"/>
        <w:spacing w:after="0" w:line="258"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(Operating expenses + acquisition cost - other expenses) / (Net interest income + fee income + Net gain on foreign exchange transactions + Result on exchange difference + Net gain on derivates + Net gain from associates + Net earned premiums)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Figures of subsidiaries differ from previously reported, please consider the data presented on this report.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efficiency ratio</w:t>
      </w:r>
      <w:r>
        <w:rPr>
          <w:rFonts w:ascii="Arial" w:cs="Arial" w:eastAsia="Arial" w:hAnsi="Arial"/>
          <w:sz w:val="18"/>
          <w:szCs w:val="18"/>
          <w:color w:val="auto"/>
        </w:rPr>
        <w:t xml:space="preserve"> improved QoQ, which was attributable to better operating income generation, mainly at Mibanco and BCP Stand-alone. In a context of adequate spending control, operating expenses hit an all-time low for the past two years in 3Q17. In terms of income, the recovery was due mainly to net income for interest on loans (for more details, see section 4 Net Interest Income).</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important to note the positive evolution of Mibanco’s efficiency ratio, which was primarily attributable to on-going control of operating expenses and significant income generation.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Nevertheless, all of the aforementioned was attenuated by a QoQ increase in Credicorp Capital’s efficiency ratio, which was mainly associated with a decrease in commissions (for more details, see section 5. Non-Financial Income).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Credicorp’s efficiency ratio fell -20 bps given that the increase in operating expenses was greater than growth in operating expenses. Within operating income, net interest income posted the highest growth. This was associated primarily with expansion at Mibanco as well as in fee income and in the derivatives result.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it is important to note that in the accumulated analysis, Mibanco posted a significant reduction of 520 bps, which led to a -40 bps reduction in Credicorp’s accumulated efficiency ratio.</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ind w:left="520" w:hanging="512"/>
        <w:spacing w:after="0"/>
        <w:tabs>
          <w:tab w:leader="none" w:pos="5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8.1</w:t>
            </w:r>
          </w:p>
        </w:tc>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Regulatory Capital – BAP</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w w:val="98"/>
              </w:rPr>
              <w:t>Regulatory Capital and Capital Adequacy Ratios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Balance as of</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3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 16</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Jun 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Sep 17</w:t>
            </w:r>
          </w:p>
        </w:tc>
        <w:tc>
          <w:tcPr>
            <w:tcW w:w="200" w:type="dxa"/>
            <w:vAlign w:val="bottom"/>
            <w:tcBorders>
              <w:bottom w:val="single" w:sz="8" w:color="CCEEFF"/>
            </w:tcBorders>
            <w:gridSpan w:val="2"/>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Treasury Stocks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(209,383)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(208,952)</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(208,968)</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279,490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271,561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271,124</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40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13,524,557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15,865,972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15,883,350</w:t>
            </w:r>
          </w:p>
        </w:tc>
        <w:tc>
          <w:tcPr>
            <w:tcW w:w="180" w:type="dxa"/>
            <w:vAlign w:val="bottom"/>
          </w:tcPr>
          <w:p>
            <w:pPr>
              <w:spacing w:after="0"/>
              <w:rPr>
                <w:sz w:val="22"/>
                <w:szCs w:val="22"/>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7"/>
        </w:trPr>
        <w:tc>
          <w:tcPr>
            <w:tcW w:w="4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324,414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349,354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348,646</w:t>
            </w:r>
          </w:p>
        </w:tc>
        <w:tc>
          <w:tcPr>
            <w:tcW w:w="1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40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1,318,376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1,288,931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1,310,325</w:t>
            </w:r>
          </w:p>
        </w:tc>
        <w:tc>
          <w:tcPr>
            <w:tcW w:w="180" w:type="dxa"/>
            <w:vAlign w:val="bottom"/>
          </w:tcPr>
          <w:p>
            <w:pPr>
              <w:spacing w:after="0"/>
              <w:rPr>
                <w:sz w:val="22"/>
                <w:szCs w:val="22"/>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850,000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813,250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816,250</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5,181,341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5,001,933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5,013,769</w:t>
            </w:r>
          </w:p>
        </w:tc>
        <w:tc>
          <w:tcPr>
            <w:tcW w:w="18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4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 and subordinated debt of</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and insurance companies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(731,447)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(751,329)</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(615,630)</w:t>
            </w: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-18.1%</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(628,458)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(632,707)</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(636,671)</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5"/>
        </w:trPr>
        <w:tc>
          <w:tcPr>
            <w:tcW w:w="408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w w:val="99"/>
              </w:rPr>
              <w:t>Deduction for subordinated debt limit (50% of Tier I</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080" w:type="dxa"/>
            <w:vAlign w:val="bottom"/>
            <w:gridSpan w:val="3"/>
            <w:shd w:val="clear" w:color="auto" w:fill="CCEEFF"/>
          </w:tcPr>
          <w:p>
            <w:pPr>
              <w:spacing w:after="0" w:line="266" w:lineRule="exact"/>
              <w:rPr>
                <w:sz w:val="20"/>
                <w:szCs w:val="20"/>
                <w:color w:val="auto"/>
              </w:rPr>
            </w:pPr>
            <w:r>
              <w:rPr>
                <w:rFonts w:ascii="Arial" w:cs="Arial" w:eastAsia="Arial" w:hAnsi="Arial"/>
                <w:sz w:val="18"/>
                <w:szCs w:val="18"/>
                <w:color w:val="auto"/>
              </w:rPr>
              <w:t xml:space="preserve">excluding deductions) </w:t>
            </w:r>
            <w:r>
              <w:rPr>
                <w:rFonts w:ascii="Arial" w:cs="Arial" w:eastAsia="Arial" w:hAnsi="Arial"/>
                <w:sz w:val="30"/>
                <w:szCs w:val="30"/>
                <w:color w:val="auto"/>
                <w:vertAlign w:val="superscript"/>
              </w:rPr>
              <w:t>(4)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4080" w:type="dxa"/>
            <w:vAlign w:val="bottom"/>
            <w:gridSpan w:val="3"/>
          </w:tcPr>
          <w:p>
            <w:pPr>
              <w:spacing w:after="0" w:line="206" w:lineRule="exact"/>
              <w:rPr>
                <w:sz w:val="20"/>
                <w:szCs w:val="20"/>
                <w:color w:val="auto"/>
              </w:rPr>
            </w:pPr>
            <w:r>
              <w:rPr>
                <w:rFonts w:ascii="Arial" w:cs="Arial" w:eastAsia="Arial" w:hAnsi="Arial"/>
                <w:sz w:val="18"/>
                <w:szCs w:val="18"/>
                <w:color w:val="auto"/>
                <w:w w:val="97"/>
              </w:rPr>
              <w:t>Deduction for Tier I Limit (50% of Regulatory capital)</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540" w:type="dxa"/>
            <w:vAlign w:val="bottom"/>
            <w:gridSpan w:val="2"/>
            <w:vMerge w:val="restart"/>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40" w:type="dxa"/>
            <w:vAlign w:val="bottom"/>
          </w:tcPr>
          <w:p>
            <w:pPr>
              <w:spacing w:after="0"/>
              <w:rPr>
                <w:sz w:val="20"/>
                <w:szCs w:val="20"/>
                <w:color w:val="auto"/>
              </w:rPr>
            </w:pPr>
            <w:r>
              <w:rPr>
                <w:rFonts w:ascii="Arial" w:cs="Arial" w:eastAsia="Arial" w:hAnsi="Arial"/>
                <w:sz w:val="15"/>
                <w:szCs w:val="15"/>
                <w:color w:val="auto"/>
              </w:rPr>
              <w:t>(4)</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21,227,882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23,317,006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23,501,188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640" w:type="dxa"/>
            <w:vAlign w:val="bottom"/>
          </w:tcPr>
          <w:p>
            <w:pPr>
              <w:spacing w:after="0" w:line="236" w:lineRule="exact"/>
              <w:rPr>
                <w:sz w:val="20"/>
                <w:szCs w:val="20"/>
                <w:color w:val="auto"/>
              </w:rPr>
            </w:pPr>
            <w:r>
              <w:rPr>
                <w:rFonts w:ascii="Arial" w:cs="Arial" w:eastAsia="Arial" w:hAnsi="Arial"/>
                <w:sz w:val="17"/>
                <w:szCs w:val="17"/>
                <w:color w:val="auto"/>
                <w:w w:val="94"/>
              </w:rPr>
              <w:t xml:space="preserve">Tier I </w:t>
            </w:r>
            <w:r>
              <w:rPr>
                <w:rFonts w:ascii="Arial" w:cs="Arial" w:eastAsia="Arial" w:hAnsi="Arial"/>
                <w:sz w:val="27"/>
                <w:szCs w:val="27"/>
                <w:color w:val="auto"/>
                <w:w w:val="94"/>
                <w:vertAlign w:val="superscript"/>
              </w:rPr>
              <w:t>(5)</w:t>
            </w: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12,137,021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12,603,980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12,669,949</w:t>
            </w:r>
          </w:p>
        </w:tc>
        <w:tc>
          <w:tcPr>
            <w:tcW w:w="180" w:type="dxa"/>
            <w:vAlign w:val="bottom"/>
          </w:tcPr>
          <w:p>
            <w:pPr>
              <w:spacing w:after="0"/>
              <w:rPr>
                <w:sz w:val="20"/>
                <w:szCs w:val="20"/>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408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II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III </w:t>
            </w:r>
            <w:r>
              <w:rPr>
                <w:rFonts w:ascii="Arial" w:cs="Arial" w:eastAsia="Arial" w:hAnsi="Arial"/>
                <w:sz w:val="30"/>
                <w:szCs w:val="30"/>
                <w:color w:val="auto"/>
                <w:vertAlign w:val="superscript"/>
              </w:rPr>
              <w:t>(7)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9,090,861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10,713,027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10,831,239</w:t>
            </w:r>
          </w:p>
        </w:tc>
        <w:tc>
          <w:tcPr>
            <w:tcW w:w="18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82"/>
        </w:trPr>
        <w:tc>
          <w:tcPr>
            <w:tcW w:w="4080" w:type="dxa"/>
            <w:vAlign w:val="bottom"/>
            <w:gridSpan w:val="3"/>
          </w:tcPr>
          <w:p>
            <w:pPr>
              <w:spacing w:after="0" w:line="182" w:lineRule="exact"/>
              <w:rPr>
                <w:sz w:val="20"/>
                <w:szCs w:val="20"/>
                <w:color w:val="auto"/>
              </w:rPr>
            </w:pPr>
            <w:r>
              <w:rPr>
                <w:rFonts w:ascii="Arial" w:cs="Arial" w:eastAsia="Arial" w:hAnsi="Arial"/>
                <w:sz w:val="18"/>
                <w:szCs w:val="18"/>
                <w:color w:val="auto"/>
              </w:rPr>
              <w:t>Financial Consolidated Group (FCG) Regulatory</w:t>
            </w: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Capital Requirements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16,329,467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16,583,872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16,605,849</w:t>
            </w:r>
          </w:p>
        </w:tc>
        <w:tc>
          <w:tcPr>
            <w:tcW w:w="180" w:type="dxa"/>
            <w:vAlign w:val="bottom"/>
          </w:tcPr>
          <w:p>
            <w:pPr>
              <w:spacing w:after="0"/>
              <w:rPr>
                <w:sz w:val="20"/>
                <w:szCs w:val="20"/>
                <w:color w:val="auto"/>
              </w:rPr>
            </w:pP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4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Insurance Consolidated Group (ICG) Capital</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Requirements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986,619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974,207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903,684</w:t>
            </w:r>
          </w:p>
        </w:tc>
        <w:tc>
          <w:tcPr>
            <w:tcW w:w="1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5"/>
        </w:trPr>
        <w:tc>
          <w:tcPr>
            <w:tcW w:w="4080" w:type="dxa"/>
            <w:vAlign w:val="bottom"/>
            <w:gridSpan w:val="3"/>
          </w:tcPr>
          <w:p>
            <w:pPr>
              <w:spacing w:after="0" w:line="206" w:lineRule="exact"/>
              <w:rPr>
                <w:sz w:val="20"/>
                <w:szCs w:val="20"/>
                <w:color w:val="auto"/>
              </w:rPr>
            </w:pPr>
            <w:r>
              <w:rPr>
                <w:rFonts w:ascii="Arial" w:cs="Arial" w:eastAsia="Arial" w:hAnsi="Arial"/>
                <w:sz w:val="18"/>
                <w:szCs w:val="18"/>
                <w:color w:val="auto"/>
                <w:w w:val="96"/>
              </w:rPr>
              <w:t>FCG Capital Requirements related to operations with</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40" w:type="dxa"/>
            <w:vAlign w:val="bottom"/>
          </w:tcPr>
          <w:p>
            <w:pPr>
              <w:spacing w:after="0" w:line="266" w:lineRule="exact"/>
              <w:rPr>
                <w:sz w:val="20"/>
                <w:szCs w:val="20"/>
                <w:color w:val="auto"/>
              </w:rPr>
            </w:pPr>
            <w:r>
              <w:rPr>
                <w:rFonts w:ascii="Arial" w:cs="Arial" w:eastAsia="Arial" w:hAnsi="Arial"/>
                <w:sz w:val="30"/>
                <w:szCs w:val="30"/>
                <w:color w:val="auto"/>
                <w:vertAlign w:val="subscript"/>
              </w:rPr>
              <w:t>ICG</w:t>
            </w:r>
            <w:r>
              <w:rPr>
                <w:rFonts w:ascii="Arial" w:cs="Arial" w:eastAsia="Arial" w:hAnsi="Arial"/>
                <w:sz w:val="14"/>
                <w:szCs w:val="14"/>
                <w:color w:val="auto"/>
              </w:rPr>
              <w:t xml:space="preserve"> (8)</w:t>
            </w:r>
          </w:p>
        </w:tc>
        <w:tc>
          <w:tcPr>
            <w:tcW w:w="3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(172,752)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(259,450)</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(246,221)</w:t>
            </w:r>
          </w:p>
        </w:tc>
        <w:tc>
          <w:tcPr>
            <w:tcW w:w="1540" w:type="dxa"/>
            <w:vAlign w:val="bottom"/>
            <w:gridSpan w:val="2"/>
          </w:tcPr>
          <w:p>
            <w:pPr>
              <w:jc w:val="right"/>
              <w:ind w:right="5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5"/>
        </w:trPr>
        <w:tc>
          <w:tcPr>
            <w:tcW w:w="408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w w:val="97"/>
              </w:rPr>
              <w:t>ICG Capital Requirements related to operations with</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640" w:type="dxa"/>
            <w:vAlign w:val="bottom"/>
            <w:shd w:val="clear" w:color="auto" w:fill="CCEEFF"/>
          </w:tcPr>
          <w:p>
            <w:pPr>
              <w:spacing w:after="0" w:line="281" w:lineRule="exact"/>
              <w:rPr>
                <w:sz w:val="20"/>
                <w:szCs w:val="20"/>
                <w:color w:val="auto"/>
              </w:rPr>
            </w:pPr>
            <w:r>
              <w:rPr>
                <w:rFonts w:ascii="Arial" w:cs="Arial" w:eastAsia="Arial" w:hAnsi="Arial"/>
                <w:sz w:val="18"/>
                <w:szCs w:val="18"/>
                <w:color w:val="auto"/>
                <w:w w:val="91"/>
              </w:rPr>
              <w:t xml:space="preserve">FCG </w:t>
            </w:r>
            <w:r>
              <w:rPr>
                <w:rFonts w:ascii="Arial" w:cs="Arial" w:eastAsia="Arial" w:hAnsi="Arial"/>
                <w:sz w:val="30"/>
                <w:szCs w:val="30"/>
                <w:color w:val="auto"/>
                <w:w w:val="91"/>
                <w:vertAlign w:val="superscript"/>
              </w:rPr>
              <w:t>(9)</w:t>
            </w:r>
          </w:p>
        </w:tc>
        <w:tc>
          <w:tcPr>
            <w:tcW w:w="3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17,143,335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17,298,629</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17,263,312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80" w:type="dxa"/>
            <w:vAlign w:val="bottom"/>
            <w:gridSpan w:val="3"/>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11,071 million) and optional capital reserves (S/ 4,812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Minority interest includes Tier I (S/ 346 million) and Tier II (S/ 3 million) minority interests.</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 + Tier III cannot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September 2017, Credicorp reported a comfortable capitalization level that was 1.36 times higher than the capital required by the Peruvian Regulator. This ratio posted a slight increase as a result of the minor growth in Credicorp's regulatory capital (0.8% QoQ) while regulatory capital requirement decreased 0.2% QoQ.</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QoQ growth in regulatory capital is explained by the higher loan loss reserves, mainly due to the increase in BCP Stand-alone total risk-weighted assets.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QoQ minor decrease in the regulatory capital requirement was due to the reduction in the insurance group requirement (-7.2% QoQ).</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regulatory capital ratio increased from 1.24 in 3Q16 to 1.36 in 3Q17 due to higher growth in total regulatory capital (+10.7% YoY). This was mainly attributable to a higher level of Legal and other capital reserves (+17.4%); total regulatory capital requirements grew (+0.7% YoY) due to a slight increase in the financial group capital requirement (+1.7% YoY).</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68"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8.2 Regulatory Capital – BCP Stand-alone based on Peru GAAP</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5"/>
          </w:tcPr>
          <w:p>
            <w:pPr>
              <w:ind w:left="60"/>
              <w:spacing w:after="0"/>
              <w:rPr>
                <w:sz w:val="20"/>
                <w:szCs w:val="20"/>
                <w:color w:val="auto"/>
              </w:rPr>
            </w:pPr>
            <w:r>
              <w:rPr>
                <w:rFonts w:ascii="Arial" w:cs="Arial" w:eastAsia="Arial" w:hAnsi="Arial"/>
                <w:sz w:val="18"/>
                <w:szCs w:val="18"/>
                <w:b w:val="1"/>
                <w:bCs w:val="1"/>
                <w:color w:val="auto"/>
              </w:rPr>
              <w:t>Balance as of</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16</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17</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17</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7,933,342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rPr>
              <w:t>Legal and Other capital reserves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3,582,218</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3,885,494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3,885,494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57"/>
        </w:trPr>
        <w:tc>
          <w:tcPr>
            <w:tcW w:w="584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1,165,100</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1,135,491</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1,157,365</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850,000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731,925</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4,575,152</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4,478,286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4,492,968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w w:val="94"/>
              </w:rPr>
              <w:t>Investment in subsidiaries and others, net of unrealized profit and net income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(1,208,055)</w:t>
            </w: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(1,242,614)</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(1,240,854)</w:t>
            </w: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Investment in subsidiaries and others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(1,412,072)</w:t>
            </w:r>
          </w:p>
        </w:tc>
        <w:tc>
          <w:tcPr>
            <w:tcW w:w="1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(1,388,099)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(1,478,915)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840" w:type="dxa"/>
            <w:vAlign w:val="bottom"/>
            <w:gridSpan w:val="3"/>
          </w:tcPr>
          <w:p>
            <w:pPr>
              <w:ind w:left="340"/>
              <w:spacing w:after="0"/>
              <w:rPr>
                <w:sz w:val="20"/>
                <w:szCs w:val="20"/>
                <w:color w:val="auto"/>
              </w:rPr>
            </w:pPr>
            <w:r>
              <w:rPr>
                <w:rFonts w:ascii="Arial" w:cs="Arial" w:eastAsia="Arial" w:hAnsi="Arial"/>
                <w:sz w:val="18"/>
                <w:szCs w:val="18"/>
                <w:color w:val="auto"/>
              </w:rPr>
              <w:t>Unrealized profit and net income in subsidiaries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204,017</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145,486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238,060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(122,083)</w:t>
            </w:r>
          </w:p>
        </w:tc>
        <w:tc>
          <w:tcPr>
            <w:tcW w:w="13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Total Regulatory Capital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15,908,678</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16,799,842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16,840,857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r>
      <w:tr>
        <w:trPr>
          <w:trHeight w:val="210"/>
        </w:trPr>
        <w:tc>
          <w:tcPr>
            <w:tcW w:w="5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33,188,994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30,829,912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31,827,183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37"/>
        </w:trPr>
        <w:tc>
          <w:tcPr>
            <w:tcW w:w="5840" w:type="dxa"/>
            <w:vAlign w:val="bottom"/>
            <w:gridSpan w:val="3"/>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10,772,454</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11,807,371</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11,810,950</w:t>
            </w:r>
          </w:p>
        </w:tc>
        <w:tc>
          <w:tcPr>
            <w:tcW w:w="10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w:t>
            </w:r>
          </w:p>
        </w:tc>
      </w:tr>
      <w:tr>
        <w:trPr>
          <w:trHeight w:val="270"/>
        </w:trPr>
        <w:tc>
          <w:tcPr>
            <w:tcW w:w="584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5,136,224</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4,992,471</w:t>
            </w:r>
          </w:p>
        </w:tc>
        <w:tc>
          <w:tcPr>
            <w:tcW w:w="10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5,029,906</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5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risk-weighted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102,270,784</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100,527,444</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102,972,396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5840" w:type="dxa"/>
            <w:vAlign w:val="bottom"/>
            <w:gridSpan w:val="3"/>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1,172,830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1,198,004</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1,757,740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rPr>
              <w:t>Credit risk-weighted assets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93,207,994</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90,839,316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92,589,212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risk-weighted assets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7,889,960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8,490,124</w:t>
            </w: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8,625,445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58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Adjusted Risk-Weighted Assets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101,763,810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99,945,976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102,362,554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102,270,784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100,527,444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102,972,396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5840" w:type="dxa"/>
            <w:vAlign w:val="bottom"/>
            <w:gridSpan w:val="3"/>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506,974</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581,469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02"/>
        </w:trPr>
        <w:tc>
          <w:tcPr>
            <w:tcW w:w="584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 RWA Deferred tax assets generated as a result of temporary differences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 income tax, in excess of 10% of CET1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gridSpan w:val="3"/>
          </w:tcPr>
          <w:p>
            <w:pPr>
              <w:ind w:left="180"/>
              <w:spacing w:after="0"/>
              <w:rPr>
                <w:sz w:val="20"/>
                <w:szCs w:val="20"/>
                <w:color w:val="auto"/>
              </w:rPr>
            </w:pPr>
            <w:r>
              <w:rPr>
                <w:rFonts w:ascii="Arial" w:cs="Arial" w:eastAsia="Arial" w:hAnsi="Arial"/>
                <w:sz w:val="18"/>
                <w:szCs w:val="18"/>
                <w:color w:val="auto"/>
              </w:rPr>
              <w:t>(-) RWA Deferred tax assets generated as a result of past losses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capital requirement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12,541,229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12,465,353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12,778,437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r>
      <w:tr>
        <w:trPr>
          <w:trHeight w:val="237"/>
        </w:trPr>
        <w:tc>
          <w:tcPr>
            <w:tcW w:w="5840" w:type="dxa"/>
            <w:vAlign w:val="bottom"/>
            <w:gridSpan w:val="3"/>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117,283</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119,800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175,774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49.9%</w:t>
            </w: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risk capital requirement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9,320,799</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9,083,932</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9,258,921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color w:val="auto"/>
              </w:rPr>
              <w:t>Operational risk capital requirement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788,996</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849,012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862,544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Additional capital requirements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2,314,150</w:t>
            </w:r>
          </w:p>
        </w:tc>
        <w:tc>
          <w:tcPr>
            <w:tcW w:w="13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2,412,609</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2,481,198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840" w:type="dxa"/>
            <w:vAlign w:val="bottom"/>
            <w:gridSpan w:val="3"/>
          </w:tcPr>
          <w:p>
            <w:pPr>
              <w:spacing w:after="0"/>
              <w:rPr>
                <w:sz w:val="20"/>
                <w:szCs w:val="20"/>
                <w:color w:val="auto"/>
              </w:rPr>
            </w:pPr>
            <w:r>
              <w:rPr>
                <w:rFonts w:ascii="Arial" w:cs="Arial" w:eastAsia="Arial" w:hAnsi="Arial"/>
                <w:sz w:val="18"/>
                <w:szCs w:val="18"/>
                <w:b w:val="1"/>
                <w:bCs w:val="1"/>
                <w:color w:val="auto"/>
              </w:rPr>
              <w:t>Capital ratios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58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57"/>
        </w:trPr>
        <w:tc>
          <w:tcPr>
            <w:tcW w:w="584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10.64%</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7"/>
        </w:trPr>
        <w:tc>
          <w:tcPr>
            <w:tcW w:w="58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70"/>
        </w:trPr>
        <w:tc>
          <w:tcPr>
            <w:tcW w:w="584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6.43</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0"/>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340" w:firstLine="8"/>
        <w:spacing w:after="0" w:line="265" w:lineRule="auto"/>
        <w:tabs>
          <w:tab w:leader="none" w:pos="2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right="40" w:firstLine="8"/>
        <w:spacing w:after="0" w:line="250"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30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right="40" w:firstLine="8"/>
        <w:spacing w:after="0" w:line="261"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10 * 1.00 (since July 2014)</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312" w:lineRule="auto"/>
        <w:rPr>
          <w:sz w:val="20"/>
          <w:szCs w:val="20"/>
          <w:color w:val="auto"/>
        </w:rPr>
      </w:pPr>
      <w:r>
        <w:rPr>
          <w:rFonts w:ascii="Arial" w:cs="Arial" w:eastAsia="Arial" w:hAnsi="Arial"/>
          <w:sz w:val="16"/>
          <w:szCs w:val="16"/>
          <w:color w:val="auto"/>
        </w:rPr>
        <w:t>At the end of 3Q17, BCP Stand-alone reported a slight reduction in its BIS ratio, which was situated at 16.53%. This was due primarily to an increase in risk-weighted assets (RWAs) in general and in credit risk RWAs in particular in a context marked by a QoQ increase in loan dynamism. Market risk RWAs also increased, although to a much lesser degree, due to an increase in coverage for interest rate risk that was associated with growth in the Fixed Income portfolio.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Tier 1 ratio was situated at 11.47% at the end of 3Q17 due to an increase in RWAs.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common equity tier 1 ratio (CET1), which is considered the most rigorous measurement of capitalization levels, registered an increase of 39 bps and situated at 11.93% at the end of September. This was mainly attributable to the earnings generated in 3Q17.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25" w:lineRule="exact"/>
        <w:rPr>
          <w:sz w:val="20"/>
          <w:szCs w:val="20"/>
          <w:color w:val="auto"/>
        </w:rPr>
      </w:pPr>
    </w:p>
    <w:p>
      <w:pPr>
        <w:ind w:left="2480"/>
        <w:spacing w:after="0"/>
        <w:tabs>
          <w:tab w:leader="none" w:pos="7940" w:val="left"/>
        </w:tabs>
        <w:rPr>
          <w:sz w:val="20"/>
          <w:szCs w:val="20"/>
          <w:color w:val="auto"/>
        </w:rPr>
      </w:pPr>
      <w:r>
        <w:rPr>
          <w:rFonts w:ascii="Arial" w:cs="Arial" w:eastAsia="Arial" w:hAnsi="Arial"/>
          <w:sz w:val="18"/>
          <w:szCs w:val="18"/>
          <w:b w:val="1"/>
          <w:bCs w:val="1"/>
          <w:color w:val="auto"/>
        </w:rPr>
        <w:t>June 2017</w:t>
      </w:r>
      <w:r>
        <w:rPr>
          <w:sz w:val="20"/>
          <w:szCs w:val="20"/>
          <w:color w:val="auto"/>
        </w:rPr>
        <w:tab/>
      </w:r>
      <w:r>
        <w:rPr>
          <w:rFonts w:ascii="Arial" w:cs="Arial" w:eastAsia="Arial" w:hAnsi="Arial"/>
          <w:sz w:val="15"/>
          <w:szCs w:val="15"/>
          <w:b w:val="1"/>
          <w:bCs w:val="1"/>
          <w:color w:val="auto"/>
        </w:rPr>
        <w:t>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142240</wp:posOffset>
            </wp:positionV>
            <wp:extent cx="6577965" cy="1423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7796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Includes minor investments.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Banking business’s Distribution channels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As of</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gridSpan w:val="4"/>
          </w:tcPr>
          <w:p>
            <w:pPr>
              <w:ind w:left="30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45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Sep 16</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Jun 17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Sep 17</w:t>
            </w:r>
          </w:p>
        </w:tc>
        <w:tc>
          <w:tcPr>
            <w:tcW w:w="1040" w:type="dxa"/>
            <w:vAlign w:val="bottom"/>
            <w:gridSpan w:val="2"/>
          </w:tcPr>
          <w:p>
            <w:pPr>
              <w:ind w:left="24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ind w:left="280"/>
              <w:spacing w:after="0"/>
              <w:rPr>
                <w:sz w:val="20"/>
                <w:szCs w:val="20"/>
                <w:color w:val="auto"/>
              </w:rPr>
            </w:pPr>
            <w:r>
              <w:rPr>
                <w:rFonts w:ascii="Arial" w:cs="Arial" w:eastAsia="Arial" w:hAnsi="Arial"/>
                <w:sz w:val="18"/>
                <w:szCs w:val="18"/>
                <w:b w:val="1"/>
                <w:bCs w:val="1"/>
                <w:color w:val="auto"/>
              </w:rPr>
              <w:t>YoY</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2,327</w:t>
            </w:r>
          </w:p>
        </w:tc>
        <w:tc>
          <w:tcPr>
            <w:tcW w:w="880" w:type="dxa"/>
            <w:vAlign w:val="bottom"/>
          </w:tcPr>
          <w:p>
            <w:pPr>
              <w:jc w:val="right"/>
              <w:spacing w:after="0"/>
              <w:rPr>
                <w:sz w:val="20"/>
                <w:szCs w:val="20"/>
                <w:color w:val="auto"/>
              </w:rPr>
            </w:pPr>
            <w:r>
              <w:rPr>
                <w:rFonts w:ascii="Arial" w:cs="Arial" w:eastAsia="Arial" w:hAnsi="Arial"/>
                <w:sz w:val="18"/>
                <w:szCs w:val="18"/>
                <w:color w:val="auto"/>
              </w:rPr>
              <w:t>2,344</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2,332</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6,173</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8,597</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8,812</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8,953</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w:t>
            </w:r>
          </w:p>
        </w:tc>
        <w:tc>
          <w:tcPr>
            <w:tcW w:w="80" w:type="dxa"/>
            <w:vAlign w:val="bottom"/>
            <w:tcBorders>
              <w:bottom w:val="single" w:sz="8" w:color="CCEEFF"/>
            </w:tcBorders>
          </w:tcPr>
          <w:p>
            <w:pPr>
              <w:spacing w:after="0"/>
              <w:rPr>
                <w:sz w:val="18"/>
                <w:szCs w:val="18"/>
                <w:color w:val="auto"/>
              </w:rPr>
            </w:pPr>
          </w:p>
        </w:tc>
      </w:tr>
      <w:tr>
        <w:trPr>
          <w:trHeight w:val="250"/>
        </w:trPr>
        <w:tc>
          <w:tcPr>
            <w:tcW w:w="45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Mibanco's Network </w:t>
            </w:r>
            <w:r>
              <w:rPr>
                <w:rFonts w:ascii="Arial" w:cs="Arial" w:eastAsia="Arial" w:hAnsi="Arial"/>
                <w:sz w:val="28"/>
                <w:szCs w:val="28"/>
                <w:b w:val="1"/>
                <w:bCs w:val="1"/>
                <w:color w:val="auto"/>
                <w:vertAlign w:val="superscript"/>
              </w:rPr>
              <w:t>(1)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21"/>
                <w:szCs w:val="21"/>
                <w:color w:val="auto"/>
              </w:rPr>
            </w:pP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8,911</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9,132</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9,277</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w:t>
            </w:r>
          </w:p>
        </w:tc>
        <w:tc>
          <w:tcPr>
            <w:tcW w:w="8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ATMs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70"/>
        </w:trPr>
        <w:tc>
          <w:tcPr>
            <w:tcW w:w="450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Agentes BCP Bolivia </w:t>
            </w:r>
            <w:r>
              <w:rPr>
                <w:rFonts w:ascii="Arial" w:cs="Arial" w:eastAsia="Arial" w:hAnsi="Arial"/>
                <w:sz w:val="30"/>
                <w:szCs w:val="30"/>
                <w:color w:val="auto"/>
                <w:vertAlign w:val="superscript"/>
              </w:rPr>
              <w:t>(2)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80" w:type="dxa"/>
            <w:vAlign w:val="bottom"/>
            <w:tcBorders>
              <w:bottom w:val="single" w:sz="8" w:color="CCEEFF"/>
            </w:tcBorders>
          </w:tcPr>
          <w:p>
            <w:pPr>
              <w:spacing w:after="0"/>
              <w:rPr>
                <w:sz w:val="18"/>
                <w:szCs w:val="18"/>
                <w:color w:val="auto"/>
              </w:rPr>
            </w:pPr>
          </w:p>
        </w:tc>
      </w:tr>
      <w:tr>
        <w:trPr>
          <w:trHeight w:val="250"/>
        </w:trPr>
        <w:tc>
          <w:tcPr>
            <w:tcW w:w="45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 xml:space="preserve">Total Banking Business Network </w:t>
            </w:r>
            <w:r>
              <w:rPr>
                <w:rFonts w:ascii="Arial" w:cs="Arial" w:eastAsia="Arial" w:hAnsi="Arial"/>
                <w:sz w:val="28"/>
                <w:szCs w:val="28"/>
                <w:b w:val="1"/>
                <w:bCs w:val="1"/>
                <w:color w:val="auto"/>
                <w:vertAlign w:val="superscript"/>
              </w:rPr>
              <w:t>(3)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9,318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9,624</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9,807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489</w:t>
            </w:r>
          </w:p>
        </w:tc>
      </w:tr>
      <w:tr>
        <w:trPr>
          <w:trHeight w:val="20"/>
        </w:trPr>
        <w:tc>
          <w:tcPr>
            <w:tcW w:w="4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8" w:lineRule="auto"/>
        <w:tabs>
          <w:tab w:leader="none" w:pos="2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3Q17, 2Q17 and 3Q17 were 38, 40 and 39 respectively.</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Figures differ from the previously reported because they do not include Agentes Billetera BCP, which are not physical points of contact.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ASB not included.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Mibanco and BCP Bolivia maintained 9,807 points of contact at the end of 3Q17, which represents an increase of 183 points QoQ.</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BCP posted a total of 8,953 points of contact at the end of 3Q17, which represented an increase of 141 points QoQ. The aforementioned was due primarily to an increase in Agentes BCP (+156 QoQ). This growth was attributable to the commercial strategy to grow this channel’s points of contact.</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Mibanco increased its number of branches by 4 points QoQ. It is important to note that Mibanco has an agreement with Banco de la Nacion that allows it to use the latter’s offices throughout the country to reduce operating costs. At the end of 3Q17, these offices represented 12% of the total (39 branches).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Bolivia increased its point of contact QoQ by 38 in 3Q17. This was mainly attributable to growth in the number of Agentes BCP, which was in line with the bank’s strategy to increase the number of Agentes BCP to 200 at the end of 2017. This goal was achieved this quarter.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total number of BCP’s points of contact increased 356 units following an increase in Agentes BCP (+358), which was in line with the strategy to increase banking penetration and promote migration to cost-efficient channels. In line with this strategy, BCP reduced its number of branches by 7 YoY. BCP Bolivia increased its points of contact (+123 YoY), which was mainly attributable to growth in the number of agents. Mibanco increased its total number of branches (+10 YoY) due to business expansion. .</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20" w:type="dxa"/>
            <w:vAlign w:val="bottom"/>
            <w:gridSpan w:val="7"/>
          </w:tcPr>
          <w:p>
            <w:pPr>
              <w:ind w:left="860"/>
              <w:spacing w:after="0"/>
              <w:rPr>
                <w:sz w:val="20"/>
                <w:szCs w:val="20"/>
                <w:color w:val="auto"/>
              </w:rPr>
            </w:pPr>
            <w:r>
              <w:rPr>
                <w:rFonts w:ascii="Arial" w:cs="Arial" w:eastAsia="Arial" w:hAnsi="Arial"/>
                <w:sz w:val="18"/>
                <w:szCs w:val="18"/>
                <w:b w:val="1"/>
                <w:bCs w:val="1"/>
                <w:color w:val="auto"/>
              </w:rPr>
              <w:t>Points of Contact – BCP Stand-alone</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400"/>
              <w:spacing w:after="0"/>
              <w:rPr>
                <w:sz w:val="20"/>
                <w:szCs w:val="20"/>
                <w:color w:val="auto"/>
              </w:rPr>
            </w:pPr>
            <w:r>
              <w:rPr>
                <w:rFonts w:ascii="Arial" w:cs="Arial" w:eastAsia="Arial" w:hAnsi="Arial"/>
                <w:sz w:val="18"/>
                <w:szCs w:val="18"/>
                <w:b w:val="1"/>
                <w:bCs w:val="1"/>
                <w:color w:val="auto"/>
              </w:rPr>
              <w:t>% change (units)</w:t>
            </w: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 16</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Jun 17</w:t>
            </w: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 17</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2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1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Provinces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1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Lima</w:t>
            </w:r>
          </w:p>
        </w:tc>
        <w:tc>
          <w:tcPr>
            <w:tcW w:w="1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10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2,344</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2,332</w:t>
            </w:r>
          </w:p>
        </w:tc>
        <w:tc>
          <w:tcPr>
            <w:tcW w:w="2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Provinces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2,749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10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5,815</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This quarter, the points of contact at BCP Stand-alone increased in Lima and in the Provinces by 115 and 26 points respectively.</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YoY analysis shows significant growth in Agentes BCP in Lima (+211) and in the Provinces (+147). The expansion plan is based on the historical behavior of each territory to achieve the goal for total growth. In Provinces, there was a drop YoY in the number of ATMs (-35) and offices (-8).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0" w:type="dxa"/>
            <w:vAlign w:val="bottom"/>
          </w:tcPr>
          <w:p>
            <w:pPr>
              <w:spacing w:after="0"/>
              <w:rPr>
                <w:sz w:val="15"/>
                <w:szCs w:val="15"/>
                <w:color w:val="auto"/>
              </w:rPr>
            </w:pPr>
          </w:p>
        </w:tc>
        <w:tc>
          <w:tcPr>
            <w:tcW w:w="2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6"/>
              </w:rPr>
              <w:t xml:space="preserve">N° of Transactions per channel </w:t>
            </w:r>
            <w:r>
              <w:rPr>
                <w:rFonts w:ascii="Arial" w:cs="Arial" w:eastAsia="Arial" w:hAnsi="Arial"/>
                <w:sz w:val="23"/>
                <w:szCs w:val="23"/>
                <w:b w:val="1"/>
                <w:bCs w:val="1"/>
                <w:color w:val="auto"/>
                <w:w w:val="96"/>
                <w:vertAlign w:val="superscript"/>
              </w:rPr>
              <w:t>(1)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4"/>
              </w:rPr>
              <w:t>Monthly average in each quarter</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2320" w:type="dxa"/>
            <w:vAlign w:val="bottom"/>
            <w:gridSpan w:val="3"/>
            <w:vMerge w:val="continue"/>
          </w:tcPr>
          <w:p>
            <w:pPr>
              <w:spacing w:after="0"/>
              <w:rPr>
                <w:sz w:val="16"/>
                <w:szCs w:val="16"/>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3Q16</w:t>
            </w: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2Q17</w:t>
            </w: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3Q17</w:t>
            </w: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24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20"/>
        </w:trPr>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7"/>
              </w:rPr>
              <w:t>Traditional</w:t>
            </w:r>
          </w:p>
        </w:tc>
        <w:tc>
          <w:tcPr>
            <w:tcW w:w="80" w:type="dxa"/>
            <w:vAlign w:val="bottom"/>
            <w:vMerge w:val="restart"/>
            <w:shd w:val="clear" w:color="auto" w:fill="CCEEFF"/>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6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2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Teller</w:t>
            </w:r>
          </w:p>
        </w:tc>
        <w:tc>
          <w:tcPr>
            <w:tcW w:w="10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8,688,385</w:t>
            </w:r>
          </w:p>
        </w:tc>
        <w:tc>
          <w:tcPr>
            <w:tcW w:w="22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8.2%</w:t>
            </w:r>
          </w:p>
        </w:tc>
        <w:tc>
          <w:tcPr>
            <w:tcW w:w="100" w:type="dxa"/>
            <w:vAlign w:val="bottom"/>
            <w:vMerge w:val="continue"/>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8,032,558</w:t>
            </w:r>
          </w:p>
        </w:tc>
        <w:tc>
          <w:tcPr>
            <w:tcW w:w="20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7.0%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8,341,552</w:t>
            </w:r>
          </w:p>
        </w:tc>
        <w:tc>
          <w:tcPr>
            <w:tcW w:w="20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6.8%</w:t>
            </w:r>
          </w:p>
        </w:tc>
        <w:tc>
          <w:tcPr>
            <w:tcW w:w="10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channels</w:t>
            </w:r>
          </w:p>
        </w:tc>
        <w:tc>
          <w:tcPr>
            <w:tcW w:w="23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Telephone banking</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3,681,870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3,444,444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4,255,311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23.5%</w:t>
            </w:r>
          </w:p>
        </w:tc>
        <w:tc>
          <w:tcPr>
            <w:tcW w:w="2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Cost-efficient</w:t>
            </w:r>
          </w:p>
        </w:tc>
        <w:tc>
          <w:tcPr>
            <w:tcW w:w="232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Agentes BCP</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15,671,673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11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16,756,666</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14.7%</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18,129,821</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14.7%</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9"/>
        </w:trPr>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channels</w:t>
            </w:r>
          </w:p>
        </w:tc>
        <w:tc>
          <w:tcPr>
            <w:tcW w:w="23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ATMs</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20,147,416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20,322,610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21,552,167</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ind w:left="80"/>
              <w:spacing w:after="0" w:line="130" w:lineRule="exact"/>
              <w:rPr>
                <w:sz w:val="20"/>
                <w:szCs w:val="20"/>
                <w:color w:val="auto"/>
              </w:rPr>
            </w:pPr>
            <w:r>
              <w:rPr>
                <w:rFonts w:ascii="Arial" w:cs="Arial" w:eastAsia="Arial" w:hAnsi="Arial"/>
                <w:sz w:val="14"/>
                <w:szCs w:val="14"/>
                <w:color w:val="auto"/>
              </w:rPr>
              <w:t>Mobile banking</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14,181,148</w:t>
            </w:r>
          </w:p>
        </w:tc>
        <w:tc>
          <w:tcPr>
            <w:tcW w:w="9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13.4%</w:t>
            </w:r>
          </w:p>
        </w:tc>
        <w:tc>
          <w:tcPr>
            <w:tcW w:w="1140" w:type="dxa"/>
            <w:vAlign w:val="bottom"/>
            <w:gridSpan w:val="3"/>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22,820,770</w:t>
            </w:r>
          </w:p>
        </w:tc>
        <w:tc>
          <w:tcPr>
            <w:tcW w:w="104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20.0%</w:t>
            </w:r>
          </w:p>
        </w:tc>
        <w:tc>
          <w:tcPr>
            <w:tcW w:w="10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26,914,282</w:t>
            </w:r>
          </w:p>
        </w:tc>
        <w:tc>
          <w:tcPr>
            <w:tcW w:w="104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21.9%</w:t>
            </w:r>
          </w:p>
        </w:tc>
        <w:tc>
          <w:tcPr>
            <w:tcW w:w="1020" w:type="dxa"/>
            <w:vAlign w:val="bottom"/>
            <w:gridSpan w:val="2"/>
            <w:shd w:val="clear" w:color="auto" w:fill="CCEEFF"/>
          </w:tcPr>
          <w:p>
            <w:pPr>
              <w:jc w:val="right"/>
              <w:ind w:right="68"/>
              <w:spacing w:after="0" w:line="130" w:lineRule="exact"/>
              <w:rPr>
                <w:sz w:val="20"/>
                <w:szCs w:val="20"/>
                <w:color w:val="auto"/>
              </w:rPr>
            </w:pPr>
            <w:r>
              <w:rPr>
                <w:rFonts w:ascii="Arial" w:cs="Arial" w:eastAsia="Arial" w:hAnsi="Arial"/>
                <w:sz w:val="14"/>
                <w:szCs w:val="14"/>
                <w:color w:val="auto"/>
              </w:rPr>
              <w:t>17.9%</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67"/>
        </w:trPr>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Digital channels</w:t>
            </w:r>
          </w:p>
        </w:tc>
        <w:tc>
          <w:tcPr>
            <w:tcW w:w="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Internet banking Via BCP</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20,323,907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19,063,071</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18,968,107</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-0.5%</w:t>
            </w:r>
          </w:p>
        </w:tc>
        <w:tc>
          <w:tcPr>
            <w:tcW w:w="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Balance inquiries </w:t>
            </w:r>
            <w:r>
              <w:rPr>
                <w:rFonts w:ascii="Arial" w:cs="Arial" w:eastAsia="Arial" w:hAnsi="Arial"/>
                <w:sz w:val="21"/>
                <w:szCs w:val="21"/>
                <w:color w:val="auto"/>
                <w:vertAlign w:val="superscript"/>
              </w:rPr>
              <w:t>(2)(3)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2,233,101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2,252,493</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1,891,849</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-16.0%</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2"/>
          </w:tcPr>
          <w:p>
            <w:pPr>
              <w:spacing w:after="0" w:line="130" w:lineRule="exact"/>
              <w:rPr>
                <w:sz w:val="20"/>
                <w:szCs w:val="20"/>
                <w:color w:val="auto"/>
              </w:rPr>
            </w:pPr>
            <w:r>
              <w:rPr>
                <w:rFonts w:ascii="Arial" w:cs="Arial" w:eastAsia="Arial" w:hAnsi="Arial"/>
                <w:sz w:val="14"/>
                <w:szCs w:val="14"/>
                <w:color w:val="auto"/>
              </w:rPr>
              <w:t>Telecredito</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9,379,467</w:t>
            </w:r>
          </w:p>
        </w:tc>
        <w:tc>
          <w:tcPr>
            <w:tcW w:w="9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8.9%</w:t>
            </w:r>
          </w:p>
        </w:tc>
        <w:tc>
          <w:tcPr>
            <w:tcW w:w="114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9,642,090</w:t>
            </w:r>
          </w:p>
        </w:tc>
        <w:tc>
          <w:tcPr>
            <w:tcW w:w="104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8.4%</w:t>
            </w:r>
          </w:p>
        </w:tc>
        <w:tc>
          <w:tcPr>
            <w:tcW w:w="10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10,190,057</w:t>
            </w:r>
          </w:p>
        </w:tc>
        <w:tc>
          <w:tcPr>
            <w:tcW w:w="104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8.3%</w:t>
            </w:r>
          </w:p>
        </w:tc>
        <w:tc>
          <w:tcPr>
            <w:tcW w:w="1020" w:type="dxa"/>
            <w:vAlign w:val="bottom"/>
            <w:gridSpan w:val="2"/>
          </w:tcPr>
          <w:p>
            <w:pPr>
              <w:jc w:val="right"/>
              <w:ind w:right="68"/>
              <w:spacing w:after="0" w:line="130" w:lineRule="exact"/>
              <w:rPr>
                <w:sz w:val="20"/>
                <w:szCs w:val="20"/>
                <w:color w:val="auto"/>
              </w:rPr>
            </w:pPr>
            <w:r>
              <w:rPr>
                <w:rFonts w:ascii="Arial" w:cs="Arial" w:eastAsia="Arial" w:hAnsi="Arial"/>
                <w:sz w:val="14"/>
                <w:szCs w:val="14"/>
                <w:color w:val="auto"/>
              </w:rPr>
              <w:t>5.7%</w:t>
            </w:r>
          </w:p>
        </w:tc>
        <w:tc>
          <w:tcPr>
            <w:tcW w:w="220" w:type="dxa"/>
            <w:vAlign w:val="bottom"/>
          </w:tcPr>
          <w:p>
            <w:pPr>
              <w:spacing w:after="0"/>
              <w:rPr>
                <w:sz w:val="11"/>
                <w:szCs w:val="11"/>
                <w:color w:val="auto"/>
              </w:rPr>
            </w:pP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5"/>
              </w:rPr>
              <w:t>Others</w:t>
            </w:r>
          </w:p>
        </w:tc>
        <w:tc>
          <w:tcPr>
            <w:tcW w:w="23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Direct debit</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656,972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650,734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609,961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0.5%</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3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Points of sale P.O.S.</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10,331,998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11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11,161,763</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12,024,620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81"/>
        </w:trPr>
        <w:tc>
          <w:tcPr>
            <w:tcW w:w="960" w:type="dxa"/>
            <w:vAlign w:val="bottom"/>
          </w:tcPr>
          <w:p>
            <w:pPr>
              <w:spacing w:after="0"/>
              <w:rPr>
                <w:sz w:val="15"/>
                <w:szCs w:val="15"/>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Other ATMs network</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204,019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140" w:type="dxa"/>
            <w:vAlign w:val="bottom"/>
            <w:gridSpan w:val="3"/>
          </w:tcPr>
          <w:p>
            <w:pPr>
              <w:jc w:val="right"/>
              <w:ind w:right="200"/>
              <w:spacing w:after="0"/>
              <w:rPr>
                <w:sz w:val="20"/>
                <w:szCs w:val="20"/>
                <w:color w:val="auto"/>
              </w:rPr>
            </w:pPr>
            <w:r>
              <w:rPr>
                <w:rFonts w:ascii="Arial" w:cs="Arial" w:eastAsia="Arial" w:hAnsi="Arial"/>
                <w:sz w:val="14"/>
                <w:szCs w:val="14"/>
                <w:color w:val="auto"/>
              </w:rPr>
              <w:t>202,417</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207,322</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2"/>
        </w:trPr>
        <w:tc>
          <w:tcPr>
            <w:tcW w:w="96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CCEEFF"/>
            </w:tcBorders>
            <w:gridSpan w:val="3"/>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Total transactions</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105,499,955</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114,349,615</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123,085,048</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7.6</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Figures include monetary and non-monetary transactions.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Figures for September 2017 estimated.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Figures from 3Q16 and 2Q17 differ from previously reported because they included estimated figures.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monthly average transactions level increased QoQ. This was primarily due to growth in the volume of transactions in digital and cost-efficient channels such as Mobile Banking, Agentes BCP and ATMs. Mobile Banking continued to notably increase its share of total transactions to reach a level of 21.9% in 3Q17. A significant portion of quarterly growth in transactions was due to the increase in the number of Agentes BCP (+156 QoQ) and to an increase in the demand directed through these channels. The quarterly increase in transactions at ATMs was due to a seasonal effect, mainly in the month of July (Independence Day).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which excludes the seasonal effect, shows an increase in the monthly transaction average (+16.7%). This was primarily due to an increase in the transactions volume in cost-efficient channels such as:</w:t>
      </w:r>
    </w:p>
    <w:p>
      <w:pPr>
        <w:spacing w:after="0" w:line="170" w:lineRule="exact"/>
        <w:rPr>
          <w:sz w:val="20"/>
          <w:szCs w:val="20"/>
          <w:color w:val="auto"/>
        </w:rPr>
      </w:pPr>
    </w:p>
    <w:p>
      <w:pPr>
        <w:jc w:val="both"/>
        <w:ind w:left="880" w:hanging="494"/>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Mobile Banking (+89.8% YoY), which continued to increase its share of total transactions through updates in monetary transactions such as opening time deposits; approving transactions with a digital fingerprint through Android; and loan payments. The use of these updates was promoted through e-mails to potential clients, who were made aware of the new transactions available via the app. All of this contributed to significantly increasing transactions.</w:t>
      </w:r>
    </w:p>
    <w:p>
      <w:pPr>
        <w:spacing w:after="0" w:line="186"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Agentes BCP (+15.7% YoY), where the large increase in the transactions volume (2,458,148) was mainly attributable to issuances and downloads of wire transfers (particularly the wire transfer campaign for the El Nino Phenomenon). Other transactions through Agentes BCP maintained average growth.</w:t>
      </w:r>
    </w:p>
    <w:p>
      <w:pPr>
        <w:spacing w:after="0" w:line="181"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ATMs (+7.0% YoY), where the increase was attributable to annual growth in the transactions volume. A significant portion of this expansion was due to availability of new functions for deposits, balance inquiries, and other kinds of non-monetary transactions.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Some channels posted a decrease in their transactions level YoY: Internet Banking VíaBCP (-6.7%) and Tellers (-4.0% YoY), which was attributable to migration to cost-efficient channels.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Transformation Strategy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154940</wp:posOffset>
            </wp:positionV>
            <wp:extent cx="5145405" cy="2058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0" w:hanging="25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including Telecredito, Direct debit, POS and Other ATMs network</w:t>
      </w:r>
    </w:p>
    <w:p>
      <w:pPr>
        <w:spacing w:after="0" w:line="23" w:lineRule="exact"/>
        <w:rPr>
          <w:rFonts w:ascii="Arial" w:cs="Arial" w:eastAsia="Arial" w:hAnsi="Arial"/>
          <w:sz w:val="18"/>
          <w:szCs w:val="18"/>
          <w:color w:val="auto"/>
        </w:rPr>
      </w:pPr>
    </w:p>
    <w:p>
      <w:pPr>
        <w:ind w:left="900" w:hanging="25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Includes: Internet banking Via BCP, Mobile banking and Balance inquiries</w:t>
      </w:r>
    </w:p>
    <w:p>
      <w:pPr>
        <w:spacing w:after="0" w:line="9" w:lineRule="exact"/>
        <w:rPr>
          <w:rFonts w:ascii="Arial" w:cs="Arial" w:eastAsia="Arial" w:hAnsi="Arial"/>
          <w:sz w:val="18"/>
          <w:szCs w:val="18"/>
          <w:color w:val="auto"/>
        </w:rPr>
      </w:pPr>
    </w:p>
    <w:p>
      <w:pPr>
        <w:ind w:left="900" w:hanging="25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Numbers as of September 2017</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important to note that growth in the future of banking in the region will be driven primarily through digital channels. As such, Credicorp’s businesses will continue to increase their strategic position in these cost-efficient channels. This is in line with Credicorp’s Transformation Strategy and is reflected in the following: Mobile Banking, Internet Banking and Balance Inquiries posted the highest growth in total transactions.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Economic Perspectives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w w:val="85"/>
              </w:rPr>
              <w:t>10.1</w:t>
            </w:r>
          </w:p>
        </w:tc>
        <w:tc>
          <w:tcPr>
            <w:tcW w:w="4240" w:type="dxa"/>
            <w:vAlign w:val="bottom"/>
            <w:gridSpan w:val="2"/>
          </w:tcPr>
          <w:p>
            <w:pPr>
              <w:ind w:left="340"/>
              <w:spacing w:after="0"/>
              <w:rPr>
                <w:sz w:val="20"/>
                <w:szCs w:val="20"/>
                <w:color w:val="auto"/>
              </w:rPr>
            </w:pPr>
            <w:r>
              <w:rPr>
                <w:rFonts w:ascii="Arial" w:cs="Arial" w:eastAsia="Arial" w:hAnsi="Arial"/>
                <w:sz w:val="18"/>
                <w:szCs w:val="18"/>
                <w:b w:val="1"/>
                <w:bCs w:val="1"/>
                <w:color w:val="auto"/>
              </w:rPr>
              <w:t>Peru Economic Forecasts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20" w:type="dxa"/>
            <w:vAlign w:val="bottom"/>
          </w:tcPr>
          <w:p>
            <w:pPr>
              <w:spacing w:after="0"/>
              <w:rPr>
                <w:sz w:val="24"/>
                <w:szCs w:val="24"/>
                <w:color w:val="auto"/>
              </w:rPr>
            </w:pPr>
          </w:p>
        </w:tc>
        <w:tc>
          <w:tcPr>
            <w:tcW w:w="4240" w:type="dxa"/>
            <w:vAlign w:val="bottom"/>
            <w:gridSpan w:val="2"/>
          </w:tcPr>
          <w:p>
            <w:pPr>
              <w:ind w:left="1740"/>
              <w:spacing w:after="0"/>
              <w:rPr>
                <w:sz w:val="20"/>
                <w:szCs w:val="20"/>
                <w:color w:val="auto"/>
              </w:rPr>
            </w:pPr>
            <w:r>
              <w:rPr>
                <w:rFonts w:ascii="Arial" w:cs="Arial" w:eastAsia="Arial" w:hAnsi="Arial"/>
                <w:sz w:val="18"/>
                <w:szCs w:val="18"/>
                <w:b w:val="1"/>
                <w:bCs w:val="1"/>
                <w:color w:val="auto"/>
              </w:rPr>
              <w:t>Peru</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203,058</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192,386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195,415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213,281</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224,770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Real GDP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Domestic demand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consumption (% change)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Private Consumption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Private Investment (% change)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Public Investment (% change)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Public Debt (as % GDP)</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0"/>
        </w:trPr>
        <w:tc>
          <w:tcPr>
            <w:tcW w:w="456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30"/>
                <w:szCs w:val="30"/>
                <w:color w:val="auto"/>
                <w:vertAlign w:val="superscript"/>
              </w:rPr>
              <w:t>(1)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line="269" w:lineRule="exact"/>
              <w:rPr>
                <w:sz w:val="20"/>
                <w:szCs w:val="20"/>
                <w:color w:val="auto"/>
              </w:rPr>
            </w:pPr>
            <w:r>
              <w:rPr>
                <w:rFonts w:ascii="Arial" w:cs="Arial" w:eastAsia="Arial" w:hAnsi="Arial"/>
                <w:sz w:val="18"/>
                <w:szCs w:val="18"/>
                <w:color w:val="auto"/>
              </w:rPr>
              <w:t>Inflation</w:t>
            </w:r>
            <w:r>
              <w:rPr>
                <w:rFonts w:ascii="Arial" w:cs="Arial" w:eastAsia="Arial" w:hAnsi="Arial"/>
                <w:sz w:val="30"/>
                <w:szCs w:val="30"/>
                <w:color w:val="auto"/>
                <w:vertAlign w:val="superscript"/>
              </w:rPr>
              <w:t>(2)</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3"/>
            <w:vMerge w:val="continue"/>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3"/>
          </w:tcPr>
          <w:p>
            <w:pPr>
              <w:spacing w:after="0"/>
              <w:rPr>
                <w:sz w:val="20"/>
                <w:szCs w:val="20"/>
                <w:color w:val="auto"/>
              </w:rPr>
            </w:pPr>
            <w:r>
              <w:rPr>
                <w:rFonts w:ascii="Arial" w:cs="Arial" w:eastAsia="Arial" w:hAnsi="Arial"/>
                <w:sz w:val="18"/>
                <w:szCs w:val="18"/>
                <w:color w:val="auto"/>
              </w:rPr>
              <w:t>Exchange rate, end of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Fiscal balance (% GDP)</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Exports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34,414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37,019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43,686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47,890</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Imports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41,042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37,385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35,132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37,872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41,517</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62,308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63,263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64,485</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w:t>
      </w:r>
      <w:r>
        <w:rPr>
          <w:rFonts w:ascii="Arial" w:cs="Arial" w:eastAsia="Arial" w:hAnsi="Arial"/>
          <w:sz w:val="18"/>
          <w:szCs w:val="18"/>
          <w:color w:val="auto"/>
        </w:rPr>
        <w:t>:</w:t>
      </w:r>
      <w:r>
        <w:rPr>
          <w:rFonts w:ascii="Arial" w:cs="Arial" w:eastAsia="Arial" w:hAnsi="Arial"/>
          <w:sz w:val="18"/>
          <w:szCs w:val="18"/>
          <w:i w:val="1"/>
          <w:iCs w:val="1"/>
          <w:color w:val="auto"/>
        </w:rPr>
        <w:t xml:space="preserve"> Preliminar estimates by BCP Economic Research as of October, 2017; INEI, BCRP, and SBS.</w:t>
      </w:r>
    </w:p>
    <w:p>
      <w:pPr>
        <w:spacing w:after="0" w:line="23" w:lineRule="exact"/>
        <w:rPr>
          <w:sz w:val="20"/>
          <w:szCs w:val="20"/>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Multiple Banking, Current Exchange Rate, 2017 as of September 2017.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Inflation target: 2%, +/- 1%.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Economic Activity: </w:t>
      </w:r>
      <w:r>
        <w:rPr>
          <w:rFonts w:ascii="Arial" w:cs="Arial" w:eastAsia="Arial" w:hAnsi="Arial"/>
          <w:sz w:val="18"/>
          <w:szCs w:val="18"/>
          <w:color w:val="auto"/>
        </w:rPr>
        <w:t>the economic data already exhibits a recovery in the non-primary sectors and private investment:</w:t>
      </w:r>
    </w:p>
    <w:p>
      <w:pPr>
        <w:spacing w:after="0" w:line="229" w:lineRule="exact"/>
        <w:rPr>
          <w:sz w:val="20"/>
          <w:szCs w:val="20"/>
          <w:color w:val="auto"/>
        </w:rPr>
      </w:pPr>
    </w:p>
    <w:p>
      <w:pPr>
        <w:ind w:left="1140" w:hanging="49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3Q17 private investment is expected to have grown around 4% YoY after 14 consecutive quarters of contraction.</w:t>
      </w:r>
    </w:p>
    <w:p>
      <w:pPr>
        <w:spacing w:after="0" w:line="225" w:lineRule="exact"/>
        <w:rPr>
          <w:rFonts w:ascii="Arial" w:cs="Arial" w:eastAsia="Arial" w:hAnsi="Arial"/>
          <w:sz w:val="18"/>
          <w:szCs w:val="18"/>
          <w:color w:val="auto"/>
        </w:rPr>
      </w:pPr>
    </w:p>
    <w:p>
      <w:pPr>
        <w:ind w:left="1140" w:hanging="497"/>
        <w:spacing w:after="0" w:line="277" w:lineRule="auto"/>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Public investment by the general government grew 20.6% YoY in September 2017 and 10.5% YoY in real terms in 3Q17 (the first increase in 5 quarters).</w:t>
      </w:r>
    </w:p>
    <w:p>
      <w:pPr>
        <w:spacing w:after="0" w:line="170" w:lineRule="exact"/>
        <w:rPr>
          <w:rFonts w:ascii="Arial" w:cs="Arial" w:eastAsia="Arial" w:hAnsi="Arial"/>
          <w:sz w:val="18"/>
          <w:szCs w:val="18"/>
          <w:color w:val="auto"/>
        </w:rPr>
      </w:pPr>
    </w:p>
    <w:p>
      <w:pPr>
        <w:ind w:left="1140" w:hanging="497"/>
        <w:spacing w:after="0"/>
        <w:tabs>
          <w:tab w:leader="none" w:pos="11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Aug-17 mining investment increased 15% YoY (July 2017: 28.1%) while capital import goods expanded 8.1% YoY (July 2017: 22.1%).</w:t>
      </w:r>
    </w:p>
    <w:p>
      <w:pPr>
        <w:spacing w:after="0" w:line="236" w:lineRule="exact"/>
        <w:rPr>
          <w:rFonts w:ascii="Arial" w:cs="Arial" w:eastAsia="Arial" w:hAnsi="Arial"/>
          <w:sz w:val="17"/>
          <w:szCs w:val="17"/>
          <w:color w:val="auto"/>
        </w:rPr>
      </w:pPr>
    </w:p>
    <w:p>
      <w:pPr>
        <w:ind w:left="1140" w:hanging="49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September 2017 the construction sector grew almost 9% YoY, the best print in 49 months.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current economic context, in particular the external environment, is more favorable compared to 3 months ago:</w:t>
      </w:r>
    </w:p>
    <w:p>
      <w:pPr>
        <w:spacing w:after="0" w:line="225" w:lineRule="exact"/>
        <w:rPr>
          <w:sz w:val="20"/>
          <w:szCs w:val="20"/>
          <w:color w:val="auto"/>
        </w:rPr>
      </w:pPr>
    </w:p>
    <w:p>
      <w:pPr>
        <w:ind w:left="1140" w:hanging="497"/>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Copper’s price currently exceeds US$/lb. 3.10, which implies an increase of almost 50% YoY.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1140" w:hanging="497"/>
        <w:spacing w:after="0" w:line="277"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Growth perspectives for our main commercial partners continue to improve (the IMF recently made upwards revisions to GDP growth in China, USA, the Eurozone and Latam).</w:t>
      </w:r>
    </w:p>
    <w:p>
      <w:pPr>
        <w:spacing w:after="0" w:line="170" w:lineRule="exact"/>
        <w:rPr>
          <w:rFonts w:ascii="Arial" w:cs="Arial" w:eastAsia="Arial" w:hAnsi="Arial"/>
          <w:sz w:val="18"/>
          <w:szCs w:val="18"/>
          <w:color w:val="auto"/>
        </w:rPr>
      </w:pPr>
    </w:p>
    <w:p>
      <w:pPr>
        <w:ind w:left="1140" w:hanging="497"/>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conditions remain favorable (increase in external rates remain moderate).</w:t>
      </w:r>
    </w:p>
    <w:p>
      <w:pPr>
        <w:spacing w:after="0" w:line="225" w:lineRule="exact"/>
        <w:rPr>
          <w:rFonts w:ascii="Arial" w:cs="Arial" w:eastAsia="Arial" w:hAnsi="Arial"/>
          <w:sz w:val="18"/>
          <w:szCs w:val="18"/>
          <w:color w:val="auto"/>
        </w:rPr>
      </w:pPr>
    </w:p>
    <w:p>
      <w:pPr>
        <w:ind w:left="1140" w:hanging="497"/>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Non-primary economic activity and private investment already show clear signals of recovery.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GDP can grow around 4% in 2018 if public investment advances at two-digit rates and the international price of copper remains around its current levels. Risks could even be upside-tilted if major mining investment advances (Quellaveco, Michiquillay, etc.). In contrast, downside risks emerge if under-execution occurs during the El Niño reconstruction.</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in 2017 and 2018 inflation will remain within the target range (2.0% +/- 1pp.) in line with the recovery of private spending after the supply-side</w:t>
      </w:r>
      <w:r>
        <w:rPr>
          <w:rFonts w:ascii="Arial" w:cs="Arial" w:eastAsia="Arial" w:hAnsi="Arial"/>
          <w:sz w:val="18"/>
          <w:szCs w:val="18"/>
          <w:b w:val="1"/>
          <w:bCs w:val="1"/>
          <w:color w:val="auto"/>
        </w:rPr>
        <w:t xml:space="preserve"> </w:t>
      </w:r>
      <w:r>
        <w:rPr>
          <w:rFonts w:ascii="Arial" w:cs="Arial" w:eastAsia="Arial" w:hAnsi="Arial"/>
          <w:sz w:val="18"/>
          <w:szCs w:val="18"/>
          <w:color w:val="auto"/>
        </w:rPr>
        <w:t>shock of El Niño dissipates.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given that the monetary policy rate has dropped from 4.25% to 3.50% so far this year, we believe the Central Bank will use a more</w:t>
      </w:r>
      <w:r>
        <w:rPr>
          <w:rFonts w:ascii="Arial" w:cs="Arial" w:eastAsia="Arial" w:hAnsi="Arial"/>
          <w:sz w:val="18"/>
          <w:szCs w:val="18"/>
          <w:b w:val="1"/>
          <w:bCs w:val="1"/>
          <w:color w:val="auto"/>
        </w:rPr>
        <w:t xml:space="preserve"> </w:t>
      </w:r>
      <w:r>
        <w:rPr>
          <w:rFonts w:ascii="Arial" w:cs="Arial" w:eastAsia="Arial" w:hAnsi="Arial"/>
          <w:sz w:val="18"/>
          <w:szCs w:val="18"/>
          <w:color w:val="auto"/>
        </w:rPr>
        <w:t>neutral tone regarding its monetary policy stance in upcoming meetings.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copper’s price will bolster sound external accounts and renew appreciation pressures on the PEN. However, the strengthening of PEN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capped by the monetary policy normalization in USA. We expect the exchange rate at the end of 2017 and 2018 will be around US$PEN 3.25 following considerable intervention by the Central Bank.</w:t>
      </w:r>
    </w:p>
    <w:p>
      <w:pPr>
        <w:spacing w:after="0" w:line="17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Main Economic Variables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154940</wp:posOffset>
            </wp:positionV>
            <wp:extent cx="4073525" cy="15176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73525"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Source: INEI</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2Q17 GDP expanded 2.4% YoY boosted by fishing and primary resource manufacturing (they explained almost 50% of the quarter’s growth). In parallel, non-primary sectors (in line with domestic demand) grew only 1.3% YoY. In 1H17 GDP grew 2.3% YoY, but domestic demand fell 0.1% YoY.</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3Q17 our estimates suggest GDP grew around 2.4% YoY. Primary sectors decelerated compared to 2Q17 (fishing and primary resource manufacturing registered a negative contribution to growth). In contrast, non-primary sectors accelerated and grew 2.7% YoY. The Construction sector grew 5.9% YoY in response to higher public investment of the General Government which grew 10.5% YoY in real terms (the first increase in 5 quarters). Moreover, private investment is expected to have grown around 4% YoY, leaving 14 consecutive quarters of falling figures behind.</w:t>
      </w:r>
    </w:p>
    <w:p>
      <w:pPr>
        <w:spacing w:after="0" w:line="388"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154940</wp:posOffset>
            </wp:positionV>
            <wp:extent cx="3987800" cy="17240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8780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920"/>
        <w:spacing w:after="0"/>
        <w:rPr>
          <w:sz w:val="20"/>
          <w:szCs w:val="20"/>
          <w:color w:val="auto"/>
        </w:rPr>
      </w:pPr>
      <w:r>
        <w:rPr>
          <w:rFonts w:ascii="Arial" w:cs="Arial" w:eastAsia="Arial" w:hAnsi="Arial"/>
          <w:sz w:val="18"/>
          <w:szCs w:val="18"/>
          <w:i w:val="1"/>
          <w:iCs w:val="1"/>
          <w:color w:val="auto"/>
        </w:rPr>
        <w:t>Source: INEI, BCRP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3Q17, annual inflation stood at 2.9% YoY, within the Central Bank’s target range (2.0% +/- 1pp.). The acceleration in 2Q17 was due to specific price increases in products such as lemon and residential water tariffs. Core inflation closed 3Q17 at 2.5%, situating within the target range for 15 consecutive months.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Central Bank lowered its monetary policy by 25bps at its monetary policy meetings in May, July and September of this year (from 4.25% to 3.50%) in a context of weak domestic demand and given that inflation expectations for the next 12 months (2.81%) are within the target range.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154940</wp:posOffset>
            </wp:positionV>
            <wp:extent cx="3756025" cy="19983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75602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Source: Central Bank</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*BCP estimates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12-months-rolled fiscal deficit closed 3Q17 at 2.9% of GDP, 0.1 percentage points below the ceiling proposed by the government for this year (3.0% of GDP). Fiscal revenues at the General Government level decreased 0.3% YoY in real terms (2Q17: -4.8%) and represented 17.9% of GDP. This level represented a historical minimum for the last 14 years. Public investment by the General Government grew 10.5% YoY in 3Q17 in real terms, the first increase in 5 quarters.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2017 12-months-rolling trade balance registered a surplus of US$ 5,030 million and stood to hit a maximum for the past 55 months. This improvement is mainly explained by an increase in exports (Jan/Aug-17: +23.5% YoY). It should be noted that between Jan/Aug-17, the terms of trade increased 7.5% YoY. Moreover, in October, copper price’s exceeded US$/lb. 3.20, the highest level in almost 3 years. Imports increased 9.7% in the first 8 months YoY (capital import goods: -0.8% YoY).</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154940</wp:posOffset>
            </wp:positionV>
            <wp:extent cx="3533140" cy="19894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331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560"/>
        <w:spacing w:after="0"/>
        <w:rPr>
          <w:sz w:val="20"/>
          <w:szCs w:val="20"/>
          <w:color w:val="auto"/>
        </w:rPr>
      </w:pPr>
      <w:r>
        <w:rPr>
          <w:rFonts w:ascii="Arial" w:cs="Arial" w:eastAsia="Arial" w:hAnsi="Arial"/>
          <w:sz w:val="18"/>
          <w:szCs w:val="18"/>
          <w:i w:val="1"/>
          <w:iCs w:val="1"/>
          <w:color w:val="auto"/>
        </w:rPr>
        <w:t>Source: Bloomberg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exchange rate closed 3Q17 at US$PEN 3.266. This represents an increase of 0.4% compared to 2Q17 but remains 2.7% below the closing print of 2016 (3.356). Despite this closing print, during 3Q17 the exchange rate fluctuated between US$PEN 3.24-3.25 in a context of FX intervention by the Central Bank. In 3Q17, the Central Bank bought US$ 3,504.5 million in the FX market to accumulate US$ 5,098 million so far this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10.3 New Cabinet Will Ask For Legislative Powers</w:t>
      </w:r>
    </w:p>
    <w:p>
      <w:pPr>
        <w:spacing w:after="0" w:line="229" w:lineRule="exact"/>
        <w:rPr>
          <w:sz w:val="20"/>
          <w:szCs w:val="20"/>
          <w:color w:val="auto"/>
        </w:rPr>
      </w:pPr>
    </w:p>
    <w:p>
      <w:pPr>
        <w:ind w:left="880" w:hanging="49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September 15th 2017 the Ministerial Cabinet lead by Fernando Zavala was denied a confidence vote by Congress. This forced the Head of the Ministerial Council (MC) to resign.</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Mercedes Araoz, second vice-president of Peru and former Minister of Finance during Alan Garcia’s government (2009-2010), was assigned as the new Head of the MC.</w:t>
      </w:r>
    </w:p>
    <w:p>
      <w:pPr>
        <w:spacing w:after="0" w:line="170" w:lineRule="exact"/>
        <w:rPr>
          <w:rFonts w:ascii="Arial" w:cs="Arial" w:eastAsia="Arial" w:hAnsi="Arial"/>
          <w:sz w:val="18"/>
          <w:szCs w:val="18"/>
          <w:color w:val="auto"/>
        </w:rPr>
      </w:pPr>
    </w:p>
    <w:p>
      <w:pPr>
        <w:jc w:val="both"/>
        <w:ind w:left="880" w:hanging="494"/>
        <w:spacing w:after="0" w:line="264"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past October 12th 2017 the new Cabinet attended Congress and presented its general policy for the Government. In the presentation, the Head of the MC announced that she would ask for legislative powers. It should be noted that the Cabinet obtained a vote of confidence from the Government.</w:t>
      </w:r>
    </w:p>
    <w:p>
      <w:pPr>
        <w:spacing w:after="0" w:line="181"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terms of economic matters, the legislative powers aim to drive economic recovery and efforts to adopt international practices to adhere to the OCDE. The Head of the MC has noted that no changes to tax rates to combat evasion are being considered.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right"/>
        <w:ind w:right="10120" w:firstLine="8"/>
        <w:spacing w:after="0" w:line="447" w:lineRule="auto"/>
        <w:tabs>
          <w:tab w:leader="none" w:pos="50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Appendix 11.1  Credicorp</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 16</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 17</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 17</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3,896,236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4,471,422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4,557,709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23,601,925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25,588,969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22,822,994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27,498,161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30,060,391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27,380,703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4,609,582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4,686,995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5,010,358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94,319,220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93,670,216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95,142,268</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Current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91,691,633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90,921,169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92,268,197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Internal overdue loans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2,627,587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2,749,047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2,874,071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Less - allowance for loan losses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(4,084,178)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(4,323,480)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(4,419,769)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90,235,042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89,346,736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90,722,499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19,949,532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22,016,939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26,380,715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4,243,603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5,086,185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4,267,588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483,585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690,947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691,786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601,837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604,040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602,291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1,732,536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1,672,321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1,631,641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384,783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478,117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512,833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646,073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671,064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690,661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8,224,473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7,134,327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7,460,731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158,609,207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162,448,062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165,351,806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Non-interest bearing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23,684,449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24,051,059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24,506,234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bearing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65,025,163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67,988,073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68,387,681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b w:val="1"/>
                <w:bCs w:val="1"/>
                <w:color w:val="auto"/>
              </w:rPr>
              <w:t>Total deposits and obligations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88,709,612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92,039,132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92,893,915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10,798,751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8,989,728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8,107,103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29"/>
                <w:szCs w:val="29"/>
                <w:b w:val="1"/>
                <w:bCs w:val="1"/>
                <w:color w:val="auto"/>
                <w:vertAlign w:val="superscript"/>
              </w:rPr>
              <w:t>(3)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9,790,822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8,066,962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8,867,185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15,571,172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15,295,673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15,236,054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384,783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478,117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512,833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930,683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1,159,300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1,160,390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5,815,615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5,990,833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6,093,439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413,037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377,100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411,874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6,637,293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8,798,060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9,629,246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liabilities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139,051,768</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141,194,905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142,912,039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19,116,945</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20,802,017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21,964,556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1,318,993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Treasury stock</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(209,383)</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(208,952)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(208,968)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279,490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271,561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271,124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Reserves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13,524,557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15,865,972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15,883,350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1,595,592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1,568,865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1,496,389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Retained earnings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2,607,696</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1,985,578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3,203,668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Minority Interest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440,494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451,140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475,211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19,557,439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21,253,157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22,439,767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158,609,207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162,448,062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165,351,806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b w:val="1"/>
                <w:bCs w:val="1"/>
                <w:color w:val="auto"/>
              </w:rPr>
              <w:t>Contingent credits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64,061,232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61,671,010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65,810,312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18,279,836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17,590,872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18,363,023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Total unutilized credit lines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26,431,004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24,296,044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24,266,177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derivates (notional) and others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19,350,393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19,784,094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23,181,112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Mainly includes JV between Grupo Pacifico and Banmedica.</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ectPr>
          <w:pgSz w:w="11900" w:h="16838" w:orient="portrait"/>
          <w:cols w:equalWidth="0" w:num="1">
            <w:col w:w="11420"/>
          </w:cols>
          <w:pgMar w:left="240" w:top="688" w:right="239" w:bottom="0" w:gutter="0" w:footer="0" w:header="0"/>
        </w:sectPr>
      </w:pPr>
    </w:p>
    <w:bookmarkStart w:id="54" w:name="page55"/>
    <w:bookmarkEnd w:id="54"/>
    <w:p>
      <w:pPr>
        <w:ind w:left="1004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3"/>
          </w:tcPr>
          <w:p>
            <w:pPr>
              <w:ind w:left="68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3Q16</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2Q17</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3Q17</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QoQ</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YoY</w:t>
            </w:r>
          </w:p>
        </w:tc>
        <w:tc>
          <w:tcPr>
            <w:tcW w:w="1020" w:type="dxa"/>
            <w:vAlign w:val="bottom"/>
            <w:gridSpan w:val="3"/>
          </w:tcPr>
          <w:p>
            <w:pPr>
              <w:ind w:left="80"/>
              <w:spacing w:after="0" w:line="202" w:lineRule="exact"/>
              <w:rPr>
                <w:sz w:val="20"/>
                <w:szCs w:val="20"/>
                <w:color w:val="auto"/>
              </w:rPr>
            </w:pPr>
            <w:r>
              <w:rPr>
                <w:rFonts w:ascii="Arial" w:cs="Arial" w:eastAsia="Arial" w:hAnsi="Arial"/>
                <w:sz w:val="14"/>
                <w:szCs w:val="14"/>
                <w:b w:val="1"/>
                <w:bCs w:val="1"/>
                <w:color w:val="auto"/>
              </w:rPr>
              <w:t xml:space="preserve">Sep 16 </w:t>
            </w:r>
            <w:r>
              <w:rPr>
                <w:rFonts w:ascii="Arial" w:cs="Arial" w:eastAsia="Arial" w:hAnsi="Arial"/>
                <w:sz w:val="23"/>
                <w:szCs w:val="23"/>
                <w:b w:val="1"/>
                <w:bCs w:val="1"/>
                <w:color w:val="auto"/>
                <w:vertAlign w:val="superscript"/>
              </w:rPr>
              <w:t>(4)</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Sep 17</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Sep 17 / Sep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2,712,138</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2,715,901</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2,768,798</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7,958,185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8,224,478</w:t>
            </w:r>
          </w:p>
        </w:tc>
        <w:tc>
          <w:tcPr>
            <w:tcW w:w="120" w:type="dxa"/>
            <w:vAlign w:val="bottom"/>
          </w:tcPr>
          <w:p>
            <w:pPr>
              <w:spacing w:after="0"/>
              <w:rPr>
                <w:sz w:val="12"/>
                <w:szCs w:val="12"/>
                <w:color w:val="auto"/>
              </w:rPr>
            </w:pP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(715,986)</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(743,196)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(736,375)</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(2,119,929)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(2,203,263)</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1,996,152</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1,972,705</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2,032,423</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5,838,256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6,021,215</w:t>
            </w:r>
          </w:p>
        </w:tc>
        <w:tc>
          <w:tcPr>
            <w:tcW w:w="12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(389,086)</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(433,219)</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(378,202)</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-12.7%</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-2.8%</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(1,326,234)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(1,347,915)</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698,029</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717,190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711,632</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2,061,972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2,106,869</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on foreign exchange transactions </w:t>
            </w:r>
            <w:r>
              <w:rPr>
                <w:rFonts w:ascii="Arial" w:cs="Arial" w:eastAsia="Arial" w:hAnsi="Arial"/>
                <w:sz w:val="21"/>
                <w:szCs w:val="21"/>
                <w:color w:val="auto"/>
                <w:vertAlign w:val="superscript"/>
              </w:rPr>
              <w:t>(1)</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174,578</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160,256</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150,777</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-5.9%</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-13.6%</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504,744</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477,519</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102,866</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83,151</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346,122</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316.3%</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236.5%</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284,942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487,094</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associates </w:t>
            </w:r>
            <w:r>
              <w:rPr>
                <w:rFonts w:ascii="Arial" w:cs="Arial" w:eastAsia="Arial" w:hAnsi="Arial"/>
                <w:sz w:val="21"/>
                <w:szCs w:val="21"/>
                <w:color w:val="auto"/>
                <w:vertAlign w:val="superscript"/>
              </w:rPr>
              <w:t>(2)</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4,136</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5,974</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(528)</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-108.8%</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-112.8%</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8,564</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11,469</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Net gain on derivatives </w:t>
            </w:r>
            <w:r>
              <w:rPr>
                <w:rFonts w:ascii="Arial" w:cs="Arial" w:eastAsia="Arial" w:hAnsi="Arial"/>
                <w:sz w:val="21"/>
                <w:szCs w:val="21"/>
                <w:color w:val="auto"/>
                <w:vertAlign w:val="superscript"/>
              </w:rPr>
              <w:t>(3)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(36,730)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15,313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25,713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(27,923)</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95,367</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-441.5%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(1)</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3,293</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2,305</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4,028</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74.8%</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22.3%</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(42,253)</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15,403</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color w:val="auto"/>
              </w:rPr>
              <w:t>-136.5%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non financial income, net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53,172</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69,771</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44,733</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153,092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183,249</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999,344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1,053,960</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1,282,477</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21.7%</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28.3%</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2,943,138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3,376,970</w:t>
            </w:r>
          </w:p>
        </w:tc>
        <w:tc>
          <w:tcPr>
            <w:tcW w:w="12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earned premiums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471,207</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466,375</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473,457</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1,378,091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1,405,136</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60"/>
              <w:spacing w:after="0" w:line="149" w:lineRule="exact"/>
              <w:rPr>
                <w:sz w:val="20"/>
                <w:szCs w:val="20"/>
                <w:color w:val="auto"/>
              </w:rPr>
            </w:pPr>
            <w:r>
              <w:rPr>
                <w:rFonts w:ascii="Arial" w:cs="Arial" w:eastAsia="Arial" w:hAnsi="Arial"/>
                <w:sz w:val="14"/>
                <w:szCs w:val="14"/>
                <w:color w:val="auto"/>
              </w:rPr>
              <w:t>Net claims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(271,591)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(278,265)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(275,722)</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(801,329)</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(834,951)</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(62,916)</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(61,665)</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(74,776)</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(176,157)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(198,502)</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136,700</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126,445</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122,959</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-2.8%</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-10.1%</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400,605</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371,683</w:t>
            </w: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(747,396)</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(746,499)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(760,441)</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(2,218,780)</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(2,260,206)</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(526,613)</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(541,054)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(534,204)</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(1,493,951)</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(1,563,724)</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(115,129)</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(113,958)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(114,799)</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(340,809)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(344,644)</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(40,709)</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(51,676)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(35,693)</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-30.9%</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(135,205)</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(136,861)</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(1,429,847)</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(1,453,187)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(1,445,137)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-0.6%</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(4,188,745)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(4,305,435)</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1,313,263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1,266,704</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1,614,520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27.5%</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22.9%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3,667,020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4,116,518</w:t>
            </w: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(338,018)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(324,771)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(371,563)</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(974,754)</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(1,022,002)</w:t>
            </w:r>
          </w:p>
        </w:tc>
        <w:tc>
          <w:tcPr>
            <w:tcW w:w="11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975,245</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941,933</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1,242,957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32.0%</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2,692,266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3,094,516</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Non-controlling interest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25,451</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21,713</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24,656</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72,651</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66,420</w:t>
            </w:r>
          </w:p>
        </w:tc>
        <w:tc>
          <w:tcPr>
            <w:tcW w:w="11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949,794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920,220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1,218,301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32.4%</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28.3%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2,619,615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3,028,096</w:t>
            </w: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0" w:firstLine="8"/>
        <w:spacing w:after="0" w:line="258" w:lineRule="auto"/>
        <w:tabs>
          <w:tab w:leader="none" w:pos="2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the agreement between Grupo Pacifico and Banmedica.</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Since 1Q17, “Net gains on derivatives” will be reported as non-financial income rather than net interest income, as was the case in the past.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Sep 16</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 17</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 17</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25,534,363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27,623,675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25,402,782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22,900,963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24,920,828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23,291,176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2,462,366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2,542,490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2,085,811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156,591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3,766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2,795</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2,591,573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2,675,444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2,932,379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86,057,877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85,103,689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86,209,416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83,529,020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82,464,098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83,454,177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2,528,857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2,639,591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2,755,239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allowance for loan losses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(3,881,194)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(4,116,234)</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(4,193,824)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82,176,683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80,987,455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82,015,592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8,191,614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10,003,821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14,342,250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43.4%</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3,922,354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4,779,835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3,942,207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1,562,248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1,470,418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1,430,994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384,783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478,117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512,833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tcPr>
          <w:p>
            <w:pPr>
              <w:spacing w:after="0" w:line="256" w:lineRule="exact"/>
              <w:rPr>
                <w:sz w:val="20"/>
                <w:szCs w:val="20"/>
                <w:color w:val="auto"/>
              </w:rPr>
            </w:pPr>
            <w:r>
              <w:rPr>
                <w:rFonts w:ascii="Arial" w:cs="Arial" w:eastAsia="Arial" w:hAnsi="Arial"/>
                <w:sz w:val="18"/>
                <w:szCs w:val="18"/>
                <w:b w:val="1"/>
                <w:bCs w:val="1"/>
                <w:color w:val="auto"/>
              </w:rPr>
              <w:t>Other assets</w:t>
            </w:r>
            <w:r>
              <w:rPr>
                <w:rFonts w:ascii="Arial" w:cs="Arial" w:eastAsia="Arial" w:hAnsi="Arial"/>
                <w:sz w:val="29"/>
                <w:szCs w:val="29"/>
                <w:b w:val="1"/>
                <w:bCs w:val="1"/>
                <w:color w:val="auto"/>
                <w:vertAlign w:val="superscript"/>
              </w:rPr>
              <w:t>(1)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4,594,052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3,551,153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3,319,191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-6.5%</w:t>
            </w:r>
          </w:p>
        </w:tc>
        <w:tc>
          <w:tcPr>
            <w:tcW w:w="2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Total assets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128,957,670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131,569,918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133,898,228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NET SHAREHOLDERS' EQUITY</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76,142,826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80,169,363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81,675,702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24,432,718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24,761,053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26,282,548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24,154,989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24,467,895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24,975,134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20,785,447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23,721,680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23,620,907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6,611,956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7,039,767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6,609,242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157,716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178,968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187,871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10,798,751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8,989,728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8,107,103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8,781,396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8,512,365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9,302,864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14,068,175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14,244,088</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14,254,656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384,783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478,117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512,833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5,575,996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5,210,634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5,266,931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Total liabilities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115,751,927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117,604,295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119,120,089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13,062,382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13,825,373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14,632,576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7,639,962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7,639,962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3,666,632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3,666,632</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48,775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56,746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54,952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703,655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1,007,086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1,007,086</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2,173,630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1,454,947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2,263,944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143,361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140,250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145,563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13,205,743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13,965,623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14,778,139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128,957,670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131,569,918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133,898,228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Off-balance sheet</w:t>
            </w:r>
          </w:p>
        </w:tc>
        <w:tc>
          <w:tcPr>
            <w:tcW w:w="1020" w:type="dxa"/>
            <w:vAlign w:val="bottom"/>
          </w:tcPr>
          <w:p>
            <w:pPr>
              <w:jc w:val="right"/>
              <w:spacing w:after="0"/>
              <w:rPr>
                <w:sz w:val="20"/>
                <w:szCs w:val="20"/>
                <w:color w:val="auto"/>
              </w:rPr>
            </w:pPr>
            <w:r>
              <w:rPr>
                <w:rFonts w:ascii="Arial" w:cs="Arial" w:eastAsia="Arial" w:hAnsi="Arial"/>
                <w:sz w:val="18"/>
                <w:szCs w:val="18"/>
                <w:color w:val="auto"/>
              </w:rPr>
              <w:t>51,042,498</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49,765,645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53,694,069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545"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xml:space="preserve">3Q16 </w:t>
            </w:r>
            <w:r>
              <w:rPr>
                <w:rFonts w:ascii="Arial" w:cs="Arial" w:eastAsia="Arial" w:hAnsi="Arial"/>
                <w:sz w:val="23"/>
                <w:szCs w:val="23"/>
                <w:b w:val="1"/>
                <w:bCs w:val="1"/>
                <w:color w:val="auto"/>
                <w:vertAlign w:val="superscript"/>
              </w:rPr>
              <w:t>(1)</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YTD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2Q17</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3Q17</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 16</w:t>
            </w: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Sep 17</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Sep 17 / Sep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2,424,566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2,416,342</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2,448,857</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7,081,295</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7,282,598</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(645,550)</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(672,773)</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(659,316)</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(1,915,522)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(1,988,527)</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1,779,016</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1,743,569</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1,789,541</w:t>
            </w:r>
          </w:p>
        </w:tc>
        <w:tc>
          <w:tcPr>
            <w:tcW w:w="22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5,165,773</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5,294,071</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(380,462)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(418,322)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(349,597)</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-16.4%</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(1,280,973)</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(1,289,647)</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557,471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571,909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588,762</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1,639,055</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1,724,982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on foreign exchange transactions </w:t>
            </w:r>
            <w:r>
              <w:rPr>
                <w:rFonts w:ascii="Arial" w:cs="Arial" w:eastAsia="Arial" w:hAnsi="Arial"/>
                <w:sz w:val="21"/>
                <w:szCs w:val="21"/>
                <w:color w:val="auto"/>
                <w:vertAlign w:val="superscript"/>
              </w:rPr>
              <w:t>(2)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163,672</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149,556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152,473</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-6.8%</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481,100</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456,915</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23,172</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31,097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20,413</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34,339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63,155</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on derivatives </w:t>
            </w:r>
            <w:r>
              <w:rPr>
                <w:rFonts w:ascii="Arial" w:cs="Arial" w:eastAsia="Arial" w:hAnsi="Arial"/>
                <w:sz w:val="21"/>
                <w:szCs w:val="21"/>
                <w:color w:val="auto"/>
                <w:vertAlign w:val="superscript"/>
              </w:rPr>
              <w:t>(3)</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(11,700)</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15,946</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17,092</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7.2%</w:t>
            </w:r>
          </w:p>
        </w:tc>
        <w:tc>
          <w:tcPr>
            <w:tcW w:w="18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-246.1%</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13,277</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88,762</w:t>
            </w: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rPr>
              <w:t>568.5%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160"/>
              <w:spacing w:after="0" w:line="189" w:lineRule="exact"/>
              <w:rPr>
                <w:sz w:val="20"/>
                <w:szCs w:val="20"/>
                <w:color w:val="auto"/>
              </w:rPr>
            </w:pPr>
            <w:r>
              <w:rPr>
                <w:rFonts w:ascii="Arial" w:cs="Arial" w:eastAsia="Arial" w:hAnsi="Arial"/>
                <w:sz w:val="13"/>
                <w:szCs w:val="13"/>
                <w:color w:val="auto"/>
              </w:rPr>
              <w:t xml:space="preserve">Result on exchange difference </w:t>
            </w:r>
            <w:r>
              <w:rPr>
                <w:rFonts w:ascii="Arial" w:cs="Arial" w:eastAsia="Arial" w:hAnsi="Arial"/>
                <w:sz w:val="21"/>
                <w:szCs w:val="21"/>
                <w:color w:val="auto"/>
                <w:vertAlign w:val="superscript"/>
              </w:rPr>
              <w:t>(2)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2,842</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3,732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3,095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(28,477)</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14,735</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14,066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51,304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19,542</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-61.9%</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42,985</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106,323</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749,523</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823,544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801,377</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6.9%</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2,182,279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2,454,872</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(569,735)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(574,284)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(576,407)</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(1,709,854)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(1,726,594)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(426,981)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(436,785)</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(419,409)</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(1,194,372)</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(1,245,925)</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(88,187)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(88,927)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(88,049)</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(261,175)</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(263,954)</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(24,232)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(39,658)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(28,175)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16.3%</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(77,297)</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(101,474)</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(1,109,135)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(1,139,654)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(1,112,040)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0.3%</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(3,242,698)</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(3,337,947)</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1,038,942</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1,009,137</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1,129,281</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11.9%</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2,824,381</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3,121,349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(270,642)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(263,243)</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(313,591)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(762,978)</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(842,106)</w:t>
            </w:r>
          </w:p>
        </w:tc>
        <w:tc>
          <w:tcPr>
            <w:tcW w:w="1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160"/>
              <w:spacing w:after="0" w:line="149" w:lineRule="exact"/>
              <w:rPr>
                <w:sz w:val="20"/>
                <w:szCs w:val="20"/>
                <w:color w:val="auto"/>
              </w:rPr>
            </w:pPr>
            <w:r>
              <w:rPr>
                <w:rFonts w:ascii="Arial" w:cs="Arial" w:eastAsia="Arial" w:hAnsi="Arial"/>
                <w:sz w:val="14"/>
                <w:szCs w:val="14"/>
                <w:color w:val="auto"/>
              </w:rPr>
              <w:t>Non-controlling interest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(4,791)</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(6,693)</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34.6%</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39.7%</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(12,354)</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(15,299)</w:t>
            </w: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763,509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740,920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808,997</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9.2%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6.0%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2,049,049</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2,263,944</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4"/>
                <w:szCs w:val="14"/>
                <w:color w:val="auto"/>
              </w:rPr>
              <w:t>Net income discontinuing operations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124,581</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763,509</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740,920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808,997</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9.2%</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6.0%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2,173,630</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2,263,944</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presented on this report.</w:t>
      </w:r>
    </w:p>
    <w:p>
      <w:pPr>
        <w:spacing w:after="0" w:line="23" w:lineRule="exact"/>
        <w:rPr>
          <w:rFonts w:ascii="Arial" w:cs="Arial" w:eastAsia="Arial" w:hAnsi="Arial"/>
          <w:sz w:val="18"/>
          <w:szCs w:val="18"/>
          <w:color w:val="auto"/>
        </w:rPr>
      </w:pPr>
    </w:p>
    <w:p>
      <w:pPr>
        <w:ind w:right="600" w:firstLine="8"/>
        <w:spacing w:after="0" w:line="250"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new account “Result on exchange difference” includes what was previously reported as: (i) the translation result and (ii) net gains on currency trading, which was previously included in net gains on foreign exchange transactions.</w:t>
      </w: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Since 1Q17, “Net gain on derivatives” will be reported as non-financial income rather than net interest income, as was the case in the past.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3Q16</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2Q17</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3Q17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29"/>
                <w:szCs w:val="29"/>
                <w:color w:val="auto"/>
                <w:vertAlign w:val="subscript"/>
              </w:rPr>
              <w:t>EPS</w:t>
            </w:r>
            <w:r>
              <w:rPr>
                <w:rFonts w:ascii="Arial" w:cs="Arial" w:eastAsia="Arial" w:hAnsi="Arial"/>
                <w:sz w:val="13"/>
                <w:szCs w:val="13"/>
                <w:color w:val="auto"/>
              </w:rPr>
              <w:t xml:space="preserve"> (1)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0.096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0.093</w:t>
            </w:r>
          </w:p>
        </w:tc>
        <w:tc>
          <w:tcPr>
            <w:tcW w:w="1240" w:type="dxa"/>
            <w:vAlign w:val="bottom"/>
          </w:tcPr>
          <w:p>
            <w:pPr>
              <w:jc w:val="right"/>
              <w:spacing w:after="0"/>
              <w:rPr>
                <w:sz w:val="20"/>
                <w:szCs w:val="20"/>
                <w:color w:val="auto"/>
              </w:rPr>
            </w:pPr>
            <w:r>
              <w:rPr>
                <w:rFonts w:ascii="Arial" w:cs="Arial" w:eastAsia="Arial" w:hAnsi="Arial"/>
                <w:sz w:val="18"/>
                <w:szCs w:val="18"/>
                <w:color w:val="auto"/>
              </w:rPr>
              <w:t>0.102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 of outstanding shares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7,933.34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7,933.34</w:t>
            </w:r>
          </w:p>
        </w:tc>
        <w:tc>
          <w:tcPr>
            <w:tcW w:w="1240" w:type="dxa"/>
            <w:vAlign w:val="bottom"/>
          </w:tcPr>
          <w:p>
            <w:pPr>
              <w:jc w:val="right"/>
              <w:spacing w:after="0"/>
              <w:rPr>
                <w:sz w:val="20"/>
                <w:szCs w:val="20"/>
                <w:color w:val="auto"/>
              </w:rPr>
            </w:pPr>
            <w:r>
              <w:rPr>
                <w:rFonts w:ascii="Arial" w:cs="Arial" w:eastAsia="Arial" w:hAnsi="Arial"/>
                <w:sz w:val="18"/>
                <w:szCs w:val="18"/>
                <w:color w:val="auto"/>
              </w:rPr>
              <w:t>7,933.34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Coverage of IOLs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117.0%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as a percentage of total loans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80" w:type="dxa"/>
            <w:vAlign w:val="bottom"/>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Capital adequacy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Tier 1 capital (S/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10,772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11,807</w:t>
            </w:r>
          </w:p>
        </w:tc>
        <w:tc>
          <w:tcPr>
            <w:tcW w:w="1240" w:type="dxa"/>
            <w:vAlign w:val="bottom"/>
          </w:tcPr>
          <w:p>
            <w:pPr>
              <w:jc w:val="right"/>
              <w:spacing w:after="0"/>
              <w:rPr>
                <w:sz w:val="20"/>
                <w:szCs w:val="20"/>
                <w:color w:val="auto"/>
              </w:rPr>
            </w:pPr>
            <w:r>
              <w:rPr>
                <w:rFonts w:ascii="Arial" w:cs="Arial" w:eastAsia="Arial" w:hAnsi="Arial"/>
                <w:sz w:val="18"/>
                <w:szCs w:val="18"/>
                <w:color w:val="auto"/>
              </w:rPr>
              <w:t>11,811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BIS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15.56%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16.71%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Shares outstanding of 7,933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firstLine="8"/>
        <w:spacing w:after="0" w:line="250" w:lineRule="auto"/>
        <w:tabs>
          <w:tab w:leader="none" w:pos="2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result on exchange difference and net gain on derivatives. Operating expenses includes personnel expenses, administrative expenses and depreciation and amortization.</w:t>
      </w:r>
    </w:p>
    <w:p>
      <w:pPr>
        <w:ind w:left="280" w:hanging="254"/>
        <w:spacing w:after="0"/>
        <w:tabs>
          <w:tab w:leader="none" w:pos="2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w w:val="85"/>
              </w:rPr>
              <w:t>11.3</w:t>
            </w:r>
          </w:p>
        </w:tc>
        <w:tc>
          <w:tcPr>
            <w:tcW w:w="3300" w:type="dxa"/>
            <w:vAlign w:val="bottom"/>
          </w:tcPr>
          <w:p>
            <w:pPr>
              <w:ind w:left="340"/>
              <w:spacing w:after="0"/>
              <w:rPr>
                <w:sz w:val="20"/>
                <w:szCs w:val="20"/>
                <w:color w:val="auto"/>
              </w:rPr>
            </w:pPr>
            <w:r>
              <w:rPr>
                <w:rFonts w:ascii="Arial" w:cs="Arial" w:eastAsia="Arial" w:hAnsi="Arial"/>
                <w:sz w:val="18"/>
                <w:szCs w:val="18"/>
                <w:b w:val="1"/>
                <w:bCs w:val="1"/>
                <w:color w:val="auto"/>
              </w:rPr>
              <w:t>Mibanco</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center"/>
              <w:ind w:left="107"/>
              <w:spacing w:after="0"/>
              <w:rPr>
                <w:sz w:val="20"/>
                <w:szCs w:val="20"/>
                <w:color w:val="auto"/>
              </w:rPr>
            </w:pPr>
            <w:r>
              <w:rPr>
                <w:rFonts w:ascii="Arial" w:cs="Arial" w:eastAsia="Arial" w:hAnsi="Arial"/>
                <w:sz w:val="18"/>
                <w:szCs w:val="18"/>
                <w:b w:val="1"/>
                <w:bCs w:val="1"/>
                <w:color w:val="auto"/>
              </w:rPr>
              <w:t>MIBANCO *</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left="107"/>
              <w:spacing w:after="0"/>
              <w:rPr>
                <w:sz w:val="20"/>
                <w:szCs w:val="20"/>
                <w:color w:val="auto"/>
              </w:rPr>
            </w:pPr>
            <w:r>
              <w:rPr>
                <w:rFonts w:ascii="Arial" w:cs="Arial" w:eastAsia="Arial" w:hAnsi="Arial"/>
                <w:sz w:val="18"/>
                <w:szCs w:val="18"/>
                <w:b w:val="1"/>
                <w:bCs w:val="1"/>
                <w:color w:val="auto"/>
                <w:w w:val="92"/>
              </w:rPr>
              <w:t>(In S/ thousands, IFRS)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b w:val="1"/>
                <w:bCs w:val="1"/>
                <w:color w:val="auto"/>
                <w:w w:val="88"/>
              </w:rPr>
              <w:t>% change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720"/>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 16</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 17</w:t>
            </w:r>
          </w:p>
        </w:tc>
        <w:tc>
          <w:tcPr>
            <w:tcW w:w="112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 17</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QoQ</w:t>
            </w: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 16</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 17</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Sep 17 / Sep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300" w:type="dxa"/>
            <w:vAlign w:val="bottom"/>
            <w:tcBorders>
              <w:top w:val="single" w:sz="8" w:color="CCEEFF"/>
            </w:tcBorders>
            <w:shd w:val="clear" w:color="auto" w:fill="CCEEFF"/>
          </w:tcPr>
          <w:p>
            <w:pPr>
              <w:jc w:val="center"/>
              <w:ind w:right="326"/>
              <w:spacing w:after="0" w:line="142" w:lineRule="exact"/>
              <w:rPr>
                <w:sz w:val="20"/>
                <w:szCs w:val="20"/>
                <w:color w:val="auto"/>
              </w:rPr>
            </w:pPr>
            <w:r>
              <w:rPr>
                <w:rFonts w:ascii="Arial" w:cs="Arial" w:eastAsia="Arial" w:hAnsi="Arial"/>
                <w:sz w:val="14"/>
                <w:szCs w:val="14"/>
                <w:b w:val="1"/>
                <w:bCs w:val="1"/>
                <w:color w:val="auto"/>
                <w:w w:val="96"/>
              </w:rPr>
              <w:t>ASSETS</w:t>
            </w: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1,015,601</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969,097</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1,062,337</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1,015,601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1,062,337</w:t>
            </w:r>
          </w:p>
        </w:tc>
        <w:tc>
          <w:tcPr>
            <w:tcW w:w="18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1,813,481</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1,780,779</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1,891,857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6.2%</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1,813,481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1,891,857</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Total loans</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8,455,050</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8,963,786</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9,126,393</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7.9%</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8,455,050</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9,126,393</w:t>
            </w:r>
          </w:p>
        </w:tc>
        <w:tc>
          <w:tcPr>
            <w:tcW w:w="18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7,980,339</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8,439,846</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8,579,731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7,980,339</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8,579,731</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Past-due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381,154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408,552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425,163</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381,154</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425,163</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Refinanced</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93,557</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115,387</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121,499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93,557</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121,499</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ind w:left="20"/>
              <w:spacing w:after="0" w:line="149" w:lineRule="exact"/>
              <w:rPr>
                <w:sz w:val="20"/>
                <w:szCs w:val="20"/>
                <w:color w:val="auto"/>
              </w:rPr>
            </w:pPr>
            <w:r>
              <w:rPr>
                <w:rFonts w:ascii="Arial" w:cs="Arial" w:eastAsia="Arial" w:hAnsi="Arial"/>
                <w:sz w:val="14"/>
                <w:szCs w:val="14"/>
                <w:color w:val="auto"/>
              </w:rPr>
              <w:t>Allowance for loan losses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(731,412)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(816,489)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(831,710)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(731,412)</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(831,710)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loans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7,723,638</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8,147,296</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8,294,683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7,723,638</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8,294,683</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222,790</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211,811</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194,425</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222,790</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194,425</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437,225</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518,945</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560,223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437,225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560,223</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jc w:val="center"/>
              <w:ind w:right="326"/>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11,212,735</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11,627,928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12,003,526</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11,212,735</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12,003,526</w:t>
            </w:r>
          </w:p>
        </w:tc>
        <w:tc>
          <w:tcPr>
            <w:tcW w:w="18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jc w:val="center"/>
              <w:ind w:right="26"/>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6,600,601</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7,029,403</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7,020,563</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6,600,601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7,020,563</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1,586,927</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1,724,059</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1,936,049</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1,586,927</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1,936,049</w:t>
            </w:r>
          </w:p>
        </w:tc>
        <w:tc>
          <w:tcPr>
            <w:tcW w:w="18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836,714</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646,525</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642,441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-23.2%</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836,714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642,441</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717,338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769,344</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829,033</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717,338</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829,033</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300" w:type="dxa"/>
            <w:vAlign w:val="bottom"/>
            <w:shd w:val="clear" w:color="auto" w:fill="CCEEFF"/>
          </w:tcPr>
          <w:p>
            <w:pPr>
              <w:jc w:val="center"/>
              <w:ind w:right="326"/>
              <w:spacing w:after="0" w:line="149" w:lineRule="exact"/>
              <w:rPr>
                <w:sz w:val="20"/>
                <w:szCs w:val="20"/>
                <w:color w:val="auto"/>
              </w:rPr>
            </w:pPr>
            <w:r>
              <w:rPr>
                <w:rFonts w:ascii="Arial" w:cs="Arial" w:eastAsia="Arial" w:hAnsi="Arial"/>
                <w:sz w:val="14"/>
                <w:szCs w:val="14"/>
                <w:b w:val="1"/>
                <w:bCs w:val="1"/>
                <w:color w:val="auto"/>
                <w:w w:val="92"/>
              </w:rPr>
              <w:t>Total liabilities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9,741,580</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10,169,331</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10,428,087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9,741,580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10,428,087</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0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1,471,156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1,458,597</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1,575,439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8.0%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1,471,156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1,575,439</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300" w:type="dxa"/>
            <w:vAlign w:val="bottom"/>
            <w:shd w:val="clear" w:color="auto" w:fill="CCEEFF"/>
          </w:tcPr>
          <w:p>
            <w:pPr>
              <w:jc w:val="center"/>
              <w:ind w:right="326"/>
              <w:spacing w:after="0"/>
              <w:rPr>
                <w:sz w:val="20"/>
                <w:szCs w:val="20"/>
                <w:color w:val="auto"/>
              </w:rPr>
            </w:pPr>
            <w:r>
              <w:rPr>
                <w:rFonts w:ascii="Arial" w:cs="Arial" w:eastAsia="Arial" w:hAnsi="Arial"/>
                <w:sz w:val="14"/>
                <w:szCs w:val="14"/>
                <w:b w:val="1"/>
                <w:bCs w:val="1"/>
                <w:color w:val="auto"/>
                <w:w w:val="92"/>
              </w:rPr>
              <w:t>Total liabilities and net shareholders' equity</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11,212,735</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11,627,928</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12,003,526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3.2%</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11,212,735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12,003,526</w:t>
            </w:r>
          </w:p>
        </w:tc>
        <w:tc>
          <w:tcPr>
            <w:tcW w:w="18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spacing w:after="0"/>
              <w:rPr>
                <w:sz w:val="20"/>
                <w:szCs w:val="20"/>
                <w:color w:val="auto"/>
              </w:rPr>
            </w:pPr>
            <w:r>
              <w:rPr>
                <w:rFonts w:ascii="Arial" w:cs="Arial" w:eastAsia="Arial" w:hAnsi="Arial"/>
                <w:sz w:val="14"/>
                <w:szCs w:val="14"/>
                <w:color w:val="auto"/>
              </w:rPr>
              <w:t>Net financial income</w:t>
            </w: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411,954</w:t>
            </w: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438,853</w:t>
            </w:r>
          </w:p>
        </w:tc>
        <w:tc>
          <w:tcPr>
            <w:tcW w:w="22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462,950</w:t>
            </w: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12.4%</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779,781</w:t>
            </w:r>
          </w:p>
        </w:tc>
        <w:tc>
          <w:tcPr>
            <w:tcW w:w="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878,990</w:t>
            </w:r>
          </w:p>
        </w:tc>
        <w:tc>
          <w:tcPr>
            <w:tcW w:w="18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(66,997)</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(98,700)</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(86,260)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28.8%</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(133,654)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(209,904)</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9,311</w:t>
            </w:r>
          </w:p>
        </w:tc>
        <w:tc>
          <w:tcPr>
            <w:tcW w:w="2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30,067</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24,147</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159.3%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16,399</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50,122</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(238,324)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(251,843)</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(237,317)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(474,163)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(507,306)</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115,943</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118,376</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163,520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38.1%</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188,364</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211,902</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(28,339)</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(28,790)</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(44,960)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56.2%</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58.6%</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(43,999)</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(53,901)</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87,604</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89,585</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118,560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32.3%</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144,365</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158,000</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gridSpan w:val="2"/>
            <w:vMerge w:val="restart"/>
          </w:tcPr>
          <w:p>
            <w:pPr>
              <w:spacing w:after="0"/>
              <w:rPr>
                <w:sz w:val="20"/>
                <w:szCs w:val="20"/>
                <w:color w:val="auto"/>
              </w:rPr>
            </w:pPr>
            <w:r>
              <w:rPr>
                <w:rFonts w:ascii="Arial" w:cs="Arial" w:eastAsia="Arial" w:hAnsi="Arial"/>
                <w:sz w:val="14"/>
                <w:szCs w:val="14"/>
                <w:color w:val="auto"/>
              </w:rPr>
              <w:t>L/D ratio</w:t>
            </w: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gridSpan w:val="2"/>
            <w:vMerge w:val="continue"/>
          </w:tcPr>
          <w:p>
            <w:pPr>
              <w:spacing w:after="0"/>
              <w:rPr>
                <w:sz w:val="12"/>
                <w:szCs w:val="12"/>
                <w:color w:val="auto"/>
              </w:rPr>
            </w:pPr>
          </w:p>
        </w:tc>
        <w:tc>
          <w:tcPr>
            <w:tcW w:w="9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128.1%</w:t>
            </w:r>
          </w:p>
        </w:tc>
        <w:tc>
          <w:tcPr>
            <w:tcW w:w="9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127.5%</w:t>
            </w: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130.0%</w:t>
            </w: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rPr>
              <w:t>250 bps</w:t>
            </w:r>
          </w:p>
        </w:tc>
        <w:tc>
          <w:tcPr>
            <w:tcW w:w="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6"/>
              </w:rPr>
              <w:t>190 bps</w:t>
            </w:r>
          </w:p>
        </w:tc>
        <w:tc>
          <w:tcPr>
            <w:tcW w:w="260" w:type="dxa"/>
            <w:vAlign w:val="bottom"/>
            <w:vMerge w:val="continue"/>
          </w:tcPr>
          <w:p>
            <w:pPr>
              <w:spacing w:after="0"/>
              <w:rPr>
                <w:sz w:val="12"/>
                <w:szCs w:val="12"/>
                <w:color w:val="auto"/>
              </w:rPr>
            </w:pPr>
          </w:p>
        </w:tc>
        <w:tc>
          <w:tcPr>
            <w:tcW w:w="9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128.1%</w:t>
            </w: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130.0%</w:t>
            </w:r>
          </w:p>
        </w:tc>
        <w:tc>
          <w:tcPr>
            <w:tcW w:w="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190 bps</w:t>
            </w: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Internal overdue ratio</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NPL ratio</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40" w:type="dxa"/>
            <w:vAlign w:val="bottom"/>
          </w:tcPr>
          <w:p>
            <w:pPr>
              <w:spacing w:after="0"/>
              <w:rPr>
                <w:sz w:val="12"/>
                <w:szCs w:val="12"/>
                <w:color w:val="auto"/>
              </w:rPr>
            </w:pPr>
          </w:p>
        </w:tc>
        <w:tc>
          <w:tcPr>
            <w:tcW w:w="9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20 bps</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191.9%</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199.8%</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195.6%</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-420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370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195.6%</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154.1%</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155.8%</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152.1%</w:t>
            </w:r>
          </w:p>
        </w:tc>
        <w:tc>
          <w:tcPr>
            <w:tcW w:w="140" w:type="dxa"/>
            <w:vAlign w:val="bottom"/>
          </w:tcPr>
          <w:p>
            <w:pPr>
              <w:spacing w:after="0"/>
              <w:rPr>
                <w:sz w:val="12"/>
                <w:szCs w:val="12"/>
                <w:color w:val="auto"/>
              </w:rPr>
            </w:pPr>
          </w:p>
        </w:tc>
        <w:tc>
          <w:tcPr>
            <w:tcW w:w="9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w w:val="95"/>
              </w:rPr>
              <w:t>-370 bps</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-200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154.1%</w:t>
            </w: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152.1%</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31.2%</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660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ROAE incl. goodwill</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22.3%</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23.0%</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28.5%</w:t>
            </w:r>
          </w:p>
        </w:tc>
        <w:tc>
          <w:tcPr>
            <w:tcW w:w="140" w:type="dxa"/>
            <w:vAlign w:val="bottom"/>
          </w:tcPr>
          <w:p>
            <w:pPr>
              <w:spacing w:after="0"/>
              <w:rPr>
                <w:sz w:val="12"/>
                <w:szCs w:val="12"/>
                <w:color w:val="auto"/>
              </w:rPr>
            </w:pPr>
          </w:p>
        </w:tc>
        <w:tc>
          <w:tcPr>
            <w:tcW w:w="9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550 bps</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620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19.1%</w:t>
            </w: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54.0%</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48.4%</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5"/>
              </w:rPr>
              <w:t>-560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-770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52.5%</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1"/>
                <w:szCs w:val="21"/>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314</w:t>
            </w:r>
          </w:p>
        </w:tc>
        <w:tc>
          <w:tcPr>
            <w:tcW w:w="2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320</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324</w:t>
            </w:r>
          </w:p>
        </w:tc>
        <w:tc>
          <w:tcPr>
            <w:tcW w:w="1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3.2%</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324</w:t>
            </w:r>
          </w:p>
        </w:tc>
        <w:tc>
          <w:tcPr>
            <w:tcW w:w="18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10,222</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10,295</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10,139</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10,222</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10,139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1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Figures differ from previously reported. Since 1Q17, Net gain on Derivatives is excluded from Net Interest Income (NII) and translation result is reported as Non-financial income. Data for 3Q16 has been adjusted to allow comparisons.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Includes Banco de la Nacion branches, which in 3Q16 were 38, in 2Q17 were 40 and in 3Q17 were 39.</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11.4</w:t>
            </w:r>
          </w:p>
        </w:tc>
        <w:tc>
          <w:tcPr>
            <w:tcW w:w="3260" w:type="dxa"/>
            <w:vAlign w:val="bottom"/>
          </w:tcPr>
          <w:p>
            <w:pPr>
              <w:spacing w:after="0"/>
              <w:rPr>
                <w:sz w:val="20"/>
                <w:szCs w:val="20"/>
                <w:color w:val="auto"/>
              </w:rPr>
            </w:pPr>
            <w:r>
              <w:rPr>
                <w:rFonts w:ascii="Arial" w:cs="Arial" w:eastAsia="Arial" w:hAnsi="Arial"/>
                <w:sz w:val="18"/>
                <w:szCs w:val="18"/>
                <w:b w:val="1"/>
                <w:bCs w:val="1"/>
                <w:color w:val="auto"/>
              </w:rPr>
              <w:t>BCP Bolivia</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BCP BOLIVIA</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90"/>
              </w:rPr>
              <w:t>(In S/ thousands, IFRS)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ind w:left="520"/>
              <w:spacing w:after="0"/>
              <w:rPr>
                <w:sz w:val="20"/>
                <w:szCs w:val="20"/>
                <w:color w:val="auto"/>
              </w:rPr>
            </w:pPr>
            <w:r>
              <w:rPr>
                <w:rFonts w:ascii="Arial" w:cs="Arial" w:eastAsia="Arial" w:hAnsi="Arial"/>
                <w:sz w:val="14"/>
                <w:szCs w:val="14"/>
                <w:b w:val="1"/>
                <w:bCs w:val="1"/>
                <w:color w:val="auto"/>
                <w:w w:val="88"/>
              </w:rPr>
              <w:t>% change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w w:val="91"/>
              </w:rPr>
              <w:t>As of</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 16</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Jun 17</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 17</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QoQ</w:t>
            </w:r>
          </w:p>
        </w:tc>
        <w:tc>
          <w:tcPr>
            <w:tcW w:w="180" w:type="dxa"/>
            <w:vAlign w:val="bottom"/>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 16</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 17</w:t>
            </w: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Sep 17 / Sep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3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1,181,065</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1,730,317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1,496,787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1,181,065</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1,496,787</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1,330,320</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1,113,964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1,233,424</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1,330,320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1,233,424</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5,347,992</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5,856,992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6,203,300</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5.9%</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5,347,992</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6,203,300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Current</w:t>
            </w:r>
          </w:p>
        </w:tc>
        <w:tc>
          <w:tcPr>
            <w:tcW w:w="3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5,233,725</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5,725,735</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6,062,137</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5,233,725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6,062,137</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Internal overdue loans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94,883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105,500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115,241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9.2%</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94,883</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115,241</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Refinanced</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19,384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25,758</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25,922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19,384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25,922</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Less - allowance for loan losses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-198,130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-200,084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-218,838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9.4%</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-198,130</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-218,838</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8"/>
              </w:rPr>
              <w:t>Lonas, net</w:t>
            </w:r>
          </w:p>
        </w:tc>
        <w:tc>
          <w:tcPr>
            <w:tcW w:w="3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5,149,862</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5,656,909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5,984,461</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16.2%</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5,149,862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5,984,461</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35,818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24,083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56,094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132.9%</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56.6%</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35,818</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56,094</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81,420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84,918</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80,790</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81,420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80,790</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60" w:type="dxa"/>
            <w:vAlign w:val="bottom"/>
          </w:tcPr>
          <w:p>
            <w:pPr>
              <w:jc w:val="center"/>
              <w:ind w:right="682"/>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7,778,486</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8,610,191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8,851,556</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1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13.8%</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7,778,486</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8,851,556</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gridSpan w:val="2"/>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Liabilities and Net Sherholder's Equity</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6,849,565</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7,576,689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7,819,169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14.2%</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6,849,565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7,819,169</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31,020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172,598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39,639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-77.0%</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27.8%</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31,020</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39,639</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105,311</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101,289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101,822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105,311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101,822</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176,148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150,025</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264,757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76.5%</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50.3%</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176,148</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264,757</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60" w:type="dxa"/>
            <w:vAlign w:val="bottom"/>
            <w:shd w:val="clear" w:color="auto" w:fill="CCEEFF"/>
          </w:tcPr>
          <w:p>
            <w:pPr>
              <w:jc w:val="center"/>
              <w:ind w:right="682"/>
              <w:spacing w:after="0" w:line="149" w:lineRule="exact"/>
              <w:rPr>
                <w:sz w:val="20"/>
                <w:szCs w:val="20"/>
                <w:color w:val="auto"/>
              </w:rPr>
            </w:pPr>
            <w:r>
              <w:rPr>
                <w:rFonts w:ascii="Arial" w:cs="Arial" w:eastAsia="Arial" w:hAnsi="Arial"/>
                <w:sz w:val="14"/>
                <w:szCs w:val="14"/>
                <w:b w:val="1"/>
                <w:bCs w:val="1"/>
                <w:color w:val="auto"/>
                <w:w w:val="92"/>
              </w:rPr>
              <w:t>Total liabilities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7,162,044</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8,000,602</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8,225,387</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14.8%</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7,162,044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8,225,387</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32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616,442</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609,590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626,170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616,442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626,170</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liabilities and net shareholders'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7,778,486</w:t>
            </w:r>
          </w:p>
        </w:tc>
        <w:tc>
          <w:tcPr>
            <w:tcW w:w="22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8,610,191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8,851,556</w:t>
            </w:r>
          </w:p>
        </w:tc>
        <w:tc>
          <w:tcPr>
            <w:tcW w:w="2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2.8%</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13.8%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7,778,486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6"/>
              </w:rPr>
              <w:t>8,851,556</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ind w:left="520"/>
              <w:spacing w:after="0"/>
              <w:rPr>
                <w:sz w:val="20"/>
                <w:szCs w:val="20"/>
                <w:color w:val="auto"/>
              </w:rPr>
            </w:pPr>
            <w:r>
              <w:rPr>
                <w:rFonts w:ascii="Arial" w:cs="Arial" w:eastAsia="Arial" w:hAnsi="Arial"/>
                <w:sz w:val="14"/>
                <w:szCs w:val="14"/>
                <w:b w:val="1"/>
                <w:bCs w:val="1"/>
                <w:color w:val="auto"/>
                <w:w w:val="88"/>
              </w:rPr>
              <w:t>% change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rPr>
              <w:t>YTD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3Q16</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2Q17</w:t>
            </w:r>
          </w:p>
        </w:tc>
        <w:tc>
          <w:tcPr>
            <w:tcW w:w="2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3Q17</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jc w:val="right"/>
              <w:ind w:right="128"/>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Sep 16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Sep 17</w:t>
            </w:r>
          </w:p>
        </w:tc>
        <w:tc>
          <w:tcPr>
            <w:tcW w:w="100" w:type="dxa"/>
            <w:vAlign w:val="bottom"/>
          </w:tcPr>
          <w:p>
            <w:pPr>
              <w:spacing w:after="0"/>
              <w:rPr>
                <w:sz w:val="14"/>
                <w:szCs w:val="1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Sep 17 / Sep 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gridSpan w:val="2"/>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76,385</w:t>
            </w:r>
          </w:p>
        </w:tc>
        <w:tc>
          <w:tcPr>
            <w:tcW w:w="220" w:type="dxa"/>
            <w:vAlign w:val="bottom"/>
            <w:tcBorders>
              <w:right w:val="single" w:sz="8" w:color="CCEEFF"/>
            </w:tcBorders>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79,477</w:t>
            </w:r>
          </w:p>
        </w:tc>
        <w:tc>
          <w:tcPr>
            <w:tcW w:w="22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78,294</w:t>
            </w:r>
          </w:p>
        </w:tc>
        <w:tc>
          <w:tcPr>
            <w:tcW w:w="22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2.5%</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220,502</w:t>
            </w:r>
          </w:p>
        </w:tc>
        <w:tc>
          <w:tcPr>
            <w:tcW w:w="2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235,026</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-6,908</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-13,664</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-27,479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101.1%</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297.8%</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-39,705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-54,623</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gridSpan w:val="2"/>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69,477</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65,813</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50,814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-26.9%</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180,797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180,403</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27,450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31,161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29,257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90,518</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86,202</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-61,370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-59,613</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-60,730</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-172,541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-179,556</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result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733.9%</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62.4%</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900" w:type="dxa"/>
            <w:vAlign w:val="bottom"/>
            <w:tcBorders>
              <w:right w:val="single" w:sz="8" w:color="CCEEFF"/>
            </w:tcBorders>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-14,907</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-10,681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-8,888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-16.8%</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-40.4%</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-36,477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-30,317</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20,599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26,670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10,371</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-61.1%</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-49.7%</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62,169</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56,635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L/D ratio</w:t>
            </w:r>
          </w:p>
        </w:tc>
        <w:tc>
          <w:tcPr>
            <w:tcW w:w="3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78.1%</w:t>
            </w: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77.3%</w:t>
            </w:r>
          </w:p>
        </w:tc>
        <w:tc>
          <w:tcPr>
            <w:tcW w:w="9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79.3%</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203 bps</w:t>
            </w:r>
          </w:p>
        </w:tc>
        <w:tc>
          <w:tcPr>
            <w:tcW w:w="26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125 bps</w:t>
            </w:r>
          </w:p>
        </w:tc>
        <w:tc>
          <w:tcPr>
            <w:tcW w:w="260" w:type="dxa"/>
            <w:vAlign w:val="bottom"/>
            <w:vMerge w:val="continue"/>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Internal overdue ratio</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 bps</w:t>
            </w:r>
          </w:p>
        </w:tc>
        <w:tc>
          <w:tcPr>
            <w:tcW w:w="1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 bps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NPL ratio</w:t>
            </w:r>
          </w:p>
        </w:tc>
        <w:tc>
          <w:tcPr>
            <w:tcW w:w="32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2.24%</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2.28%</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 bps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 bps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Coverage of internal overdue ratio</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208.8%</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189.9%</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25 bps</w:t>
            </w: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-1892 bps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NPLs</w:t>
            </w:r>
          </w:p>
        </w:tc>
        <w:tc>
          <w:tcPr>
            <w:tcW w:w="90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173.4%</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152.4%</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155.0%</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259 bps</w:t>
            </w:r>
          </w:p>
        </w:tc>
        <w:tc>
          <w:tcPr>
            <w:tcW w:w="9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-1836 bps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Efficiency ratio</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55.9%</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118 bps</w:t>
            </w:r>
          </w:p>
        </w:tc>
        <w:tc>
          <w:tcPr>
            <w:tcW w:w="1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 bps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326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-1117 bps</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-707 bps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Branches</w:t>
            </w:r>
          </w:p>
        </w:tc>
        <w:tc>
          <w:tcPr>
            <w:tcW w:w="3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Agentes</w:t>
            </w:r>
          </w:p>
        </w:tc>
        <w:tc>
          <w:tcPr>
            <w:tcW w:w="3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212</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ATMs</w:t>
            </w:r>
          </w:p>
        </w:tc>
        <w:tc>
          <w:tcPr>
            <w:tcW w:w="3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264</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w w:val="89"/>
              </w:rPr>
              <w:t>Employees</w:t>
            </w:r>
          </w:p>
        </w:tc>
        <w:tc>
          <w:tcPr>
            <w:tcW w:w="3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22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1773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1736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59</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Arial" w:cs="Arial" w:eastAsia="Arial" w:hAnsi="Arial"/>
                <w:sz w:val="18"/>
                <w:szCs w:val="18"/>
                <w:b w:val="1"/>
                <w:bCs w:val="1"/>
                <w:color w:val="auto"/>
                <w:w w:val="85"/>
              </w:rPr>
              <w:t>11.5</w:t>
            </w:r>
          </w:p>
        </w:tc>
        <w:tc>
          <w:tcPr>
            <w:tcW w:w="3180" w:type="dxa"/>
            <w:vAlign w:val="bottom"/>
            <w:gridSpan w:val="2"/>
          </w:tcPr>
          <w:p>
            <w:pPr>
              <w:ind w:left="340"/>
              <w:spacing w:after="0"/>
              <w:rPr>
                <w:sz w:val="20"/>
                <w:szCs w:val="20"/>
                <w:color w:val="auto"/>
              </w:rPr>
            </w:pPr>
            <w:r>
              <w:rPr>
                <w:rFonts w:ascii="Arial" w:cs="Arial" w:eastAsia="Arial" w:hAnsi="Arial"/>
                <w:sz w:val="18"/>
                <w:szCs w:val="18"/>
                <w:b w:val="1"/>
                <w:bCs w:val="1"/>
                <w:color w:val="auto"/>
              </w:rPr>
              <w:t>Credicorp Capital</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Credicorp Capital</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 change</w:t>
            </w:r>
          </w:p>
        </w:tc>
        <w:tc>
          <w:tcPr>
            <w:tcW w:w="1060" w:type="dxa"/>
            <w:vAlign w:val="bottom"/>
            <w:gridSpan w:val="3"/>
          </w:tcPr>
          <w:p>
            <w:pPr>
              <w:ind w:left="660"/>
              <w:spacing w:after="0"/>
              <w:rPr>
                <w:sz w:val="20"/>
                <w:szCs w:val="20"/>
                <w:color w:val="auto"/>
              </w:rPr>
            </w:pPr>
            <w:r>
              <w:rPr>
                <w:rFonts w:ascii="Arial" w:cs="Arial" w:eastAsia="Arial" w:hAnsi="Arial"/>
                <w:sz w:val="18"/>
                <w:szCs w:val="18"/>
                <w:b w:val="1"/>
                <w:bCs w:val="1"/>
                <w:color w:val="auto"/>
              </w:rPr>
              <w:t>YTD</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3Q16</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2Q17</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3Q17</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Sep 16</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Sep 17</w:t>
            </w:r>
          </w:p>
        </w:tc>
        <w:tc>
          <w:tcPr>
            <w:tcW w:w="2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Sep 17 / Sep 16</w:t>
            </w:r>
          </w:p>
        </w:tc>
        <w:tc>
          <w:tcPr>
            <w:tcW w:w="180" w:type="dxa"/>
            <w:vAlign w:val="bottom"/>
            <w:tcBorders>
              <w:bottom w:val="single" w:sz="8" w:color="CCEEFF"/>
            </w:tcBorders>
          </w:tcPr>
          <w:p>
            <w:pPr>
              <w:spacing w:after="0"/>
              <w:rPr>
                <w:sz w:val="20"/>
                <w:szCs w:val="20"/>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-335.6%</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Non-financial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135,589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142,444</w:t>
            </w:r>
          </w:p>
        </w:tc>
        <w:tc>
          <w:tcPr>
            <w:tcW w:w="760" w:type="dxa"/>
            <w:vAlign w:val="bottom"/>
          </w:tcPr>
          <w:p>
            <w:pPr>
              <w:jc w:val="right"/>
              <w:spacing w:after="0"/>
              <w:rPr>
                <w:sz w:val="20"/>
                <w:szCs w:val="20"/>
                <w:color w:val="auto"/>
              </w:rPr>
            </w:pPr>
            <w:r>
              <w:rPr>
                <w:rFonts w:ascii="Arial" w:cs="Arial" w:eastAsia="Arial" w:hAnsi="Arial"/>
                <w:sz w:val="18"/>
                <w:szCs w:val="18"/>
                <w:color w:val="auto"/>
              </w:rPr>
              <w:t>127,258</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-10.7%</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-6.1%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394,376</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401,621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88,247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105,203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94,802</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-9.9%</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261,979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282,173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w w:val="93"/>
              </w:rPr>
              <w:t>Net gain on foreign exchange transactions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11,307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10,948</w:t>
            </w:r>
          </w:p>
        </w:tc>
        <w:tc>
          <w:tcPr>
            <w:tcW w:w="760" w:type="dxa"/>
            <w:vAlign w:val="bottom"/>
          </w:tcPr>
          <w:p>
            <w:pPr>
              <w:jc w:val="right"/>
              <w:spacing w:after="0"/>
              <w:rPr>
                <w:sz w:val="20"/>
                <w:szCs w:val="20"/>
                <w:color w:val="auto"/>
              </w:rPr>
            </w:pPr>
            <w:r>
              <w:rPr>
                <w:rFonts w:ascii="Arial" w:cs="Arial" w:eastAsia="Arial" w:hAnsi="Arial"/>
                <w:sz w:val="18"/>
                <w:szCs w:val="18"/>
                <w:color w:val="auto"/>
              </w:rPr>
              <w:t>-4,374</w:t>
            </w:r>
          </w:p>
        </w:tc>
        <w:tc>
          <w:tcPr>
            <w:tcW w:w="18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-140.0%</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-138.7%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20,994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15,352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3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gain on sales of securities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42,831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21.3%</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109,584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3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Derivative Result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-7,931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760" w:type="dxa"/>
            <w:vAlign w:val="bottom"/>
          </w:tcPr>
          <w:p>
            <w:pPr>
              <w:jc w:val="right"/>
              <w:spacing w:after="0"/>
              <w:rPr>
                <w:sz w:val="20"/>
                <w:szCs w:val="20"/>
                <w:color w:val="auto"/>
              </w:rPr>
            </w:pPr>
            <w:r>
              <w:rPr>
                <w:rFonts w:ascii="Arial" w:cs="Arial" w:eastAsia="Arial" w:hAnsi="Arial"/>
                <w:sz w:val="18"/>
                <w:szCs w:val="18"/>
                <w:color w:val="auto"/>
              </w:rPr>
              <w:t>6,379</w:t>
            </w:r>
          </w:p>
        </w:tc>
        <w:tc>
          <w:tcPr>
            <w:tcW w:w="180" w:type="dxa"/>
            <w:vAlign w:val="bottom"/>
          </w:tcPr>
          <w:p>
            <w:pPr>
              <w:spacing w:after="0"/>
              <w:rPr>
                <w:sz w:val="18"/>
                <w:szCs w:val="18"/>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-180.4%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7,261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-279.0%</w:t>
            </w:r>
          </w:p>
        </w:tc>
      </w:tr>
      <w:tr>
        <w:trPr>
          <w:trHeight w:val="216"/>
        </w:trPr>
        <w:tc>
          <w:tcPr>
            <w:tcW w:w="320" w:type="dxa"/>
            <w:vAlign w:val="bottom"/>
            <w:shd w:val="clear" w:color="auto" w:fill="CCEEFF"/>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Result from exposure to the exchange rate</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w:t>
            </w: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-384.1%</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-396.3%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3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1,199</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895</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-25.4%</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-5.6%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12,198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84.9%</w:t>
            </w:r>
          </w:p>
        </w:tc>
      </w:tr>
      <w:tr>
        <w:trPr>
          <w:trHeight w:val="270"/>
        </w:trPr>
        <w:tc>
          <w:tcPr>
            <w:tcW w:w="350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-107,797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-105,851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-103,334</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-304,693</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-317,156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0"/>
        </w:trPr>
        <w:tc>
          <w:tcPr>
            <w:tcW w:w="35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26,023</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38,401</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19,664</w:t>
            </w:r>
          </w:p>
        </w:tc>
        <w:tc>
          <w:tcPr>
            <w:tcW w:w="18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93,700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82,436</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-79.6%</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350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30"/>
                <w:szCs w:val="30"/>
                <w:color w:val="auto"/>
                <w:vertAlign w:val="superscript"/>
              </w:rPr>
              <w:t>(2)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-3,224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76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3"/>
                <w:szCs w:val="23"/>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-59.6%</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-97.0%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-95.3%</w:t>
            </w:r>
          </w:p>
        </w:tc>
      </w:tr>
      <w:tr>
        <w:trPr>
          <w:trHeight w:val="210"/>
        </w:trPr>
        <w:tc>
          <w:tcPr>
            <w:tcW w:w="35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19,179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26,394</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17,171</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62,354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61,707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firstLine="8"/>
        <w:spacing w:after="0" w:line="250" w:lineRule="auto"/>
        <w:tabs>
          <w:tab w:leader="none" w:pos="2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firstLine="8"/>
        <w:spacing w:after="0" w:line="261" w:lineRule="auto"/>
        <w:tabs>
          <w:tab w:leader="none" w:pos="273"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Percentage of Correval and IM Trust that is not owned by Credicorp Capital Holding Colombia and Credicorp Capital Holding Chile (38.32% y 39% respectively) for 3T16.</w:t>
      </w:r>
    </w:p>
    <w:p>
      <w:pPr>
        <w:spacing w:after="0" w:line="40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11.6 Atlantic Security Bank</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880.1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942.1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996.2</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860" w:type="dxa"/>
            <w:vAlign w:val="bottom"/>
          </w:tcPr>
          <w:p>
            <w:pPr>
              <w:jc w:val="right"/>
              <w:spacing w:after="0"/>
              <w:rPr>
                <w:sz w:val="20"/>
                <w:szCs w:val="20"/>
                <w:color w:val="auto"/>
              </w:rPr>
            </w:pPr>
            <w:r>
              <w:rPr>
                <w:rFonts w:ascii="Arial" w:cs="Arial" w:eastAsia="Arial" w:hAnsi="Arial"/>
                <w:sz w:val="18"/>
                <w:szCs w:val="18"/>
                <w:color w:val="auto"/>
              </w:rPr>
              <w:t>1,773.7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1,790.3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1,652.4</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 *</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965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826</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833</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1,971</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1,994</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1,937</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 change</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3Q16</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3Q17</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YoY</w:t>
            </w:r>
          </w:p>
        </w:tc>
        <w:tc>
          <w:tcPr>
            <w:tcW w:w="160" w:type="dxa"/>
            <w:vAlign w:val="bottom"/>
            <w:tcBorders>
              <w:bottom w:val="single" w:sz="8" w:color="CCEEFF"/>
            </w:tcBorders>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498.0%</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1,839</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1,764</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left="2420"/>
        <w:spacing w:after="0"/>
        <w:rPr>
          <w:sz w:val="20"/>
          <w:szCs w:val="20"/>
          <w:color w:val="auto"/>
        </w:rPr>
      </w:pPr>
      <w:r>
        <w:rPr>
          <w:rFonts w:ascii="Arial" w:cs="Arial" w:eastAsia="Arial" w:hAnsi="Arial"/>
          <w:sz w:val="18"/>
          <w:szCs w:val="18"/>
          <w:b w:val="1"/>
          <w:bCs w:val="1"/>
          <w:color w:val="auto"/>
        </w:rPr>
        <w:t xml:space="preserve">Assets under management and Deposits </w:t>
      </w: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154940</wp:posOffset>
            </wp:positionV>
            <wp:extent cx="3215640" cy="18440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1564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Portfolio distribution as of September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154940</wp:posOffset>
            </wp:positionV>
            <wp:extent cx="3215640" cy="1706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15640" cy="170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11.7</w:t>
            </w:r>
          </w:p>
        </w:tc>
        <w:tc>
          <w:tcPr>
            <w:tcW w:w="2900" w:type="dxa"/>
            <w:vAlign w:val="bottom"/>
          </w:tcPr>
          <w:p>
            <w:pPr>
              <w:spacing w:after="0"/>
              <w:rPr>
                <w:sz w:val="20"/>
                <w:szCs w:val="20"/>
                <w:color w:val="auto"/>
              </w:rPr>
            </w:pPr>
            <w:r>
              <w:rPr>
                <w:rFonts w:ascii="Arial" w:cs="Arial" w:eastAsia="Arial" w:hAnsi="Arial"/>
                <w:sz w:val="18"/>
                <w:szCs w:val="18"/>
                <w:b w:val="1"/>
                <w:bCs w:val="1"/>
                <w:color w:val="auto"/>
              </w:rPr>
              <w:t>Grupo Pacifico</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5"/>
          </w:tcPr>
          <w:p>
            <w:pPr>
              <w:jc w:val="center"/>
              <w:ind w:left="167"/>
              <w:spacing w:after="0"/>
              <w:rPr>
                <w:sz w:val="20"/>
                <w:szCs w:val="20"/>
                <w:color w:val="auto"/>
              </w:rPr>
            </w:pPr>
            <w:r>
              <w:rPr>
                <w:rFonts w:ascii="Arial" w:cs="Arial" w:eastAsia="Arial" w:hAnsi="Arial"/>
                <w:sz w:val="18"/>
                <w:szCs w:val="18"/>
                <w:b w:val="1"/>
                <w:bCs w:val="1"/>
                <w:color w:val="auto"/>
              </w:rPr>
              <w:t>GRUPO PACIFICO *</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5"/>
          </w:tcPr>
          <w:p>
            <w:pPr>
              <w:jc w:val="center"/>
              <w:ind w:left="167"/>
              <w:spacing w:after="0"/>
              <w:rPr>
                <w:sz w:val="20"/>
                <w:szCs w:val="20"/>
                <w:color w:val="auto"/>
              </w:rPr>
            </w:pPr>
            <w:r>
              <w:rPr>
                <w:rFonts w:ascii="Arial" w:cs="Arial" w:eastAsia="Arial" w:hAnsi="Arial"/>
                <w:sz w:val="18"/>
                <w:szCs w:val="18"/>
                <w:b w:val="1"/>
                <w:bCs w:val="1"/>
                <w:color w:val="auto"/>
                <w:w w:val="88"/>
              </w:rPr>
              <w:t>(S/ in thousands)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ind w:left="380"/>
              <w:spacing w:after="0"/>
              <w:rPr>
                <w:sz w:val="20"/>
                <w:szCs w:val="20"/>
                <w:color w:val="auto"/>
              </w:rPr>
            </w:pPr>
            <w:r>
              <w:rPr>
                <w:rFonts w:ascii="Arial" w:cs="Arial" w:eastAsia="Arial" w:hAnsi="Arial"/>
                <w:sz w:val="14"/>
                <w:szCs w:val="14"/>
                <w:b w:val="1"/>
                <w:bCs w:val="1"/>
                <w:color w:val="auto"/>
                <w:w w:val="88"/>
              </w:rPr>
              <w:t>% change</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ind w:left="720"/>
              <w:spacing w:after="0"/>
              <w:rPr>
                <w:sz w:val="20"/>
                <w:szCs w:val="20"/>
                <w:color w:val="auto"/>
              </w:rPr>
            </w:pPr>
            <w:r>
              <w:rPr>
                <w:rFonts w:ascii="Arial" w:cs="Arial" w:eastAsia="Arial" w:hAnsi="Arial"/>
                <w:sz w:val="14"/>
                <w:szCs w:val="14"/>
                <w:b w:val="1"/>
                <w:bCs w:val="1"/>
                <w:color w:val="auto"/>
              </w:rPr>
              <w:t>YTD</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3Q16</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2Q17</w:t>
            </w: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3Q17</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QoQ</w:t>
            </w: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10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 16</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Sep 17</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Sep 17 / Sep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w:t>
            </w:r>
          </w:p>
        </w:tc>
        <w:tc>
          <w:tcPr>
            <w:tcW w:w="29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10,453,470</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10,731,442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11,013,777</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10,453,470</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11,013,777</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1"/>
                <w:szCs w:val="21"/>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7,598,343</w:t>
            </w:r>
          </w:p>
        </w:tc>
        <w:tc>
          <w:tcPr>
            <w:tcW w:w="2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7,832,406</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8,087,030</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7,598,343</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8,087,030</w:t>
            </w: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Technical reserves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6,754,917</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7,164,208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7,263,527</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6,754,917</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7,263,527</w:t>
            </w:r>
          </w:p>
        </w:tc>
        <w:tc>
          <w:tcPr>
            <w:tcW w:w="18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Net equity</w:t>
            </w:r>
          </w:p>
        </w:tc>
        <w:tc>
          <w:tcPr>
            <w:tcW w:w="29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2,431,271</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2,339,600</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2,711,176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2,431,271</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2,711,176</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Quarterly income statement</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Net earned premiums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477,366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470,708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477,263</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1,398,791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1,416,976</w:t>
            </w:r>
          </w:p>
        </w:tc>
        <w:tc>
          <w:tcPr>
            <w:tcW w:w="180" w:type="dxa"/>
            <w:vAlign w:val="bottom"/>
          </w:tcPr>
          <w:p>
            <w:pPr>
              <w:spacing w:after="0"/>
              <w:rPr>
                <w:sz w:val="12"/>
                <w:szCs w:val="12"/>
                <w:color w:val="auto"/>
              </w:rPr>
            </w:pP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Net claims</w:t>
            </w:r>
          </w:p>
        </w:tc>
        <w:tc>
          <w:tcPr>
            <w:tcW w:w="29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271,591</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278,266</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275,721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801,329</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834,951</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29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118,363</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128,331</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125,169</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332,727</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380,363</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9,894</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14,683</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25,273</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72.1%</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36,110</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52,115</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77,519</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49,428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51,100</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3.4%</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-34.1%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228,625</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149,548</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gridSpan w:val="2"/>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Net financial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113,848</w:t>
            </w: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124,112</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143,191</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321,879</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388,486</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gridSpan w:val="2"/>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100,784</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99,358</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110,345</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299,896</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307,941</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gridSpan w:val="2"/>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6,258</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6,806</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8,643</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27.0%</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23,743</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26,455</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1,373</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-491</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1,984</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-504.4%</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-4,046</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1,347</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w w:val="95"/>
              </w:rPr>
              <w:t>Gain (loss) from Grupo Pacifico and Banmedica agreement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4,136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5,974</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-528</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-108.8%</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8,564</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11,469</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Income tax</w:t>
            </w:r>
          </w:p>
        </w:tc>
        <w:tc>
          <w:tcPr>
            <w:tcW w:w="29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13,921</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7,763</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10,440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34.5%</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37,618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25,908</w:t>
            </w:r>
          </w:p>
        </w:tc>
        <w:tc>
          <w:tcPr>
            <w:tcW w:w="11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88,430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78,708</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83,605</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6.2%</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241,251</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243,456</w:t>
            </w:r>
          </w:p>
        </w:tc>
        <w:tc>
          <w:tcPr>
            <w:tcW w:w="11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8,289</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9,491</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-13,627</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-243.6%</w:t>
            </w:r>
          </w:p>
        </w:tc>
        <w:tc>
          <w:tcPr>
            <w:tcW w:w="18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25,235</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5,081</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gridSpan w:val="2"/>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80,140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69,217</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97,232</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40.5%</w:t>
            </w:r>
          </w:p>
        </w:tc>
        <w:tc>
          <w:tcPr>
            <w:tcW w:w="1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216,016</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238,375</w:t>
            </w: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9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2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Ceded</w:t>
            </w:r>
          </w:p>
        </w:tc>
        <w:tc>
          <w:tcPr>
            <w:tcW w:w="29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220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8"/>
              </w:rPr>
              <w:t>-130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(2)</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56.9%</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59.1%</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16"/>
                <w:szCs w:val="16"/>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color w:val="auto"/>
                <w:w w:val="99"/>
              </w:rPr>
              <w:t>-130 bps</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90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57.3%</w:t>
            </w:r>
          </w:p>
        </w:tc>
        <w:tc>
          <w:tcPr>
            <w:tcW w:w="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47.9%</w:t>
            </w:r>
          </w:p>
        </w:tc>
        <w:tc>
          <w:tcPr>
            <w:tcW w:w="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-940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Fees + underwriting expenses, net / net earned premiums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110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460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120" w:type="dxa"/>
            <w:vAlign w:val="bottom"/>
          </w:tcPr>
          <w:p>
            <w:pPr>
              <w:spacing w:after="0"/>
              <w:rPr>
                <w:sz w:val="12"/>
                <w:szCs w:val="12"/>
                <w:color w:val="auto"/>
              </w:rPr>
            </w:pPr>
          </w:p>
        </w:tc>
        <w:tc>
          <w:tcPr>
            <w:tcW w:w="98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20 bps</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-550 bps</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200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(3) (4)</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13.7%</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12.3%</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color w:val="auto"/>
              </w:rPr>
              <w:t>-80 bps</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-50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12.8%</w:t>
            </w:r>
          </w:p>
        </w:tc>
        <w:tc>
          <w:tcPr>
            <w:tcW w:w="6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-90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written premiums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340 bps</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210 bps</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Combined ratio of P&amp;C </w:t>
            </w:r>
            <w:r>
              <w:rPr>
                <w:rFonts w:ascii="Arial" w:cs="Arial" w:eastAsia="Arial" w:hAnsi="Arial"/>
                <w:sz w:val="23"/>
                <w:szCs w:val="23"/>
                <w:color w:val="auto"/>
                <w:vertAlign w:val="superscript"/>
              </w:rPr>
              <w:t>(5)</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88.0%</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97.9%</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7"/>
                <w:szCs w:val="17"/>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color w:val="auto"/>
                <w:w w:val="99"/>
              </w:rPr>
              <w:t>-210 bps</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780 bps</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89.1%</w:t>
            </w: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96.7%</w:t>
            </w:r>
          </w:p>
        </w:tc>
        <w:tc>
          <w:tcPr>
            <w:tcW w:w="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760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3Q16</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2Q17</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3Q17</w:t>
            </w:r>
          </w:p>
        </w:tc>
        <w:tc>
          <w:tcPr>
            <w:tcW w:w="1140" w:type="dxa"/>
            <w:vAlign w:val="bottom"/>
            <w:gridSpan w:val="3"/>
          </w:tcPr>
          <w:p>
            <w:pPr>
              <w:ind w:left="20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YoY</w:t>
            </w: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 16</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 17</w:t>
            </w: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Sep 17 / Sep 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Results</w:t>
            </w: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Net earned premiums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223,533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226,098</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234,486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651,518</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691,594</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claims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-189,433</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-187,669</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-196,730</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-549,618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-572,316</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Net fees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-10,467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-10,464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-10,348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-30,034</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-31,416</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underwriting expenses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-3,088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-9,483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-8,987</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b w:val="1"/>
                <w:bCs w:val="1"/>
                <w:color w:val="auto"/>
              </w:rPr>
              <w:t>Underwriting result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20,545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25,154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24,385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62,383</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78,875</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26.4%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Net financial income</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3,870</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3,660</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-16,751</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-17,740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-18,751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-50,152</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-53,798</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852</w:t>
            </w: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2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-142.8%</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1,692</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1,005</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Traslations results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w:t>
            </w:r>
          </w:p>
        </w:tc>
        <w:tc>
          <w:tcPr>
            <w:tcW w:w="11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N/A</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-1,940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-2,615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-5,588</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-9,180</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before Medical services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4,145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6,147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4,647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-24.4%</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12.1%</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11,962</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20,410</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70.6%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of Medical services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12,020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13,343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16,008</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20.0%</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33.2%</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32,482</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43,304</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33.3%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0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16,164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19,490</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20,655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6.0%</w:t>
            </w:r>
          </w:p>
        </w:tc>
        <w:tc>
          <w:tcPr>
            <w:tcW w:w="2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27.8%</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44,444</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63,714</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Prima AFP</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Main financial indicators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3"/>
          </w:tcPr>
          <w:p>
            <w:pPr>
              <w:ind w:left="48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620"/>
              <w:spacing w:after="0"/>
              <w:rPr>
                <w:sz w:val="20"/>
                <w:szCs w:val="20"/>
                <w:color w:val="auto"/>
              </w:rPr>
            </w:pPr>
            <w:r>
              <w:rPr>
                <w:rFonts w:ascii="Arial" w:cs="Arial" w:eastAsia="Arial" w:hAnsi="Arial"/>
                <w:sz w:val="14"/>
                <w:szCs w:val="14"/>
                <w:b w:val="1"/>
                <w:bCs w:val="1"/>
                <w:color w:val="auto"/>
              </w:rPr>
              <w:t>YTD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3Q16</w:t>
            </w:r>
          </w:p>
        </w:tc>
        <w:tc>
          <w:tcPr>
            <w:tcW w:w="2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b w:val="1"/>
                <w:bCs w:val="1"/>
                <w:color w:val="auto"/>
              </w:rPr>
              <w:t>2Q17</w:t>
            </w:r>
          </w:p>
        </w:tc>
        <w:tc>
          <w:tcPr>
            <w:tcW w:w="26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3Q17</w:t>
            </w:r>
          </w:p>
        </w:tc>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YoY</w:t>
            </w:r>
          </w:p>
        </w:tc>
        <w:tc>
          <w:tcPr>
            <w:tcW w:w="2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Sep 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Sep 17</w:t>
            </w:r>
          </w:p>
        </w:tc>
        <w:tc>
          <w:tcPr>
            <w:tcW w:w="100" w:type="dxa"/>
            <w:vAlign w:val="bottom"/>
          </w:tcPr>
          <w:p>
            <w:pPr>
              <w:spacing w:after="0"/>
              <w:rPr>
                <w:sz w:val="14"/>
                <w:szCs w:val="14"/>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Sep 17 / Sep 16</w:t>
            </w:r>
          </w:p>
        </w:tc>
        <w:tc>
          <w:tcPr>
            <w:tcW w:w="0" w:type="dxa"/>
            <w:vAlign w:val="bottom"/>
          </w:tcPr>
          <w:p>
            <w:pPr>
              <w:spacing w:after="0"/>
              <w:rPr>
                <w:sz w:val="1"/>
                <w:szCs w:val="1"/>
                <w:color w:val="auto"/>
              </w:rPr>
            </w:pPr>
          </w:p>
        </w:tc>
      </w:tr>
      <w:tr>
        <w:trPr>
          <w:trHeight w:val="20"/>
        </w:trPr>
        <w:tc>
          <w:tcPr>
            <w:tcW w:w="384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842,608</w:t>
            </w:r>
          </w:p>
        </w:tc>
        <w:tc>
          <w:tcPr>
            <w:tcW w:w="24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763,745</w:t>
            </w:r>
          </w:p>
        </w:tc>
        <w:tc>
          <w:tcPr>
            <w:tcW w:w="26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830,346</w:t>
            </w:r>
          </w:p>
        </w:tc>
        <w:tc>
          <w:tcPr>
            <w:tcW w:w="260" w:type="dxa"/>
            <w:vAlign w:val="bottom"/>
            <w:vMerge w:val="continue"/>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8.7%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-1.5%</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842,608</w:t>
            </w: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830,346</w:t>
            </w:r>
          </w:p>
        </w:tc>
        <w:tc>
          <w:tcPr>
            <w:tcW w:w="1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3940" w:type="dxa"/>
            <w:vAlign w:val="bottom"/>
            <w:gridSpan w:val="3"/>
          </w:tcPr>
          <w:p>
            <w:pPr>
              <w:spacing w:after="0" w:line="149" w:lineRule="exact"/>
              <w:rPr>
                <w:sz w:val="20"/>
                <w:szCs w:val="20"/>
                <w:color w:val="auto"/>
              </w:rPr>
            </w:pPr>
            <w:r>
              <w:rPr>
                <w:rFonts w:ascii="Arial" w:cs="Arial" w:eastAsia="Arial" w:hAnsi="Arial"/>
                <w:sz w:val="14"/>
                <w:szCs w:val="14"/>
                <w:color w:val="auto"/>
              </w:rPr>
              <w:t>Total liabilities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268,026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227,011</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249,885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268,026</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249,885</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62"/>
        </w:trPr>
        <w:tc>
          <w:tcPr>
            <w:tcW w:w="3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shareholders'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574,583</w:t>
            </w:r>
          </w:p>
        </w:tc>
        <w:tc>
          <w:tcPr>
            <w:tcW w:w="2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536,734</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580,461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574,583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580,461</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4"/>
                <w:szCs w:val="14"/>
                <w:color w:val="auto"/>
              </w:rPr>
              <w:t>Income from commissions</w:t>
            </w: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gridSpan w:val="3"/>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101,776</w:t>
            </w:r>
          </w:p>
        </w:tc>
        <w:tc>
          <w:tcPr>
            <w:tcW w:w="24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99,346</w:t>
            </w:r>
          </w:p>
        </w:tc>
        <w:tc>
          <w:tcPr>
            <w:tcW w:w="260" w:type="dxa"/>
            <w:vAlign w:val="bottom"/>
            <w:vMerge w:val="continue"/>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89,136</w:t>
            </w:r>
          </w:p>
        </w:tc>
        <w:tc>
          <w:tcPr>
            <w:tcW w:w="260" w:type="dxa"/>
            <w:vAlign w:val="bottom"/>
            <w:vMerge w:val="continue"/>
          </w:tcPr>
          <w:p>
            <w:pPr>
              <w:spacing w:after="0"/>
              <w:rPr>
                <w:sz w:val="12"/>
                <w:szCs w:val="12"/>
                <w:color w:val="auto"/>
              </w:rPr>
            </w:pPr>
          </w:p>
        </w:tc>
        <w:tc>
          <w:tcPr>
            <w:tcW w:w="9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-10.3%</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-12.4%</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304,020</w:t>
            </w: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291,690</w:t>
            </w:r>
          </w:p>
        </w:tc>
        <w:tc>
          <w:tcPr>
            <w:tcW w:w="1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3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Administrative and sale expenses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(37,493)</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(37,376)</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(39,840)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-117,196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-116,861</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3940" w:type="dxa"/>
            <w:vAlign w:val="bottom"/>
            <w:gridSpan w:val="3"/>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(5,370)</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(6,109)</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(5,843)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-15,566</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-17,973</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3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58,913</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55,861</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43,453</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-22.2%</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-26.2%</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171,258</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156,856</w:t>
            </w:r>
          </w:p>
        </w:tc>
        <w:tc>
          <w:tcPr>
            <w:tcW w:w="11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49"/>
        </w:trPr>
        <w:tc>
          <w:tcPr>
            <w:tcW w:w="3940" w:type="dxa"/>
            <w:vAlign w:val="bottom"/>
            <w:gridSpan w:val="3"/>
          </w:tcPr>
          <w:p>
            <w:pPr>
              <w:spacing w:after="0" w:line="149" w:lineRule="exact"/>
              <w:rPr>
                <w:sz w:val="20"/>
                <w:szCs w:val="20"/>
                <w:color w:val="auto"/>
              </w:rPr>
            </w:pPr>
            <w:r>
              <w:rPr>
                <w:rFonts w:ascii="Arial" w:cs="Arial" w:eastAsia="Arial" w:hAnsi="Arial"/>
                <w:sz w:val="14"/>
                <w:szCs w:val="14"/>
                <w:color w:val="auto"/>
              </w:rPr>
              <w:t>Other income and expenses, net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(791)</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1,354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-199.9%</w:t>
            </w:r>
          </w:p>
        </w:tc>
        <w:tc>
          <w:tcPr>
            <w:tcW w:w="1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-271.1%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1,159</w:t>
            </w:r>
          </w:p>
        </w:tc>
        <w:tc>
          <w:tcPr>
            <w:tcW w:w="1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-346.0%</w:t>
            </w:r>
          </w:p>
        </w:tc>
        <w:tc>
          <w:tcPr>
            <w:tcW w:w="0" w:type="dxa"/>
            <w:vAlign w:val="bottom"/>
          </w:tcPr>
          <w:p>
            <w:pPr>
              <w:spacing w:after="0"/>
              <w:rPr>
                <w:sz w:val="1"/>
                <w:szCs w:val="1"/>
                <w:color w:val="auto"/>
              </w:rPr>
            </w:pPr>
          </w:p>
        </w:tc>
      </w:tr>
      <w:tr>
        <w:trPr>
          <w:trHeight w:val="149"/>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Income tax</w:t>
            </w: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(16,410)</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(15,917)</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(15,377)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-48,627</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-48,353</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3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income before translation results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41,712</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38,590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29,429</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-23.7%</w:t>
            </w:r>
          </w:p>
        </w:tc>
        <w:tc>
          <w:tcPr>
            <w:tcW w:w="1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-29.4%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122,160</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109,662</w:t>
            </w: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49"/>
        </w:trPr>
        <w:tc>
          <w:tcPr>
            <w:tcW w:w="39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Translations results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127</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62"/>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41,840</w:t>
            </w:r>
          </w:p>
        </w:tc>
        <w:tc>
          <w:tcPr>
            <w:tcW w:w="2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38,545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29,401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-23.7%</w:t>
            </w:r>
          </w:p>
        </w:tc>
        <w:tc>
          <w:tcPr>
            <w:tcW w:w="1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-29.7%</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121,455</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109,657</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20"/>
        </w:trPr>
        <w:tc>
          <w:tcPr>
            <w:tcW w:w="660" w:type="dxa"/>
            <w:vAlign w:val="bottom"/>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ROAE </w:t>
            </w:r>
            <w:r>
              <w:rPr>
                <w:rFonts w:ascii="Arial" w:cs="Arial" w:eastAsia="Arial" w:hAnsi="Arial"/>
                <w:sz w:val="23"/>
                <w:szCs w:val="23"/>
                <w:b w:val="1"/>
                <w:bCs w:val="1"/>
                <w:color w:val="auto"/>
                <w:vertAlign w:val="superscript"/>
              </w:rPr>
              <w:t>(1)</w:t>
            </w:r>
          </w:p>
        </w:tc>
        <w:tc>
          <w:tcPr>
            <w:tcW w:w="3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vMerge w:val="continue"/>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30.7%</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30.2%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21.1%</w:t>
            </w: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Jun 17</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 17</w:t>
            </w:r>
          </w:p>
        </w:tc>
        <w:tc>
          <w:tcPr>
            <w:tcW w:w="1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Fund 1</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5,255</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11.5%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32,543</w:t>
            </w: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Fund 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7,517</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16.4%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7,858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16.4%</w:t>
            </w: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45,737</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47,933</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426"/>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Source: SBS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40" w:type="dxa"/>
            <w:vAlign w:val="bottom"/>
            <w:gridSpan w:val="8"/>
          </w:tcPr>
          <w:p>
            <w:pPr>
              <w:jc w:val="right"/>
              <w:ind w:right="100"/>
              <w:spacing w:after="0"/>
              <w:rPr>
                <w:sz w:val="20"/>
                <w:szCs w:val="20"/>
                <w:color w:val="auto"/>
              </w:rPr>
            </w:pPr>
            <w:r>
              <w:rPr>
                <w:rFonts w:ascii="Arial" w:cs="Arial" w:eastAsia="Arial" w:hAnsi="Arial"/>
                <w:sz w:val="18"/>
                <w:szCs w:val="18"/>
                <w:b w:val="1"/>
                <w:bCs w:val="1"/>
                <w:color w:val="auto"/>
                <w:w w:val="91"/>
              </w:rPr>
              <w:t>Jun 17 / Jun 16   Sep 17 / Sep 16</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17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left w:val="single" w:sz="8" w:color="CCEE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3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Fund 1</w:t>
            </w:r>
          </w:p>
        </w:tc>
        <w:tc>
          <w:tcPr>
            <w:tcW w:w="3120" w:type="dxa"/>
            <w:vAlign w:val="bottom"/>
            <w:gridSpan w:val="5"/>
          </w:tcPr>
          <w:p>
            <w:pPr>
              <w:jc w:val="right"/>
              <w:ind w:right="8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3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Fund 3</w:t>
            </w:r>
          </w:p>
        </w:tc>
        <w:tc>
          <w:tcPr>
            <w:tcW w:w="3120" w:type="dxa"/>
            <w:vAlign w:val="bottom"/>
            <w:gridSpan w:val="5"/>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17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2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4380" w:type="dxa"/>
            <w:vAlign w:val="bottom"/>
            <w:gridSpan w:val="9"/>
          </w:tcPr>
          <w:p>
            <w:pPr>
              <w:ind w:left="100"/>
              <w:spacing w:after="0"/>
              <w:rPr>
                <w:sz w:val="20"/>
                <w:szCs w:val="20"/>
                <w:color w:val="auto"/>
              </w:rPr>
            </w:pPr>
            <w:r>
              <w:rPr>
                <w:rFonts w:ascii="Arial" w:cs="Arial" w:eastAsia="Arial" w:hAnsi="Arial"/>
                <w:sz w:val="18"/>
                <w:szCs w:val="18"/>
                <w:color w:val="auto"/>
                <w:w w:val="99"/>
              </w:rPr>
              <w:t>1.60% Applied to the affiliates' monthly remuneration.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1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Flow</w:t>
            </w:r>
          </w:p>
        </w:tc>
        <w:tc>
          <w:tcPr>
            <w:tcW w:w="7980" w:type="dxa"/>
            <w:vAlign w:val="bottom"/>
            <w:gridSpan w:val="16"/>
          </w:tcPr>
          <w:p>
            <w:pPr>
              <w:ind w:left="100"/>
              <w:spacing w:after="0"/>
              <w:rPr>
                <w:sz w:val="20"/>
                <w:szCs w:val="20"/>
                <w:color w:val="auto"/>
              </w:rPr>
            </w:pPr>
            <w:r>
              <w:rPr>
                <w:rFonts w:ascii="Arial" w:cs="Arial" w:eastAsia="Arial" w:hAnsi="Arial"/>
                <w:sz w:val="18"/>
                <w:szCs w:val="18"/>
                <w:color w:val="auto"/>
              </w:rPr>
              <w:t>0.18% Applied to the affiliates' monthly remuneration since June 2017. Feb 17- may 17 =0.87%.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Balance</w:t>
            </w:r>
          </w:p>
        </w:tc>
        <w:tc>
          <w:tcPr>
            <w:tcW w:w="9000" w:type="dxa"/>
            <w:vAlign w:val="bottom"/>
            <w:gridSpan w:val="18"/>
          </w:tcPr>
          <w:p>
            <w:pPr>
              <w:ind w:left="100"/>
              <w:spacing w:after="0"/>
              <w:rPr>
                <w:sz w:val="20"/>
                <w:szCs w:val="20"/>
                <w:color w:val="auto"/>
              </w:rPr>
            </w:pPr>
            <w:r>
              <w:rPr>
                <w:rFonts w:ascii="Arial" w:cs="Arial" w:eastAsia="Arial" w:hAnsi="Arial"/>
                <w:sz w:val="18"/>
                <w:szCs w:val="18"/>
                <w:color w:val="auto"/>
                <w:w w:val="94"/>
              </w:rPr>
              <w:t>1.25% 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5740" w:type="dxa"/>
            <w:vAlign w:val="bottom"/>
            <w:gridSpan w:val="12"/>
          </w:tcPr>
          <w:p>
            <w:pPr>
              <w:jc w:val="right"/>
              <w:ind w:right="360"/>
              <w:spacing w:after="0"/>
              <w:rPr>
                <w:sz w:val="20"/>
                <w:szCs w:val="20"/>
                <w:color w:val="auto"/>
              </w:rPr>
            </w:pPr>
            <w:r>
              <w:rPr>
                <w:rFonts w:ascii="Arial" w:cs="Arial" w:eastAsia="Arial" w:hAnsi="Arial"/>
                <w:sz w:val="18"/>
                <w:szCs w:val="18"/>
                <w:color w:val="auto"/>
              </w:rPr>
              <w:t>2013 for old affiliates who have chosen this commission scheme.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rPr>
              <w:t>Prima</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System</w:t>
            </w:r>
          </w:p>
        </w:tc>
        <w:tc>
          <w:tcPr>
            <w:tcW w:w="22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share</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Prima</w:t>
            </w: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System</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 share</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Main indicators and market share</w:t>
            </w:r>
          </w:p>
        </w:tc>
        <w:tc>
          <w:tcPr>
            <w:tcW w:w="17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2Q17</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2Q17</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2Q17</w:t>
            </w: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3Q17</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3Q17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Affiliates</w:t>
            </w:r>
          </w:p>
        </w:tc>
        <w:tc>
          <w:tcPr>
            <w:tcW w:w="2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1,499,027</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6,429,700</w:t>
            </w:r>
          </w:p>
        </w:tc>
        <w:tc>
          <w:tcPr>
            <w:tcW w:w="220" w:type="dxa"/>
            <w:vAlign w:val="bottom"/>
            <w:tcBorders>
              <w:left w:val="single" w:sz="8" w:color="CCEEFF"/>
            </w:tcBorders>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23.3%</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1,596,158</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6,522,565</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3"/>
                <w:szCs w:val="13"/>
                <w:color w:val="auto"/>
              </w:rPr>
              <w:t xml:space="preserve">New affiliations </w:t>
            </w:r>
            <w:r>
              <w:rPr>
                <w:rFonts w:ascii="Arial" w:cs="Arial" w:eastAsia="Arial" w:hAnsi="Arial"/>
                <w:sz w:val="21"/>
                <w:szCs w:val="21"/>
                <w:color w:val="auto"/>
                <w:vertAlign w:val="superscript"/>
              </w:rPr>
              <w:t>(1)</w:t>
            </w:r>
          </w:p>
        </w:tc>
        <w:tc>
          <w:tcPr>
            <w:tcW w:w="3460" w:type="dxa"/>
            <w:vAlign w:val="bottom"/>
            <w:gridSpan w:val="7"/>
          </w:tcPr>
          <w:p>
            <w:pPr>
              <w:jc w:val="right"/>
              <w:ind w:right="240"/>
              <w:spacing w:after="0"/>
              <w:rPr>
                <w:sz w:val="20"/>
                <w:szCs w:val="20"/>
                <w:color w:val="auto"/>
              </w:rPr>
            </w:pPr>
            <w:r>
              <w:rPr>
                <w:rFonts w:ascii="Arial" w:cs="Arial" w:eastAsia="Arial" w:hAnsi="Arial"/>
                <w:sz w:val="14"/>
                <w:szCs w:val="14"/>
                <w:color w:val="auto"/>
              </w:rPr>
              <w:t>24,450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76,297</w:t>
            </w:r>
          </w:p>
        </w:tc>
        <w:tc>
          <w:tcPr>
            <w:tcW w:w="1360" w:type="dxa"/>
            <w:vAlign w:val="bottom"/>
            <w:gridSpan w:val="3"/>
          </w:tcPr>
          <w:p>
            <w:pPr>
              <w:jc w:val="right"/>
              <w:ind w:right="120"/>
              <w:spacing w:after="0"/>
              <w:rPr>
                <w:sz w:val="20"/>
                <w:szCs w:val="20"/>
                <w:color w:val="auto"/>
              </w:rPr>
            </w:pPr>
            <w:r>
              <w:rPr>
                <w:rFonts w:ascii="Arial" w:cs="Arial" w:eastAsia="Arial" w:hAnsi="Arial"/>
                <w:sz w:val="14"/>
                <w:szCs w:val="14"/>
                <w:color w:val="auto"/>
              </w:rPr>
              <w:t>32.0%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97,180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97,180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Funds under management (S/ Millions)</w:t>
            </w:r>
          </w:p>
        </w:tc>
        <w:tc>
          <w:tcPr>
            <w:tcW w:w="3460" w:type="dxa"/>
            <w:vAlign w:val="bottom"/>
            <w:gridSpan w:val="7"/>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45,737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144,417</w:t>
            </w:r>
          </w:p>
        </w:tc>
        <w:tc>
          <w:tcPr>
            <w:tcW w:w="13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31.7%</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47,933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151,586</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Collections (S/ Millions)</w:t>
            </w:r>
          </w:p>
        </w:tc>
        <w:tc>
          <w:tcPr>
            <w:tcW w:w="3460" w:type="dxa"/>
            <w:vAlign w:val="bottom"/>
            <w:gridSpan w:val="7"/>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2,459</w:t>
            </w:r>
          </w:p>
        </w:tc>
        <w:tc>
          <w:tcPr>
            <w:tcW w:w="13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30.5%</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Voluntary contributions (S/ Millions) </w:t>
            </w:r>
            <w:r>
              <w:rPr>
                <w:rFonts w:ascii="Arial" w:cs="Arial" w:eastAsia="Arial" w:hAnsi="Arial"/>
                <w:sz w:val="21"/>
                <w:szCs w:val="21"/>
                <w:color w:val="auto"/>
                <w:vertAlign w:val="superscript"/>
              </w:rPr>
              <w:t>(1)</w:t>
            </w:r>
          </w:p>
        </w:tc>
        <w:tc>
          <w:tcPr>
            <w:tcW w:w="3460" w:type="dxa"/>
            <w:vAlign w:val="bottom"/>
            <w:gridSpan w:val="7"/>
            <w:shd w:val="clear" w:color="auto" w:fill="CCEEFF"/>
          </w:tcPr>
          <w:p>
            <w:pPr>
              <w:jc w:val="right"/>
              <w:ind w:right="240"/>
              <w:spacing w:after="0"/>
              <w:rPr>
                <w:sz w:val="20"/>
                <w:szCs w:val="20"/>
                <w:color w:val="auto"/>
              </w:rPr>
            </w:pPr>
            <w:r>
              <w:rPr>
                <w:rFonts w:ascii="Arial" w:cs="Arial" w:eastAsia="Arial" w:hAnsi="Arial"/>
                <w:sz w:val="14"/>
                <w:szCs w:val="14"/>
                <w:color w:val="auto"/>
              </w:rPr>
              <w:t>559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3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681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4"/>
                <w:szCs w:val="14"/>
                <w:color w:val="auto"/>
              </w:rPr>
              <w:t xml:space="preserve">RAM (S/ Millions) </w:t>
            </w:r>
            <w:r>
              <w:rPr>
                <w:rFonts w:ascii="Arial" w:cs="Arial" w:eastAsia="Arial" w:hAnsi="Arial"/>
                <w:sz w:val="23"/>
                <w:szCs w:val="23"/>
                <w:color w:val="auto"/>
                <w:vertAlign w:val="superscript"/>
              </w:rPr>
              <w:t>(2)</w:t>
            </w:r>
          </w:p>
        </w:tc>
        <w:tc>
          <w:tcPr>
            <w:tcW w:w="2280" w:type="dxa"/>
            <w:vAlign w:val="bottom"/>
            <w:gridSpan w:val="3"/>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2,196</w:t>
            </w:r>
          </w:p>
        </w:tc>
        <w:tc>
          <w:tcPr>
            <w:tcW w:w="24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7,071</w:t>
            </w:r>
          </w:p>
        </w:tc>
        <w:tc>
          <w:tcPr>
            <w:tcW w:w="1360" w:type="dxa"/>
            <w:vAlign w:val="bottom"/>
            <w:gridSpan w:val="3"/>
          </w:tcPr>
          <w:p>
            <w:pPr>
              <w:jc w:val="right"/>
              <w:ind w:right="120"/>
              <w:spacing w:after="0"/>
              <w:rPr>
                <w:sz w:val="20"/>
                <w:szCs w:val="20"/>
                <w:color w:val="auto"/>
              </w:rPr>
            </w:pPr>
            <w:r>
              <w:rPr>
                <w:rFonts w:ascii="Arial" w:cs="Arial" w:eastAsia="Arial" w:hAnsi="Arial"/>
                <w:sz w:val="14"/>
                <w:szCs w:val="14"/>
                <w:color w:val="auto"/>
              </w:rPr>
              <w:t>31.1%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2,335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7,179</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April and May AFP Habitat had exclusivity of affiliation. From June Prima AFP it has exclusivity for being a winner of bidding.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spacing w:after="0"/>
        <w:tabs>
          <w:tab w:leader="none" w:pos="64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5"/>
          <w:szCs w:val="15"/>
          <w:b w:val="1"/>
          <w:bCs w:val="1"/>
          <w:color w:val="auto"/>
        </w:rPr>
        <w:t>Table of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 on loans (NIM on loans)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assets (ROAA)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equity (ROAE)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overdue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 performing loans ratio (NPL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internal overdue loans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non - performing loans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Ratio of P&amp;C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Result / Net Earned Premium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Tier 1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Equity Tier 1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4680"/>
        <w:spacing w:after="0"/>
        <w:rPr>
          <w:sz w:val="20"/>
          <w:szCs w:val="20"/>
          <w:color w:val="auto"/>
        </w:rPr>
      </w:pPr>
      <w:r>
        <w:rPr>
          <w:rFonts w:ascii="Arial" w:cs="Arial" w:eastAsia="Arial" w:hAnsi="Arial"/>
          <w:sz w:val="17"/>
          <w:szCs w:val="17"/>
          <w:b w:val="1"/>
          <w:bCs w:val="1"/>
          <w:color w:val="auto"/>
        </w:rPr>
        <w:t xml:space="preserve">Table of calculations </w:t>
      </w:r>
      <w:r>
        <w:rPr>
          <w:rFonts w:ascii="Arial" w:cs="Arial" w:eastAsia="Arial" w:hAnsi="Arial"/>
          <w:sz w:val="28"/>
          <w:szCs w:val="28"/>
          <w:b w:val="1"/>
          <w:bCs w:val="1"/>
          <w:color w:val="auto"/>
          <w:vertAlign w:val="superscript"/>
        </w:rPr>
        <w:t>(1)</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Profitability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Income / Average Interest Earning Assets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Annualized (Interest on loans − (Interest expense x (Average total loans / Average Interest earning assets)) / Average Total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net equity</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Portfolio quality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Internal overdue loans / Gross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 − performing loans / Gross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Internal overdue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loans losses / Non − 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provisions for loan losses / Gross loans</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claims / Net earned premiums + Acquisition cost + operating expenses / Net earned premiums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Does not include Life insurance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claims / Net earned premiums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 Net claims − Acquisition cost / Net Earned Premiums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Operating performance</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(Net interest income + Fee income + Result on exchange difference + Net gain on Derivatives + Net gain on foreign exchange transactions + Net gain from associates + Net premium earned)</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(Salaries and employee benefits + Administrative expenses + Depreciation and amortization + Acquisition cost) / Average total assets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Capital Adequacy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 Risk – weighted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Tier 1 / Risk – weighted assets</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 xml:space="preserve">Capital + Reserves – 100% of applicable deductions </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 Retained Earnings + Unrealized gains or losses</w:t>
      </w:r>
    </w:p>
    <w:p>
      <w:pPr>
        <w:spacing w:after="0" w:line="200" w:lineRule="exact"/>
        <w:rPr>
          <w:sz w:val="20"/>
          <w:szCs w:val="20"/>
          <w:color w:val="auto"/>
        </w:rPr>
      </w:pPr>
    </w:p>
    <w:p>
      <w:pPr>
        <w:sectPr>
          <w:pgSz w:w="11900" w:h="16838" w:orient="portrait"/>
          <w:cols w:equalWidth="0" w:num="2">
            <w:col w:w="3980" w:space="720"/>
            <w:col w:w="6720"/>
          </w:cols>
          <w:pgMar w:left="240" w:top="905" w:right="239" w:bottom="1440" w:gutter="0" w:footer="0" w:header="0"/>
        </w:sectPr>
      </w:pPr>
    </w:p>
    <w:p>
      <w:pPr>
        <w:spacing w:after="0" w:line="2"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1)"/>
      <w:numFmt w:val="decimal"/>
      <w:start w:val="1"/>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1."/>
      <w:numFmt w:val="decimal"/>
      <w:start w:val="1"/>
    </w:lvl>
  </w:abstractNum>
  <w:abstractNum w:abstractNumId="5">
    <w:nsid w:val="542289EC"/>
    <w:multiLevelType w:val="hybridMultilevel"/>
    <w:lvl w:ilvl="0">
      <w:lvlJc w:val="left"/>
      <w:lvlText w:val="(%1)"/>
      <w:numFmt w:val="lowerRoman"/>
      <w:start w:val="1"/>
    </w:lvl>
  </w:abstractNum>
  <w:abstractNum w:abstractNumId="6">
    <w:nsid w:val="6DE91B18"/>
    <w:multiLevelType w:val="hybridMultilevel"/>
    <w:lvl w:ilvl="0">
      <w:lvlJc w:val="left"/>
      <w:lvlText w:val="(%1)"/>
      <w:numFmt w:val="lowerRoman"/>
      <w:start w:val="1"/>
    </w:lvl>
  </w:abstractNum>
  <w:abstractNum w:abstractNumId="7">
    <w:nsid w:val="38437FDB"/>
    <w:multiLevelType w:val="hybridMultilevel"/>
    <w:lvl w:ilvl="0">
      <w:lvlJc w:val="left"/>
      <w:lvlText w:val="(%1)"/>
      <w:numFmt w:val="decimal"/>
      <w:start w:val="1"/>
    </w:lvl>
  </w:abstractNum>
  <w:abstractNum w:abstractNumId="8">
    <w:nsid w:val="7644A45C"/>
    <w:multiLevelType w:val="hybridMultilevel"/>
    <w:lvl w:ilvl="0">
      <w:lvlJc w:val="left"/>
      <w:lvlText w:val="(%1)"/>
      <w:numFmt w:val="lowerRoman"/>
      <w:start w:val="1"/>
    </w:lvl>
  </w:abstractNum>
  <w:abstractNum w:abstractNumId="9">
    <w:nsid w:val="32FFF902"/>
    <w:multiLevelType w:val="hybridMultilevel"/>
    <w:lvl w:ilvl="0">
      <w:lvlJc w:val="left"/>
      <w:lvlText w:val="(%1)"/>
      <w:numFmt w:val="lowerRoman"/>
      <w:start w:val="1"/>
    </w:lvl>
  </w:abstractNum>
  <w:abstractNum w:abstractNumId="10">
    <w:nsid w:val="684A481A"/>
    <w:multiLevelType w:val="hybridMultilevel"/>
    <w:lvl w:ilvl="0">
      <w:lvlJc w:val="left"/>
      <w:lvlText w:val="(%1)"/>
      <w:numFmt w:val="decimal"/>
      <w:start w:val="1"/>
    </w:lvl>
  </w:abstractNum>
  <w:abstractNum w:abstractNumId="11">
    <w:nsid w:val="579478FE"/>
    <w:multiLevelType w:val="hybridMultilevel"/>
    <w:lvl w:ilvl="0">
      <w:lvlJc w:val="left"/>
      <w:lvlText w:val="%1."/>
      <w:numFmt w:val="decimal"/>
      <w:start w:val="2"/>
    </w:lvl>
  </w:abstractNum>
  <w:abstractNum w:abstractNumId="12">
    <w:nsid w:val="749ABB43"/>
    <w:multiLevelType w:val="hybridMultilevel"/>
    <w:lvl w:ilvl="0">
      <w:lvlJc w:val="left"/>
      <w:lvlText w:val="(%1)"/>
      <w:numFmt w:val="decimal"/>
      <w:start w:val="1"/>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bullet"/>
      <w:start w:val="1"/>
    </w:lvl>
  </w:abstractNum>
  <w:abstractNum w:abstractNumId="17">
    <w:nsid w:val="12E685FB"/>
    <w:multiLevelType w:val="hybridMultilevel"/>
    <w:lvl w:ilvl="0">
      <w:lvlJc w:val="left"/>
      <w:lvlText w:val="(%1)"/>
      <w:numFmt w:val="lowerRoman"/>
      <w:start w:val="1"/>
    </w:lvl>
  </w:abstractNum>
  <w:abstractNum w:abstractNumId="18">
    <w:nsid w:val="70C6A529"/>
    <w:multiLevelType w:val="hybridMultilevel"/>
    <w:lvl w:ilvl="0">
      <w:lvlJc w:val="left"/>
      <w:lvlText w:val="(%1)"/>
      <w:numFmt w:val="lowerRoman"/>
      <w:start w:val="1"/>
    </w:lvl>
  </w:abstractNum>
  <w:abstractNum w:abstractNumId="19">
    <w:nsid w:val="520EEDD1"/>
    <w:multiLevelType w:val="hybridMultilevel"/>
    <w:lvl w:ilvl="0">
      <w:lvlJc w:val="left"/>
      <w:lvlText w:val="(%1)"/>
      <w:numFmt w:val="lowerRoman"/>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2"/>
      <w:numFmt w:val="bullet"/>
      <w:start w:val="1"/>
    </w:lvl>
  </w:abstractNum>
  <w:abstractNum w:abstractNumId="22">
    <w:nsid w:val="23F9C13C"/>
    <w:multiLevelType w:val="hybridMultilevel"/>
    <w:lvl w:ilvl="0">
      <w:lvlJc w:val="left"/>
      <w:lvlText w:val="%1."/>
      <w:numFmt w:val="decimal"/>
      <w:start w:val="3"/>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1)"/>
      <w:numFmt w:val="lowerRoman"/>
      <w:start w:val="1"/>
    </w:lvl>
  </w:abstractNum>
  <w:abstractNum w:abstractNumId="25">
    <w:nsid w:val="39386575"/>
    <w:multiLevelType w:val="hybridMultilevel"/>
    <w:lvl w:ilvl="0">
      <w:lvlJc w:val="left"/>
      <w:lvlText w:val="3"/>
      <w:numFmt w:val="bullet"/>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lowerRoman"/>
      <w:start w:val="1"/>
    </w:lvl>
  </w:abstractNum>
  <w:abstractNum w:abstractNumId="28">
    <w:nsid w:val="235BA861"/>
    <w:multiLevelType w:val="hybridMultilevel"/>
    <w:lvl w:ilvl="0">
      <w:lvlJc w:val="left"/>
      <w:lvlText w:val="(%1)"/>
      <w:numFmt w:val="lowerRoman"/>
      <w:start w:val="1"/>
    </w:lvl>
  </w:abstractNum>
  <w:abstractNum w:abstractNumId="29">
    <w:nsid w:val="47398C89"/>
    <w:multiLevelType w:val="hybridMultilevel"/>
    <w:lvl w:ilvl="0">
      <w:lvlJc w:val="left"/>
      <w:lvlText w:val="(%1)"/>
      <w:numFmt w:val="lowerRoman"/>
      <w:start w:val="1"/>
    </w:lvl>
  </w:abstractNum>
  <w:abstractNum w:abstractNumId="30">
    <w:nsid w:val="354FE9F9"/>
    <w:multiLevelType w:val="hybridMultilevel"/>
    <w:lvl w:ilvl="0">
      <w:lvlJc w:val="left"/>
      <w:lvlText w:val="(%1)"/>
      <w:numFmt w:val="lowerRoman"/>
      <w:start w:val="2"/>
    </w:lvl>
  </w:abstractNum>
  <w:abstractNum w:abstractNumId="31">
    <w:nsid w:val="15B5AF5C"/>
    <w:multiLevelType w:val="hybridMultilevel"/>
    <w:lvl w:ilvl="0">
      <w:lvlJc w:val="left"/>
      <w:lvlText w:val="(%1)"/>
      <w:numFmt w:val="lowerRoman"/>
      <w:start w:val="3"/>
    </w:lvl>
  </w:abstractNum>
  <w:abstractNum w:abstractNumId="32">
    <w:nsid w:val="741226BB"/>
    <w:multiLevelType w:val="hybridMultilevel"/>
    <w:lvl w:ilvl="0">
      <w:lvlJc w:val="left"/>
      <w:lvlText w:val="(%1)"/>
      <w:numFmt w:val="lowerRoman"/>
      <w:start w:val="4"/>
    </w:lvl>
  </w:abstractNum>
  <w:abstractNum w:abstractNumId="33">
    <w:nsid w:val="D34B6A8"/>
    <w:multiLevelType w:val="hybridMultilevel"/>
    <w:lvl w:ilvl="0">
      <w:lvlJc w:val="left"/>
      <w:lvlText w:val="%1"/>
      <w:numFmt w:val="lowerRoman"/>
      <w:start w:val="1"/>
    </w:lvl>
    <w:lvl w:ilvl="1">
      <w:lvlJc w:val="left"/>
      <w:lvlText w:val="(%2)"/>
      <w:numFmt w:val="decimal"/>
      <w:start w:val="1"/>
    </w:lvl>
  </w:abstractNum>
  <w:abstractNum w:abstractNumId="34">
    <w:nsid w:val="10233C99"/>
    <w:multiLevelType w:val="hybridMultilevel"/>
    <w:lvl w:ilvl="0">
      <w:lvlJc w:val="left"/>
      <w:lvlText w:val="(%1)"/>
      <w:numFmt w:val="lowerRoman"/>
      <w:start w:val="5"/>
    </w:lvl>
    <w:lvl w:ilvl="1">
      <w:lvlJc w:val="left"/>
      <w:lvlText w:val="%2"/>
      <w:numFmt w:val="decimal"/>
      <w:start w:val="1"/>
    </w:lvl>
  </w:abstractNum>
  <w:abstractNum w:abstractNumId="35">
    <w:nsid w:val="3F6AB60F"/>
    <w:multiLevelType w:val="hybridMultilevel"/>
    <w:lvl w:ilvl="0">
      <w:lvlJc w:val="left"/>
      <w:lvlText w:val="%1"/>
      <w:numFmt w:val="lowerRoman"/>
      <w:start w:val="1"/>
    </w:lvl>
    <w:lvl w:ilvl="1">
      <w:lvlJc w:val="left"/>
      <w:lvlText w:val="(%2)"/>
      <w:numFmt w:val="decimal"/>
      <w:start w:val="1"/>
    </w:lvl>
  </w:abstractNum>
  <w:abstractNum w:abstractNumId="36">
    <w:nsid w:val="61574095"/>
    <w:multiLevelType w:val="hybridMultilevel"/>
    <w:lvl w:ilvl="0">
      <w:lvlJc w:val="left"/>
      <w:lvlText w:val="(%1)"/>
      <w:numFmt w:val="lowerRoman"/>
      <w:start w:val="6"/>
    </w:lvl>
    <w:lvl w:ilvl="1">
      <w:lvlJc w:val="left"/>
      <w:lvlText w:val="%2"/>
      <w:numFmt w:val="decimal"/>
      <w:start w:val="1"/>
    </w:lvl>
  </w:abstractNum>
  <w:abstractNum w:abstractNumId="37">
    <w:nsid w:val="7E0C57B1"/>
    <w:multiLevelType w:val="hybridMultilevel"/>
    <w:lvl w:ilvl="0">
      <w:lvlJc w:val="left"/>
      <w:lvlText w:val="%1"/>
      <w:numFmt w:val="lowerRoman"/>
      <w:start w:val="1"/>
    </w:lvl>
    <w:lvl w:ilvl="1">
      <w:lvlJc w:val="left"/>
      <w:lvlText w:val="(%2)"/>
      <w:numFmt w:val="decimal"/>
      <w:start w:val="1"/>
    </w:lvl>
  </w:abstractNum>
  <w:abstractNum w:abstractNumId="38">
    <w:nsid w:val="77AE35EB"/>
    <w:multiLevelType w:val="hybridMultilevel"/>
    <w:lvl w:ilvl="0">
      <w:lvlJc w:val="left"/>
      <w:lvlText w:val="(%1)"/>
      <w:numFmt w:val="lowerRoman"/>
      <w:start w:val="7"/>
    </w:lvl>
    <w:lvl w:ilvl="1">
      <w:lvlJc w:val="left"/>
      <w:lvlText w:val="%2"/>
      <w:numFmt w:val="decimal"/>
      <w:start w:val="1"/>
    </w:lvl>
  </w:abstractNum>
  <w:abstractNum w:abstractNumId="39">
    <w:nsid w:val="579BE4F1"/>
    <w:multiLevelType w:val="hybridMultilevel"/>
    <w:lvl w:ilvl="0">
      <w:lvlJc w:val="left"/>
      <w:lvlText w:val="(%1)"/>
      <w:numFmt w:val="lowerRoman"/>
      <w:start w:val="8"/>
    </w:lvl>
  </w:abstractNum>
  <w:abstractNum w:abstractNumId="40">
    <w:nsid w:val="310C50B3"/>
    <w:multiLevelType w:val="hybridMultilevel"/>
    <w:lvl w:ilvl="0">
      <w:lvlJc w:val="left"/>
      <w:lvlText w:val="%1."/>
      <w:numFmt w:val="decimal"/>
      <w:start w:val="4"/>
    </w:lvl>
  </w:abstractNum>
  <w:abstractNum w:abstractNumId="41">
    <w:nsid w:val="5FF87E05"/>
    <w:multiLevelType w:val="hybridMultilevel"/>
    <w:lvl w:ilvl="0">
      <w:lvlJc w:val="left"/>
      <w:lvlText w:val="(%1)"/>
      <w:numFmt w:val="lowerRoman"/>
      <w:start w:val="1"/>
    </w:lvl>
  </w:abstractNum>
  <w:abstractNum w:abstractNumId="42">
    <w:nsid w:val="2F305DEF"/>
    <w:multiLevelType w:val="hybridMultilevel"/>
    <w:lvl w:ilvl="0">
      <w:lvlJc w:val="left"/>
      <w:lvlText w:val="(%1)"/>
      <w:numFmt w:val="lowerRoman"/>
      <w:start w:val="1"/>
    </w:lvl>
  </w:abstractNum>
  <w:abstractNum w:abstractNumId="43">
    <w:nsid w:val="25A70BF7"/>
    <w:multiLevelType w:val="hybridMultilevel"/>
    <w:lvl w:ilvl="0">
      <w:lvlJc w:val="left"/>
      <w:lvlText w:val="(%1)"/>
      <w:numFmt w:val="lowerRoman"/>
      <w:start w:val="1"/>
    </w:lvl>
  </w:abstractNum>
  <w:abstractNum w:abstractNumId="44">
    <w:nsid w:val="1DBABF00"/>
    <w:multiLevelType w:val="hybridMultilevel"/>
    <w:lvl w:ilvl="0">
      <w:lvlJc w:val="left"/>
      <w:lvlText w:val="(%1)"/>
      <w:numFmt w:val="lowerRoman"/>
      <w:start w:val="2"/>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4"/>
      <w:numFmt w:val="bullet"/>
      <w:start w:val="1"/>
    </w:lvl>
  </w:abstractNum>
  <w:abstractNum w:abstractNumId="47">
    <w:nsid w:val="1381823A"/>
    <w:multiLevelType w:val="hybridMultilevel"/>
    <w:lvl w:ilvl="0">
      <w:lvlJc w:val="left"/>
      <w:lvlText w:val="%1."/>
      <w:numFmt w:val="decimal"/>
      <w:start w:val="5"/>
    </w:lvl>
  </w:abstractNum>
  <w:abstractNum w:abstractNumId="48">
    <w:nsid w:val="5DB70AE5"/>
    <w:multiLevelType w:val="hybridMultilevel"/>
    <w:lvl w:ilvl="0">
      <w:lvlJc w:val="left"/>
      <w:lvlText w:val="(%1)"/>
      <w:numFmt w:val="lowerRoman"/>
      <w:start w:val="1"/>
    </w:lvl>
  </w:abstractNum>
  <w:abstractNum w:abstractNumId="49">
    <w:nsid w:val="100F8FCA"/>
    <w:multiLevelType w:val="hybridMultilevel"/>
    <w:lvl w:ilvl="0">
      <w:lvlJc w:val="left"/>
      <w:lvlText w:val="(%1)"/>
      <w:numFmt w:val="lowerRoman"/>
      <w:start w:val="1"/>
    </w:lvl>
  </w:abstractNum>
  <w:abstractNum w:abstractNumId="50">
    <w:nsid w:val="6590700B"/>
    <w:multiLevelType w:val="hybridMultilevel"/>
    <w:lvl w:ilvl="0">
      <w:lvlJc w:val="left"/>
      <w:lvlText w:val="(%1)"/>
      <w:numFmt w:val="lowerRoman"/>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1)"/>
      <w:numFmt w:val="lowerRoman"/>
      <w:start w:val="1"/>
    </w:lvl>
  </w:abstractNum>
  <w:abstractNum w:abstractNumId="53">
    <w:nsid w:val="98A3148"/>
    <w:multiLevelType w:val="hybridMultilevel"/>
    <w:lvl w:ilvl="0">
      <w:lvlJc w:val="left"/>
      <w:lvlText w:val="(%1)"/>
      <w:numFmt w:val="lowerRoman"/>
      <w:start w:val="2"/>
    </w:lvl>
  </w:abstractNum>
  <w:abstractNum w:abstractNumId="54">
    <w:nsid w:val="799D0247"/>
    <w:multiLevelType w:val="hybridMultilevel"/>
    <w:lvl w:ilvl="0">
      <w:lvlJc w:val="left"/>
      <w:lvlText w:val="(%1)"/>
      <w:numFmt w:val="lowerRoman"/>
      <w:start w:val="1"/>
    </w:lvl>
  </w:abstractNum>
  <w:abstractNum w:abstractNumId="55">
    <w:nsid w:val="6B94764"/>
    <w:multiLevelType w:val="hybridMultilevel"/>
    <w:lvl w:ilvl="0">
      <w:lvlJc w:val="left"/>
      <w:lvlText w:val="(%1)"/>
      <w:numFmt w:val="lowerRoman"/>
      <w:start w:val="1"/>
    </w:lvl>
  </w:abstractNum>
  <w:abstractNum w:abstractNumId="56">
    <w:nsid w:val="42C296BD"/>
    <w:multiLevelType w:val="hybridMultilevel"/>
    <w:lvl w:ilvl="0">
      <w:lvlJc w:val="left"/>
      <w:lvlText w:val="%1."/>
      <w:numFmt w:val="decimal"/>
      <w:start w:val="6"/>
    </w:lvl>
  </w:abstractNum>
  <w:abstractNum w:abstractNumId="57">
    <w:nsid w:val="168E121F"/>
    <w:multiLevelType w:val="hybridMultilevel"/>
    <w:lvl w:ilvl="0">
      <w:lvlJc w:val="left"/>
      <w:lvlText w:val="%1."/>
      <w:numFmt w:val="decimal"/>
      <w:start w:val="7"/>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
    </w:lvl>
    <w:lvl w:ilvl="1">
      <w:lvlJc w:val="left"/>
      <w:lvlText w:val="(%2)"/>
      <w:numFmt w:val="lowerRoman"/>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8"/>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9"/>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lowerRoman"/>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10"/>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lowerRoman"/>
      <w:start w:val="1"/>
    </w:lvl>
  </w:abstractNum>
  <w:abstractNum w:abstractNumId="72">
    <w:nsid w:val="68EB2F63"/>
    <w:multiLevelType w:val="hybridMultilevel"/>
    <w:lvl w:ilvl="0">
      <w:lvlJc w:val="left"/>
      <w:lvlText w:val="(%1)"/>
      <w:numFmt w:val="lowerRoman"/>
      <w:start w:val="1"/>
    </w:lvl>
  </w:abstractNum>
  <w:abstractNum w:abstractNumId="73">
    <w:nsid w:val="4962813B"/>
    <w:multiLevelType w:val="hybridMultilevel"/>
    <w:lvl w:ilvl="0">
      <w:lvlJc w:val="left"/>
      <w:lvlText w:val="(%1)"/>
      <w:numFmt w:val="lowerRoman"/>
      <w:start w:val="2"/>
    </w:lvl>
  </w:abstractNum>
  <w:abstractNum w:abstractNumId="74">
    <w:nsid w:val="60B6DF70"/>
    <w:multiLevelType w:val="hybridMultilevel"/>
    <w:lvl w:ilvl="0">
      <w:lvlJc w:val="left"/>
      <w:lvlText w:val="(%1)"/>
      <w:numFmt w:val="lowerRoman"/>
      <w:start w:val="1"/>
    </w:lvl>
  </w:abstractNum>
  <w:abstractNum w:abstractNumId="75">
    <w:nsid w:val="6A5EE64"/>
    <w:multiLevelType w:val="hybridMultilevel"/>
    <w:lvl w:ilvl="0">
      <w:lvlJc w:val="left"/>
      <w:lvlText w:val="%1."/>
      <w:numFmt w:val="decimal"/>
      <w:start w:val="11"/>
    </w:lvl>
  </w:abstractNum>
  <w:abstractNum w:abstractNumId="76">
    <w:nsid w:val="14330624"/>
    <w:multiLevelType w:val="hybridMultilevel"/>
    <w:lvl w:ilvl="0">
      <w:lvlJc w:val="left"/>
      <w:lvlText w:val="(%1)"/>
      <w:numFmt w:val="decimal"/>
      <w:start w:val="1"/>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1)"/>
      <w:numFmt w:val="decimal"/>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decimal"/>
      <w:start w:val="1"/>
    </w:lvl>
    <w:lvl w:ilvl="1">
      <w:lvlJc w:val="left"/>
      <w:lvlText w:val="(%2)"/>
      <w:numFmt w:val="decimal"/>
      <w:start w:val="5"/>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abstractNum>
  <w:abstractNum w:abstractNumId="84">
    <w:nsid w:val="94211F2"/>
    <w:multiLevelType w:val="hybridMultilevel"/>
    <w:lvl w:ilvl="0">
      <w:lvlJc w:val="left"/>
      <w:lvlText w:val="(%1)"/>
      <w:numFmt w:val="lowerRoman"/>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2019-12-06T03:08:02Z</dcterms:created>
  <dcterms:modified xsi:type="dcterms:W3CDTF">2019-12-06T03:08:02Z</dcterms:modified>
</cp:coreProperties>
</file>