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5425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94335"/>
                    </a:xfrm>
                    <a:prstGeom prst="rect">
                      <a:avLst/>
                    </a:prstGeom>
                    <a:noFill/>
                  </pic:spPr>
                </pic:pic>
              </a:graphicData>
            </a:graphic>
          </wp:anchor>
        </w:drawing>
        <w:t>June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as a Material Event that on June 27, 2025, our subsidiary Grupo Credito S.A. (“Grupo Credito”) has been notified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Assessment Resolutions and Fine Resolutions (hereinafter, the “Resolutions”), with amounts expressed in Peruvian Soles (S/):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Concept</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Concept</w:t>
            </w:r>
          </w:p>
        </w:tc>
        <w:tc>
          <w:tcPr>
            <w:tcW w:w="8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(S/)</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Interest (S/)</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Total Amount (S/)</w:t>
            </w:r>
          </w:p>
        </w:tc>
        <w:tc>
          <w:tcPr>
            <w:tcW w:w="0" w:type="dxa"/>
            <w:vAlign w:val="bottom"/>
          </w:tcPr>
          <w:p>
            <w:pPr>
              <w:spacing w:after="0"/>
              <w:rPr>
                <w:sz w:val="1"/>
                <w:szCs w:val="1"/>
                <w:color w:val="auto"/>
              </w:rPr>
            </w:pPr>
          </w:p>
        </w:tc>
      </w:tr>
      <w:tr>
        <w:trPr>
          <w:trHeight w:val="41"/>
        </w:trPr>
        <w:tc>
          <w:tcPr>
            <w:tcW w:w="640" w:type="dxa"/>
            <w:vAlign w:val="bottom"/>
            <w:tcBorders>
              <w:top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Assessment Resolution</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012-003-0146335</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Omitted Tax</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551,802,763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494,619,443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1,046,422,206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Fine Resolution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012-002-0041144</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Fine</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275,901,382</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204,820,909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480,722,291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Assessment Resolution</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012-003-0146337</w:t>
            </w:r>
          </w:p>
        </w:tc>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Omitted Tax</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15,122,812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13,192,688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Fine Resolution</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012-002-0041145</w:t>
            </w: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2018</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Fine</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7,561,406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5,422,814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12,984,220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850,388,363</w:t>
            </w:r>
          </w:p>
        </w:tc>
        <w:tc>
          <w:tcPr>
            <w:tcW w:w="10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718,055,854</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1,568,444,217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these Resolutions, the Peruvian Tax Administration (Superintendencia Nacional de Aduanas y de Administración Tributaria – SUNAT) has determined that Grupo Credito should have withheld the Income Tax applicable to non-domiciled parties during two share purchase transactions conducted on the trading floor of the Lima Stock Exchange (Rueda de Bolsa de la Bolsa de Valores de Lima) involving shares issued by Banco de Credito del Peru. The transactions took place on May 7, 2018, for a total of 2.77% of the share capital, and on May 7, 2019, for a total of 0.9559% of the share capital, in which Grupo Credito acted as the buyer and Credicorp Ltd. as the seller. According to the tax authority, Grupo Credito is considered jointly liable for the aforementioned tax in its capacity as withholding agent.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information provided by Grupo Credito, the company will contest the Resolutions, as it considers them to be without legal foundation, arbitrary, and abusive. Consequently, Grupo Credito will assert the rights afforded to it by law.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30, 2025</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6574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2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2025-06-30T05:12:23Z</dcterms:created>
  <dcterms:modified xsi:type="dcterms:W3CDTF">2025-06-30T05:12:23Z</dcterms:modified>
</cp:coreProperties>
</file>