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02, 2009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Board of Directors, in its session held on February 27, 2009, agreed to submit for consideration and approval at the company’s Annual General Meeting of Shareholders, which will be held on March 31, 2009, the following matters:</w:t>
      </w:r>
    </w:p>
    <w:p>
      <w:pPr>
        <w:spacing w:after="0" w:line="19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Annual Report of the Company for the financial year 2008.</w:t>
      </w:r>
    </w:p>
    <w:p>
      <w:pPr>
        <w:spacing w:after="0" w:line="252" w:lineRule="exact"/>
        <w:rPr>
          <w:rFonts w:ascii="Arial" w:cs="Arial" w:eastAsia="Arial" w:hAnsi="Arial"/>
          <w:sz w:val="18"/>
          <w:szCs w:val="18"/>
          <w:color w:val="auto"/>
        </w:rPr>
      </w:pPr>
    </w:p>
    <w:p>
      <w:pPr>
        <w:ind w:firstLine="8"/>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audited consolidated financial statements of the Company and its subsidiaries for the financial year ended December 31, 2008, including the report of the independent auditors Medina, Zaldívar, Paredes &amp; Asociados, a member firm of Ernst &amp; Young in Perú.</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 Appointment of the External Auditors of the Company in accordance with the proposal and recommendation of the Audit. Committee and authorization to approve the auditor’s fee.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agreed unanimously the following:</w:t>
      </w:r>
    </w:p>
    <w:p>
      <w:pPr>
        <w:spacing w:after="0" w:line="252" w:lineRule="exact"/>
        <w:rPr>
          <w:sz w:val="20"/>
          <w:szCs w:val="20"/>
          <w:color w:val="auto"/>
        </w:rPr>
      </w:pPr>
    </w:p>
    <w:p>
      <w:pPr>
        <w:jc w:val="both"/>
        <w:ind w:firstLine="8"/>
        <w:spacing w:after="0" w:line="259" w:lineRule="auto"/>
        <w:tabs>
          <w:tab w:leader="none" w:pos="211"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Credicorp´s Board of Directors, agreed to pay its shareholders a cash dividend of US$ 141,573,475.50 for a total of 94,382,317 outstanding shares equivalent to US$ 1.50 per share payable on May 13, 2009 to shareholders registered as of April 20, 2009.The Board of Directors approved the distribution of dividend according to the bylaw of the Company and considering a total net income of US$ 357,755,866.85 attained in financial year 2008 plus retained earnings of US$ 21,924,166.37 that add up US$ 379,680,033.22 .</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also agreed to transfer US$ 238,106,557.72 to legal reserves.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2008 together with the external auditor’s opinion, as well as the 2008 Annual Information Document, also approved by the Board.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03,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2019-12-10T13:17:31Z</dcterms:created>
  <dcterms:modified xsi:type="dcterms:W3CDTF">2019-12-10T13:17:31Z</dcterms:modified>
</cp:coreProperties>
</file>