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For the month of February 2025</w:t>
      </w:r>
    </w:p>
    <w:p>
      <w:pPr>
        <w:spacing w:after="0" w:line="22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 xml:space="preserve">Lima, Peru </w:t>
      </w: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205740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300355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437515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79"/>
          </w:cols>
          <w:pgMar w:left="380" w:top="50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02815"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202815" cy="351790"/>
                    </a:xfrm>
                    <a:prstGeom prst="rect">
                      <a:avLst/>
                    </a:prstGeom>
                    <a:noFill/>
                  </pic:spPr>
                </pic:pic>
              </a:graphicData>
            </a:graphic>
          </wp:anchor>
        </w:drawing>
        <w:t>February 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update to the information disclosed in the Form 6-K furnished to the SEC on October 28, 2024, Credicorp Ltd. (‘Credicorp’) hereby notifies you, as a Material Event, that on February 3, 2025, the Chilean Financial Market Commission (</w:t>
      </w:r>
      <w:r>
        <w:rPr>
          <w:rFonts w:ascii="Times New Roman" w:cs="Times New Roman" w:eastAsia="Times New Roman" w:hAnsi="Times New Roman"/>
          <w:sz w:val="18"/>
          <w:szCs w:val="18"/>
          <w:i w:val="1"/>
          <w:iCs w:val="1"/>
          <w:color w:val="auto"/>
        </w:rPr>
        <w:t>Comisión para el Mercado Financiero</w:t>
      </w:r>
      <w:r>
        <w:rPr>
          <w:rFonts w:ascii="Times New Roman" w:cs="Times New Roman" w:eastAsia="Times New Roman" w:hAnsi="Times New Roman"/>
          <w:sz w:val="18"/>
          <w:szCs w:val="18"/>
          <w:color w:val="auto"/>
        </w:rPr>
        <w:t xml:space="preserve"> – CMF) has notified Tenpo SpA and Credicorp Capital Holding Chile, companies within Credicorp economic group, of the issuance of the existence authorization certificate for Tenpo Bank Chile.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next and final step of the banking license process will be obtaining the operational authorization from the CMF, once it has been verified that Tenpo Bank Chile is ready to start its operations.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Guillermo Morales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Date: February 4, 2025</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3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11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2025-02-04T05:11:58Z</dcterms:created>
  <dcterms:modified xsi:type="dcterms:W3CDTF">2025-02-04T05:11:58Z</dcterms:modified>
</cp:coreProperties>
</file>