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brhc20052150_6k.htm"/>
      <w:bookmarkStart w:id="1" w:name="ksbrhc20052150_6k"/>
      <w:bookmarkStart w:id="2" w:name="brhc20052150_6k.htm"/>
      <w:bookmarkStart w:id="3" w:name="ksbrhc20052150_6k"/>
      <w:bookmarkEnd w:id="2"/>
      <w:bookmarkEnd w:id="3"/>
    </w:p>
    <w:p>
      <w:pPr>
        <w:pStyle w:val="TextBody"/>
        <w:spacing w:before="0" w:after="0"/>
        <w:jc w:val="center"/>
        <w:rPr>
          <w:b/>
          <w:color w:val="000000"/>
          <w:sz w:val="28"/>
        </w:rPr>
      </w:pPr>
      <w:r>
        <w:rPr>
          <w:b/>
          <w:color w:val="000000"/>
          <w:sz w:val="28"/>
        </w:rPr>
        <w:t>SECURITIES AND EXCHANGE COMMISSION</w:t>
      </w:r>
    </w:p>
    <w:p>
      <w:pPr>
        <w:pStyle w:val="TextBody"/>
        <w:spacing w:before="0" w:after="0"/>
        <w:jc w:val="center"/>
        <w:rPr>
          <w:b/>
          <w:color w:val="000000"/>
          <w:sz w:val="24"/>
        </w:rPr>
      </w:pPr>
      <w:r>
        <w:rPr>
          <w:b/>
          <w:color w:val="000000"/>
          <w:sz w:val="24"/>
        </w:rPr>
        <w:t>Washington, D.C. 20549</w:t>
      </w:r>
    </w:p>
    <w:p>
      <w:pPr>
        <w:pStyle w:val="TextBody"/>
        <w:spacing w:before="0" w:after="0"/>
        <w:jc w:val="center"/>
        <w:rPr>
          <w:sz w:val="20"/>
        </w:rPr>
      </w:pPr>
      <w:r>
        <w:rPr>
          <w:sz w:val="20"/>
        </w:rPr>
      </w:r>
    </w:p>
    <w:p>
      <w:pPr>
        <w:pStyle w:val="TextBody"/>
        <w:spacing w:before="0" w:after="0"/>
        <w:jc w:val="center"/>
        <w:rPr>
          <w:b/>
          <w:color w:val="000000"/>
          <w:sz w:val="36"/>
        </w:rPr>
      </w:pPr>
      <w:r>
        <w:rPr>
          <w:b/>
          <w:color w:val="000000"/>
          <w:sz w:val="36"/>
        </w:rPr>
        <w:t>FORM 6-K</w:t>
      </w:r>
    </w:p>
    <w:p>
      <w:pPr>
        <w:pStyle w:val="TextBody"/>
        <w:spacing w:before="0" w:after="0"/>
        <w:jc w:val="center"/>
        <w:rPr>
          <w:sz w:val="20"/>
        </w:rPr>
      </w:pPr>
      <w:r>
        <w:rPr>
          <w:sz w:val="20"/>
        </w:rPr>
      </w:r>
    </w:p>
    <w:p>
      <w:pPr>
        <w:pStyle w:val="TextBody"/>
        <w:spacing w:before="0" w:after="0"/>
        <w:jc w:val="center"/>
        <w:rPr>
          <w:color w:val="000000"/>
          <w:sz w:val="20"/>
        </w:rPr>
      </w:pPr>
      <w:r>
        <w:rPr>
          <w:color w:val="000000"/>
          <w:sz w:val="20"/>
        </w:rPr>
        <w:t>Report of Foreign Private Issuer</w:t>
      </w:r>
    </w:p>
    <w:p>
      <w:pPr>
        <w:pStyle w:val="TextBody"/>
        <w:spacing w:before="0" w:after="0"/>
        <w:jc w:val="center"/>
        <w:rPr>
          <w:color w:val="000000"/>
          <w:sz w:val="20"/>
        </w:rPr>
      </w:pPr>
      <w:r>
        <w:rPr>
          <w:color w:val="000000"/>
          <w:sz w:val="20"/>
        </w:rPr>
        <w:t>Pursuant to Rule 13a-16 or 15d-16 under the</w:t>
      </w:r>
    </w:p>
    <w:p>
      <w:pPr>
        <w:pStyle w:val="TextBody"/>
        <w:spacing w:before="0" w:after="0"/>
        <w:jc w:val="center"/>
        <w:rPr>
          <w:color w:val="000000"/>
          <w:sz w:val="20"/>
        </w:rPr>
      </w:pPr>
      <w:r>
        <w:rPr>
          <w:color w:val="000000"/>
          <w:sz w:val="20"/>
        </w:rPr>
        <w:t>Securities Exchange Act of 1934</w:t>
      </w:r>
    </w:p>
    <w:p>
      <w:pPr>
        <w:pStyle w:val="TextBody"/>
        <w:spacing w:before="0" w:after="0"/>
        <w:jc w:val="center"/>
        <w:rPr>
          <w:sz w:val="20"/>
        </w:rPr>
      </w:pPr>
      <w:r>
        <w:rPr>
          <w:sz w:val="20"/>
        </w:rPr>
      </w:r>
    </w:p>
    <w:p>
      <w:pPr>
        <w:pStyle w:val="TextBody"/>
        <w:spacing w:before="0" w:after="0"/>
        <w:jc w:val="center"/>
        <w:rPr>
          <w:b/>
          <w:color w:val="000000"/>
          <w:sz w:val="20"/>
        </w:rPr>
      </w:pPr>
      <w:r>
        <w:rPr>
          <w:b/>
          <w:color w:val="000000"/>
          <w:sz w:val="20"/>
        </w:rPr>
        <w:t>For the month of April 2023</w:t>
      </w:r>
    </w:p>
    <w:p>
      <w:pPr>
        <w:pStyle w:val="TextBody"/>
        <w:spacing w:before="0" w:after="0"/>
        <w:jc w:val="center"/>
        <w:rPr>
          <w:sz w:val="20"/>
        </w:rPr>
      </w:pPr>
      <w:r>
        <w:rPr>
          <w:sz w:val="20"/>
        </w:rPr>
      </w:r>
    </w:p>
    <w:p>
      <w:pPr>
        <w:pStyle w:val="TextBody"/>
        <w:spacing w:before="0" w:after="0"/>
        <w:jc w:val="center"/>
        <w:rPr>
          <w:color w:val="000000"/>
          <w:sz w:val="20"/>
        </w:rPr>
      </w:pPr>
      <w:r>
        <w:rPr>
          <w:color w:val="000000"/>
          <w:sz w:val="20"/>
        </w:rPr>
        <w:t>Commission File Number: 001-14014</w:t>
      </w:r>
    </w:p>
    <w:p>
      <w:pPr>
        <w:pStyle w:val="TextBody"/>
        <w:spacing w:before="0" w:after="0"/>
        <w:rPr>
          <w:sz w:val="20"/>
        </w:rPr>
      </w:pPr>
      <w:r>
        <w:rPr>
          <w:sz w:val="20"/>
        </w:rPr>
      </w:r>
    </w:p>
    <w:p>
      <w:pPr>
        <w:pStyle w:val="TextBody"/>
        <w:spacing w:before="0" w:after="0"/>
        <w:jc w:val="center"/>
        <w:rPr>
          <w:b/>
          <w:color w:val="000000"/>
          <w:sz w:val="48"/>
        </w:rPr>
      </w:pPr>
      <w:r>
        <w:rPr>
          <w:b/>
          <w:color w:val="000000"/>
          <w:sz w:val="48"/>
        </w:rPr>
        <w:t>CREDICORP LTD.</w:t>
      </w:r>
    </w:p>
    <w:p>
      <w:pPr>
        <w:pStyle w:val="TextBody"/>
        <w:spacing w:before="0" w:after="0"/>
        <w:jc w:val="center"/>
        <w:rPr>
          <w:color w:val="000000"/>
          <w:sz w:val="20"/>
        </w:rPr>
      </w:pPr>
      <w:r>
        <w:rPr>
          <w:color w:val="000000"/>
          <w:sz w:val="20"/>
        </w:rPr>
        <w:t>(Translation of registrant’s name into English))</w:t>
      </w:r>
    </w:p>
    <w:p>
      <w:pPr>
        <w:pStyle w:val="TextBody"/>
        <w:spacing w:before="0" w:after="0"/>
        <w:jc w:val="center"/>
        <w:rPr>
          <w:sz w:val="20"/>
        </w:rPr>
      </w:pPr>
      <w:r>
        <w:rPr>
          <w:sz w:val="20"/>
        </w:rPr>
      </w:r>
    </w:p>
    <w:p>
      <w:pPr>
        <w:pStyle w:val="TextBody"/>
        <w:spacing w:before="0" w:after="0"/>
        <w:jc w:val="center"/>
        <w:rPr>
          <w:b/>
          <w:color w:val="000000"/>
          <w:sz w:val="20"/>
        </w:rPr>
      </w:pPr>
      <w:r>
        <w:rPr>
          <w:b/>
          <w:color w:val="000000"/>
          <w:sz w:val="20"/>
        </w:rPr>
        <w:t>Of our subsidiary</w:t>
      </w:r>
    </w:p>
    <w:p>
      <w:pPr>
        <w:pStyle w:val="TextBody"/>
        <w:spacing w:before="0" w:after="0"/>
        <w:jc w:val="center"/>
        <w:rPr>
          <w:b/>
          <w:color w:val="000000"/>
          <w:sz w:val="20"/>
        </w:rPr>
      </w:pPr>
      <w:r>
        <w:rPr>
          <w:b/>
          <w:color w:val="000000"/>
          <w:sz w:val="20"/>
        </w:rPr>
        <w:t>Banco de Credito del Peru:</w:t>
      </w:r>
    </w:p>
    <w:p>
      <w:pPr>
        <w:pStyle w:val="TextBody"/>
        <w:spacing w:before="0" w:after="0"/>
        <w:jc w:val="center"/>
        <w:rPr>
          <w:b/>
          <w:color w:val="000000"/>
          <w:sz w:val="20"/>
        </w:rPr>
      </w:pPr>
      <w:r>
        <w:rPr>
          <w:b/>
          <w:color w:val="000000"/>
          <w:sz w:val="20"/>
        </w:rPr>
        <w:t>Calle Centenario 156</w:t>
      </w:r>
    </w:p>
    <w:p>
      <w:pPr>
        <w:pStyle w:val="TextBody"/>
        <w:spacing w:before="0" w:after="0"/>
        <w:jc w:val="center"/>
        <w:rPr>
          <w:b/>
          <w:color w:val="000000"/>
          <w:sz w:val="20"/>
        </w:rPr>
      </w:pPr>
      <w:r>
        <w:rPr>
          <w:b/>
          <w:color w:val="000000"/>
          <w:sz w:val="20"/>
        </w:rPr>
        <w:t>La Molina 15026</w:t>
      </w:r>
    </w:p>
    <w:p>
      <w:pPr>
        <w:pStyle w:val="TextBody"/>
        <w:spacing w:before="0" w:after="0"/>
        <w:jc w:val="center"/>
        <w:rPr>
          <w:b/>
          <w:color w:val="000000"/>
          <w:sz w:val="20"/>
        </w:rPr>
      </w:pPr>
      <w:r>
        <w:rPr>
          <w:b/>
          <w:color w:val="000000"/>
          <w:sz w:val="20"/>
        </w:rPr>
        <w:t>Lima, Peru</w:t>
      </w:r>
    </w:p>
    <w:p>
      <w:pPr>
        <w:pStyle w:val="TextBody"/>
        <w:spacing w:before="0" w:after="0"/>
        <w:jc w:val="center"/>
        <w:rPr>
          <w:color w:val="000000"/>
          <w:sz w:val="20"/>
        </w:rPr>
      </w:pPr>
      <w:r>
        <w:rPr>
          <w:color w:val="000000"/>
          <w:sz w:val="20"/>
        </w:rPr>
        <w:t>(Address of principal executive office)</w:t>
      </w:r>
    </w:p>
    <w:p>
      <w:pPr>
        <w:pStyle w:val="TextBody"/>
        <w:spacing w:before="0" w:after="0"/>
        <w:rPr>
          <w:sz w:val="20"/>
        </w:rPr>
      </w:pPr>
      <w:r>
        <w:rPr>
          <w:sz w:val="20"/>
        </w:rPr>
      </w:r>
    </w:p>
    <w:p>
      <w:pPr>
        <w:pStyle w:val="TextBody"/>
        <w:spacing w:before="0" w:after="0"/>
        <w:rPr>
          <w:color w:val="000000"/>
          <w:sz w:val="20"/>
        </w:rPr>
      </w:pPr>
      <w:r>
        <w:rPr>
          <w:color w:val="000000"/>
          <w:sz w:val="20"/>
        </w:rPr>
        <w:t>Indicate by check mark whether the registrant files or will file annual reports under cover of Form 20-F or Form 40-F .</w:t>
      </w:r>
    </w:p>
    <w:p>
      <w:pPr>
        <w:pStyle w:val="TextBody"/>
        <w:spacing w:before="0" w:after="0"/>
        <w:rPr>
          <w:sz w:val="20"/>
        </w:rPr>
      </w:pPr>
      <w:r>
        <w:rPr>
          <w:sz w:val="20"/>
        </w:rPr>
      </w:r>
    </w:p>
    <w:p>
      <w:pPr>
        <w:pStyle w:val="TextBody"/>
        <w:spacing w:before="0" w:after="0"/>
        <w:jc w:val="center"/>
        <w:rPr>
          <w:color w:val="000000"/>
          <w:sz w:val="20"/>
        </w:rPr>
      </w:pPr>
      <w:r>
        <w:rPr>
          <w:color w:val="000000"/>
          <w:sz w:val="20"/>
        </w:rPr>
        <w:t>Form 20-F ☒  Form 40-F ☐</w:t>
      </w:r>
    </w:p>
    <w:p>
      <w:pPr>
        <w:pStyle w:val="TextBody"/>
        <w:spacing w:before="0" w:after="0"/>
        <w:rPr>
          <w:sz w:val="20"/>
        </w:rPr>
      </w:pPr>
      <w:r>
        <w:rPr>
          <w:sz w:val="20"/>
        </w:rPr>
      </w:r>
    </w:p>
    <w:p>
      <w:pPr>
        <w:pStyle w:val="TextBody"/>
        <w:spacing w:before="0" w:after="0"/>
        <w:rPr>
          <w:color w:val="000000"/>
        </w:rPr>
      </w:pPr>
      <w:r>
        <w:rPr>
          <w:color w:val="000000"/>
        </w:rPr>
        <w:t> </w:t>
      </w:r>
      <w:r>
        <w:rPr>
          <w:color w:val="000000"/>
          <w:sz w:val="20"/>
        </w:rPr>
        <w:t>Indicate by check mark if the registrant is submitting the Form 6-K in paper as permitted by Regulation S-T Rule 101(b)(1): ☐</w:t>
      </w:r>
    </w:p>
    <w:p>
      <w:pPr>
        <w:pStyle w:val="TextBody"/>
        <w:spacing w:before="0" w:after="0"/>
        <w:rPr>
          <w:sz w:val="20"/>
        </w:rPr>
      </w:pPr>
      <w:r>
        <w:rPr>
          <w:sz w:val="20"/>
        </w:rPr>
      </w:r>
    </w:p>
    <w:p>
      <w:pPr>
        <w:pStyle w:val="TextBody"/>
        <w:spacing w:before="0" w:after="0"/>
        <w:rPr>
          <w:color w:val="000000"/>
        </w:rPr>
      </w:pPr>
      <w:r>
        <w:rPr>
          <w:color w:val="000000"/>
        </w:rPr>
        <w:t> </w:t>
      </w:r>
      <w:r>
        <w:rPr>
          <w:color w:val="000000"/>
          <w:sz w:val="20"/>
        </w:rPr>
        <w:t>Indicate by check mark if the registrant is submitting the Form 6-K in paper as permitted by Regulation S-T Rule 101(b)(7): ☐</w:t>
      </w:r>
    </w:p>
    <w:p>
      <w:pPr>
        <w:pStyle w:val="TextBody"/>
        <w:spacing w:before="0" w:after="0"/>
        <w:rPr>
          <w:sz w:val="20"/>
        </w:rPr>
      </w:pPr>
      <w:r>
        <w:rPr>
          <w:sz w:val="20"/>
        </w:rPr>
      </w:r>
    </w:p>
    <w:p>
      <w:pPr>
        <w:pStyle w:val="HorizontalLine"/>
        <w:jc w:val="both"/>
        <w:rPr/>
      </w:pPr>
      <w:r>
        <w:rPr/>
      </w:r>
    </w:p>
    <w:p>
      <w:pPr>
        <w:pStyle w:val="HorizontalLine"/>
        <w:pBdr>
          <w:bottom w:val="single" w:sz="20" w:space="0" w:color="808080"/>
        </w:pBdr>
        <w:spacing w:before="180" w:after="180"/>
        <w:rPr/>
      </w:pPr>
      <w:r>
        <w:rPr/>
      </w:r>
    </w:p>
    <w:p>
      <w:pPr>
        <w:pStyle w:val="TextBody"/>
        <w:spacing w:before="0" w:after="0"/>
        <w:rPr/>
      </w:pPr>
      <w:r>
        <w:rPr/>
        <w:drawing>
          <wp:inline distT="0" distB="0" distL="0" distR="0">
            <wp:extent cx="184785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285750"/>
                    </a:xfrm>
                    <a:prstGeom prst="rect">
                      <a:avLst/>
                    </a:prstGeom>
                  </pic:spPr>
                </pic:pic>
              </a:graphicData>
            </a:graphic>
          </wp:inline>
        </w:drawing>
      </w:r>
      <w:r>
        <w:rPr/>
        <w:t xml:space="preserve"> </w:t>
      </w:r>
    </w:p>
    <w:p>
      <w:pPr>
        <w:pStyle w:val="TextBody"/>
        <w:spacing w:before="0" w:after="0"/>
        <w:rPr/>
      </w:pPr>
      <w:r>
        <w:rPr/>
      </w:r>
    </w:p>
    <w:p>
      <w:pPr>
        <w:pStyle w:val="TextBody"/>
        <w:spacing w:before="0" w:after="0"/>
        <w:rPr>
          <w:sz w:val="20"/>
        </w:rPr>
      </w:pPr>
      <w:r>
        <w:rPr>
          <w:sz w:val="20"/>
        </w:rPr>
        <w:t>April 27, 2023</w:t>
      </w:r>
    </w:p>
    <w:p>
      <w:pPr>
        <w:pStyle w:val="TextBody"/>
        <w:spacing w:before="0" w:after="0"/>
        <w:rPr>
          <w:sz w:val="20"/>
        </w:rPr>
      </w:pPr>
      <w:r>
        <w:rPr>
          <w:sz w:val="20"/>
        </w:rPr>
      </w:r>
    </w:p>
    <w:p>
      <w:pPr>
        <w:pStyle w:val="TextBody"/>
        <w:spacing w:before="0" w:after="0"/>
        <w:rPr>
          <w:sz w:val="20"/>
        </w:rPr>
      </w:pPr>
      <w:r>
        <w:rPr>
          <w:sz w:val="20"/>
        </w:rPr>
        <w:t>Securities and Exchange Commission - SEC</w:t>
      </w:r>
    </w:p>
    <w:p>
      <w:pPr>
        <w:pStyle w:val="TextBody"/>
        <w:spacing w:before="0" w:after="0"/>
        <w:rPr>
          <w:sz w:val="20"/>
        </w:rPr>
      </w:pPr>
      <w:r>
        <w:rPr>
          <w:sz w:val="20"/>
        </w:rPr>
      </w:r>
    </w:p>
    <w:p>
      <w:pPr>
        <w:pStyle w:val="TextBody"/>
        <w:spacing w:before="0" w:after="0"/>
        <w:rPr>
          <w:sz w:val="20"/>
        </w:rPr>
      </w:pPr>
      <w:r>
        <w:rPr>
          <w:sz w:val="20"/>
        </w:rPr>
        <w:t>Re.: MATERIAL EVENT</w:t>
      </w:r>
    </w:p>
    <w:p>
      <w:pPr>
        <w:pStyle w:val="TextBody"/>
        <w:spacing w:before="0" w:after="0"/>
        <w:rPr>
          <w:sz w:val="20"/>
        </w:rPr>
      </w:pPr>
      <w:r>
        <w:rPr>
          <w:sz w:val="20"/>
        </w:rPr>
      </w:r>
    </w:p>
    <w:p>
      <w:pPr>
        <w:pStyle w:val="TextBody"/>
        <w:spacing w:before="0" w:after="0"/>
        <w:jc w:val="both"/>
        <w:rPr>
          <w:sz w:val="20"/>
        </w:rPr>
      </w:pPr>
      <w:r>
        <w:rPr>
          <w:sz w:val="20"/>
        </w:rPr>
        <w:t>Dear Sirs:</w:t>
      </w:r>
    </w:p>
    <w:p>
      <w:pPr>
        <w:pStyle w:val="TextBody"/>
        <w:spacing w:before="0" w:after="0"/>
        <w:jc w:val="both"/>
        <w:rPr>
          <w:sz w:val="20"/>
        </w:rPr>
      </w:pPr>
      <w:r>
        <w:rPr>
          <w:sz w:val="20"/>
        </w:rPr>
      </w:r>
    </w:p>
    <w:p>
      <w:pPr>
        <w:pStyle w:val="TextBody"/>
        <w:spacing w:before="0" w:after="0"/>
        <w:jc w:val="both"/>
        <w:rPr>
          <w:sz w:val="20"/>
        </w:rPr>
      </w:pPr>
      <w:r>
        <w:rPr>
          <w:sz w:val="20"/>
        </w:rPr>
        <w:t>We hereby notify you as a Material Event that, in its session held on April 27, 2023, the Board of Directors of Credicorp Ltd. (the ‘Company) agreed unanimously the distribution of a dividend according to the Bye-Laws of the Company and considering a total net income attained in the financial year 2022 of S/4,633,095,839.</w:t>
      </w:r>
    </w:p>
    <w:p>
      <w:pPr>
        <w:pStyle w:val="TextBody"/>
        <w:spacing w:before="0" w:after="0"/>
        <w:rPr>
          <w:sz w:val="20"/>
        </w:rPr>
      </w:pPr>
      <w:r>
        <w:rPr>
          <w:sz w:val="20"/>
        </w:rPr>
      </w:r>
    </w:p>
    <w:p>
      <w:pPr>
        <w:pStyle w:val="TextBody"/>
        <w:spacing w:before="0" w:after="0"/>
        <w:jc w:val="both"/>
        <w:rPr>
          <w:sz w:val="20"/>
        </w:rPr>
      </w:pPr>
      <w:r>
        <w:rPr>
          <w:sz w:val="20"/>
        </w:rPr>
        <w:t>The Company’s Board of Directors approved to pay its shareholders a cash dividend of S/2,359,557,925 for a total of 94,382,317 outstanding shares, which is equivalent to S/25.0000 per share.</w:t>
      </w:r>
    </w:p>
    <w:p>
      <w:pPr>
        <w:pStyle w:val="TextBody"/>
        <w:spacing w:before="0" w:after="0"/>
        <w:rPr>
          <w:sz w:val="20"/>
        </w:rPr>
      </w:pPr>
      <w:r>
        <w:rPr>
          <w:sz w:val="20"/>
        </w:rPr>
      </w:r>
    </w:p>
    <w:p>
      <w:pPr>
        <w:pStyle w:val="TextBody"/>
        <w:spacing w:before="0" w:after="0"/>
        <w:jc w:val="both"/>
        <w:rPr>
          <w:sz w:val="20"/>
        </w:rPr>
      </w:pPr>
      <w:r>
        <w:rPr>
          <w:sz w:val="20"/>
        </w:rPr>
        <w:t>The cash dividend will be paid out on June 9, 2023, without withholding tax at source, to shareholders of record on May 19, 2023. The dividend will be paid in US Dollars using the weighted exchange rate registered by the Peruvian Superintendency of Banks, Insurance and Pension Funds (Superintendencia de Banca, Seguros y AFP) for the transactions at the close of business on June 7, 2023. The US Dollar dividend amount will be rounded up to four decimals.</w:t>
      </w:r>
    </w:p>
    <w:p>
      <w:pPr>
        <w:pStyle w:val="TextBody"/>
        <w:spacing w:before="0" w:after="0"/>
        <w:rPr>
          <w:sz w:val="20"/>
        </w:rPr>
      </w:pPr>
      <w:r>
        <w:rPr>
          <w:sz w:val="20"/>
        </w:rPr>
      </w:r>
    </w:p>
    <w:p>
      <w:pPr>
        <w:pStyle w:val="TextBody"/>
        <w:spacing w:before="0" w:after="0"/>
        <w:jc w:val="both"/>
        <w:rPr>
          <w:sz w:val="20"/>
        </w:rPr>
      </w:pPr>
      <w:r>
        <w:rPr>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spacing w:before="0" w:after="0"/>
        <w:rPr>
          <w:sz w:val="20"/>
        </w:rPr>
      </w:pPr>
      <w:r>
        <w:rPr>
          <w:sz w:val="20"/>
        </w:rPr>
      </w:r>
    </w:p>
    <w:p>
      <w:pPr>
        <w:pStyle w:val="TextBody"/>
        <w:spacing w:before="0" w:after="0"/>
        <w:jc w:val="both"/>
        <w:rPr>
          <w:sz w:val="20"/>
        </w:rPr>
      </w:pPr>
      <w:r>
        <w:rPr>
          <w:sz w:val="20"/>
        </w:rPr>
        <w:t>Sincerely,</w:t>
      </w:r>
    </w:p>
    <w:p>
      <w:pPr>
        <w:pStyle w:val="TextBody"/>
        <w:spacing w:before="0" w:after="0"/>
        <w:rPr/>
      </w:pPr>
      <w:r>
        <w:rPr/>
      </w:r>
    </w:p>
    <w:p>
      <w:pPr>
        <w:pStyle w:val="Normal"/>
        <w:spacing w:before="0" w:after="0"/>
        <w:rPr>
          <w:sz w:val="4"/>
          <w:szCs w:val="4"/>
        </w:rPr>
      </w:pPr>
      <w:r>
        <w:rPr>
          <w:sz w:val="4"/>
          <w:szCs w:val="4"/>
        </w:rPr>
      </w:r>
      <w:bookmarkStart w:id="4" w:name="z32e73124db0c488fb36cc08f437480d1"/>
      <w:bookmarkStart w:id="5" w:name="z32e73124db0c488fb36cc08f437480d1"/>
      <w:bookmarkEnd w:id="5"/>
    </w:p>
    <w:tbl>
      <w:tblPr>
        <w:tblW w:w="2218" w:type="dxa"/>
        <w:jc w:val="left"/>
        <w:tblInd w:w="0" w:type="dxa"/>
        <w:tblCellMar>
          <w:top w:w="0" w:type="dxa"/>
          <w:left w:w="0" w:type="dxa"/>
          <w:bottom w:w="28" w:type="dxa"/>
          <w:right w:w="0" w:type="dxa"/>
        </w:tblCellMar>
      </w:tblPr>
      <w:tblGrid>
        <w:gridCol w:w="2195"/>
        <w:gridCol w:w="23"/>
      </w:tblGrid>
      <w:tr>
        <w:trPr/>
        <w:tc>
          <w:tcPr>
            <w:tcW w:w="2195" w:type="dxa"/>
            <w:tcBorders>
              <w:bottom w:val="single" w:sz="12" w:space="0" w:color="000000"/>
            </w:tcBorders>
            <w:shd w:fill="auto" w:val="clear"/>
            <w:vAlign w:val="center"/>
          </w:tcPr>
          <w:p>
            <w:pPr>
              <w:pStyle w:val="TableContents"/>
              <w:spacing w:before="0" w:after="0"/>
              <w:jc w:val="both"/>
              <w:rPr>
                <w:sz w:val="20"/>
              </w:rPr>
            </w:pPr>
            <w:r>
              <w:rPr>
                <w:sz w:val="20"/>
              </w:rPr>
              <w:t>/s/ Guillermo Morales</w:t>
            </w:r>
          </w:p>
        </w:tc>
        <w:tc>
          <w:tcPr>
            <w:tcW w:w="23" w:type="dxa"/>
            <w:tcBorders/>
            <w:shd w:fill="auto" w:val="clear"/>
            <w:tcMar>
              <w:bottom w:w="0" w:type="dxa"/>
            </w:tcMar>
            <w:vAlign w:val="center"/>
          </w:tcPr>
          <w:p>
            <w:pPr>
              <w:pStyle w:val="TableContents"/>
              <w:spacing w:before="0" w:after="283"/>
              <w:rPr/>
            </w:pPr>
            <w:r>
              <w:rPr/>
            </w:r>
          </w:p>
        </w:tc>
      </w:tr>
      <w:tr>
        <w:trPr/>
        <w:tc>
          <w:tcPr>
            <w:tcW w:w="2195" w:type="dxa"/>
            <w:tcBorders/>
            <w:shd w:fill="auto" w:val="clear"/>
            <w:tcMar>
              <w:bottom w:w="0" w:type="dxa"/>
            </w:tcMar>
            <w:vAlign w:val="center"/>
          </w:tcPr>
          <w:p>
            <w:pPr>
              <w:pStyle w:val="TableContents"/>
              <w:spacing w:before="0" w:after="0"/>
              <w:jc w:val="both"/>
              <w:rPr>
                <w:sz w:val="20"/>
              </w:rPr>
            </w:pPr>
            <w:r>
              <w:rPr>
                <w:sz w:val="20"/>
              </w:rPr>
              <w:t>Authorized Representative</w:t>
            </w:r>
          </w:p>
        </w:tc>
        <w:tc>
          <w:tcPr>
            <w:tcW w:w="23" w:type="dxa"/>
            <w:tcBorders/>
            <w:shd w:fill="auto" w:val="clear"/>
            <w:tcMar>
              <w:bottom w:w="0" w:type="dxa"/>
            </w:tcMar>
            <w:vAlign w:val="center"/>
          </w:tcPr>
          <w:p>
            <w:pPr>
              <w:pStyle w:val="TableContents"/>
              <w:spacing w:before="0" w:after="283"/>
              <w:rPr/>
            </w:pPr>
            <w:r>
              <w:rPr/>
            </w:r>
          </w:p>
        </w:tc>
      </w:tr>
      <w:tr>
        <w:trPr/>
        <w:tc>
          <w:tcPr>
            <w:tcW w:w="2195" w:type="dxa"/>
            <w:tcBorders/>
            <w:shd w:fill="auto" w:val="clear"/>
            <w:tcMar>
              <w:bottom w:w="0" w:type="dxa"/>
            </w:tcMar>
            <w:vAlign w:val="center"/>
          </w:tcPr>
          <w:p>
            <w:pPr>
              <w:pStyle w:val="TableContents"/>
              <w:spacing w:before="0" w:after="0"/>
              <w:jc w:val="both"/>
              <w:rPr>
                <w:sz w:val="20"/>
              </w:rPr>
            </w:pPr>
            <w:r>
              <w:rPr>
                <w:sz w:val="20"/>
              </w:rPr>
              <w:t>Credicorp Ltd.</w:t>
            </w:r>
          </w:p>
        </w:tc>
        <w:tc>
          <w:tcPr>
            <w:tcW w:w="23" w:type="dxa"/>
            <w:tcBorders/>
            <w:shd w:fill="auto" w:val="clear"/>
            <w:tcMar>
              <w:bottom w:w="0" w:type="dxa"/>
            </w:tcMar>
            <w:vAlign w:val="center"/>
          </w:tcPr>
          <w:p>
            <w:pPr>
              <w:pStyle w:val="TableContents"/>
              <w:spacing w:before="0" w:after="283"/>
              <w:rPr/>
            </w:pPr>
            <w:r>
              <w:rPr/>
            </w:r>
          </w:p>
        </w:tc>
      </w:tr>
    </w:tbl>
    <w:p>
      <w:pPr>
        <w:pStyle w:val="TextBody"/>
        <w:spacing w:before="0" w:after="0"/>
        <w:jc w:val="both"/>
        <w:rPr>
          <w:sz w:val="20"/>
        </w:rPr>
      </w:pPr>
      <w:r>
        <w:rPr>
          <w:sz w:val="20"/>
        </w:rPr>
      </w:r>
    </w:p>
    <w:p>
      <w:pPr>
        <w:pStyle w:val="HorizontalLine"/>
        <w:pBdr>
          <w:bottom w:val="single" w:sz="20" w:space="0" w:color="808080"/>
        </w:pBdr>
        <w:spacing w:before="180" w:after="180"/>
        <w:rPr/>
      </w:pPr>
      <w:r>
        <w:rPr/>
      </w:r>
    </w:p>
    <w:p>
      <w:pPr>
        <w:pStyle w:val="TextBody"/>
        <w:spacing w:before="0" w:after="0"/>
        <w:jc w:val="center"/>
        <w:rPr>
          <w:b/>
          <w:color w:val="000000"/>
          <w:sz w:val="20"/>
        </w:rPr>
      </w:pPr>
      <w:r>
        <w:rPr>
          <w:b/>
          <w:color w:val="000000"/>
          <w:sz w:val="20"/>
        </w:rPr>
        <w:t>SIGNATURE</w:t>
      </w:r>
    </w:p>
    <w:p>
      <w:pPr>
        <w:pStyle w:val="TextBody"/>
        <w:spacing w:before="0" w:after="0"/>
        <w:rPr>
          <w:sz w:val="20"/>
        </w:rPr>
      </w:pPr>
      <w:r>
        <w:rPr>
          <w:sz w:val="20"/>
        </w:rPr>
      </w:r>
    </w:p>
    <w:p>
      <w:pPr>
        <w:pStyle w:val="TextBody"/>
        <w:spacing w:before="0" w:after="0"/>
        <w:ind w:left="0" w:right="0" w:firstLine="594"/>
        <w:rPr>
          <w:color w:val="000000"/>
          <w:sz w:val="20"/>
        </w:rPr>
      </w:pPr>
      <w:r>
        <w:rPr>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sz w:val="20"/>
        </w:rPr>
      </w:pPr>
      <w:r>
        <w:rPr>
          <w:sz w:val="20"/>
        </w:rPr>
      </w:r>
    </w:p>
    <w:p>
      <w:pPr>
        <w:pStyle w:val="TextBody"/>
        <w:spacing w:before="0" w:after="0"/>
        <w:ind w:left="0" w:right="0" w:firstLine="594"/>
        <w:rPr>
          <w:color w:val="000000"/>
          <w:sz w:val="20"/>
        </w:rPr>
      </w:pPr>
      <w:r>
        <w:rPr>
          <w:color w:val="000000"/>
          <w:sz w:val="20"/>
        </w:rPr>
        <w:t>Date: April 27, 2023</w:t>
      </w:r>
    </w:p>
    <w:p>
      <w:pPr>
        <w:pStyle w:val="TextBody"/>
        <w:spacing w:before="0" w:after="0"/>
        <w:rPr>
          <w:sz w:val="20"/>
        </w:rPr>
      </w:pPr>
      <w:r>
        <w:rPr>
          <w:sz w:val="20"/>
        </w:rPr>
      </w:r>
    </w:p>
    <w:p>
      <w:pPr>
        <w:pStyle w:val="Normal"/>
        <w:spacing w:before="0" w:after="0"/>
        <w:rPr>
          <w:sz w:val="4"/>
          <w:szCs w:val="4"/>
        </w:rPr>
      </w:pPr>
      <w:r>
        <w:rPr>
          <w:sz w:val="4"/>
          <w:szCs w:val="4"/>
        </w:rPr>
      </w:r>
      <w:bookmarkStart w:id="6" w:name="z5b161cf0cbdf45fb980ead53a5dcb8b6"/>
      <w:bookmarkStart w:id="7" w:name="z5b161cf0cbdf45fb980ead53a5dcb8b6"/>
      <w:bookmarkEnd w:id="7"/>
    </w:p>
    <w:tbl>
      <w:tblPr>
        <w:tblW w:w="2612" w:type="dxa"/>
        <w:jc w:val="left"/>
        <w:tblInd w:w="0" w:type="dxa"/>
        <w:tblCellMar>
          <w:top w:w="0" w:type="dxa"/>
          <w:left w:w="0" w:type="dxa"/>
          <w:bottom w:w="0" w:type="dxa"/>
          <w:right w:w="0" w:type="dxa"/>
        </w:tblCellMar>
      </w:tblPr>
      <w:tblGrid>
        <w:gridCol w:w="23"/>
        <w:gridCol w:w="320"/>
        <w:gridCol w:w="2241"/>
        <w:gridCol w:w="28"/>
      </w:tblGrid>
      <w:tr>
        <w:trPr/>
        <w:tc>
          <w:tcPr>
            <w:tcW w:w="23" w:type="dxa"/>
            <w:tcBorders/>
            <w:shd w:fill="auto" w:val="clear"/>
            <w:vAlign w:val="center"/>
          </w:tcPr>
          <w:p>
            <w:pPr>
              <w:pStyle w:val="TableContents"/>
              <w:spacing w:before="0" w:after="283"/>
              <w:rPr/>
            </w:pPr>
            <w:r>
              <w:rPr/>
            </w:r>
          </w:p>
        </w:tc>
        <w:tc>
          <w:tcPr>
            <w:tcW w:w="2589" w:type="dxa"/>
            <w:gridSpan w:val="3"/>
            <w:tcBorders/>
            <w:shd w:fill="auto" w:val="clear"/>
            <w:vAlign w:val="center"/>
          </w:tcPr>
          <w:p>
            <w:pPr>
              <w:pStyle w:val="TableContents"/>
              <w:spacing w:before="0" w:after="0"/>
              <w:rPr>
                <w:color w:val="000000"/>
                <w:sz w:val="20"/>
              </w:rPr>
            </w:pPr>
            <w:r>
              <w:rPr>
                <w:color w:val="000000"/>
                <w:sz w:val="20"/>
              </w:rPr>
              <w:t>CREDICORP LTD.</w:t>
            </w:r>
          </w:p>
        </w:tc>
      </w:tr>
      <w:tr>
        <w:trPr/>
        <w:tc>
          <w:tcPr>
            <w:tcW w:w="23" w:type="dxa"/>
            <w:tcBorders/>
            <w:shd w:fill="auto" w:val="clear"/>
            <w:vAlign w:val="center"/>
          </w:tcPr>
          <w:p>
            <w:pPr>
              <w:pStyle w:val="TableContents"/>
              <w:spacing w:before="0" w:after="283"/>
              <w:rPr/>
            </w:pPr>
            <w:r>
              <w:rPr/>
            </w:r>
          </w:p>
        </w:tc>
        <w:tc>
          <w:tcPr>
            <w:tcW w:w="2589" w:type="dxa"/>
            <w:gridSpan w:val="3"/>
            <w:tcBorders/>
            <w:shd w:fill="auto" w:val="clear"/>
            <w:vAlign w:val="center"/>
          </w:tcPr>
          <w:p>
            <w:pPr>
              <w:pStyle w:val="TableContents"/>
              <w:spacing w:before="0" w:after="0"/>
              <w:rPr>
                <w:color w:val="000000"/>
                <w:sz w:val="20"/>
              </w:rPr>
            </w:pPr>
            <w:r>
              <w:rPr>
                <w:color w:val="000000"/>
                <w:sz w:val="20"/>
              </w:rPr>
              <w:t>(Registrant)</w:t>
            </w:r>
          </w:p>
        </w:tc>
      </w:tr>
      <w:tr>
        <w:trPr/>
        <w:tc>
          <w:tcPr>
            <w:tcW w:w="23" w:type="dxa"/>
            <w:tcBorders/>
            <w:shd w:fill="auto" w:val="clear"/>
            <w:vAlign w:val="center"/>
          </w:tcPr>
          <w:p>
            <w:pPr>
              <w:pStyle w:val="TableContents"/>
              <w:spacing w:before="0" w:after="283"/>
              <w:rPr/>
            </w:pPr>
            <w:r>
              <w:rPr/>
            </w:r>
          </w:p>
        </w:tc>
        <w:tc>
          <w:tcPr>
            <w:tcW w:w="2589" w:type="dxa"/>
            <w:gridSpan w:val="3"/>
            <w:tcBorders/>
            <w:shd w:fill="auto" w:val="clear"/>
            <w:vAlign w:val="center"/>
          </w:tcPr>
          <w:p>
            <w:pPr>
              <w:pStyle w:val="TableContents"/>
              <w:spacing w:before="0" w:after="283"/>
              <w:rPr/>
            </w:pPr>
            <w:r>
              <w:rPr/>
              <w:t> </w:t>
            </w:r>
          </w:p>
        </w:tc>
      </w:tr>
      <w:tr>
        <w:trPr/>
        <w:tc>
          <w:tcPr>
            <w:tcW w:w="23" w:type="dxa"/>
            <w:tcBorders/>
            <w:shd w:fill="auto" w:val="clear"/>
            <w:vAlign w:val="center"/>
          </w:tcPr>
          <w:p>
            <w:pPr>
              <w:pStyle w:val="TableContents"/>
              <w:spacing w:before="0" w:after="283"/>
              <w:rPr/>
            </w:pPr>
            <w:r>
              <w:rPr/>
            </w:r>
          </w:p>
        </w:tc>
        <w:tc>
          <w:tcPr>
            <w:tcW w:w="320" w:type="dxa"/>
            <w:tcBorders/>
            <w:shd w:fill="auto" w:val="clear"/>
            <w:vAlign w:val="center"/>
          </w:tcPr>
          <w:p>
            <w:pPr>
              <w:pStyle w:val="TableContents"/>
              <w:spacing w:before="0" w:after="0"/>
              <w:rPr>
                <w:color w:val="000000"/>
                <w:sz w:val="20"/>
              </w:rPr>
            </w:pPr>
            <w:r>
              <w:rPr>
                <w:color w:val="000000"/>
                <w:sz w:val="20"/>
              </w:rPr>
              <w:t>By:</w:t>
            </w:r>
          </w:p>
        </w:tc>
        <w:tc>
          <w:tcPr>
            <w:tcW w:w="2241" w:type="dxa"/>
            <w:tcBorders>
              <w:bottom w:val="single" w:sz="12" w:space="0" w:color="000000"/>
            </w:tcBorders>
            <w:shd w:fill="auto" w:val="clear"/>
            <w:tcMar>
              <w:bottom w:w="28" w:type="dxa"/>
            </w:tcMar>
            <w:vAlign w:val="center"/>
          </w:tcPr>
          <w:p>
            <w:pPr>
              <w:pStyle w:val="TableContents"/>
              <w:spacing w:before="0" w:after="0"/>
              <w:rPr>
                <w:color w:val="000000"/>
                <w:sz w:val="20"/>
              </w:rPr>
            </w:pPr>
            <w:r>
              <w:rPr>
                <w:color w:val="000000"/>
                <w:sz w:val="20"/>
              </w:rPr>
              <w:t>/s/ Guillermo Morales</w:t>
            </w:r>
          </w:p>
        </w:tc>
        <w:tc>
          <w:tcPr>
            <w:tcW w:w="28" w:type="dxa"/>
            <w:tcBorders/>
            <w:shd w:fill="auto" w:val="clear"/>
            <w:vAlign w:val="center"/>
          </w:tcPr>
          <w:p>
            <w:pPr>
              <w:pStyle w:val="TableContents"/>
              <w:spacing w:before="0" w:after="283"/>
              <w:rPr/>
            </w:pPr>
            <w:r>
              <w:rPr/>
            </w:r>
          </w:p>
        </w:tc>
      </w:tr>
      <w:tr>
        <w:trPr/>
        <w:tc>
          <w:tcPr>
            <w:tcW w:w="23" w:type="dxa"/>
            <w:tcBorders/>
            <w:shd w:fill="auto" w:val="clear"/>
            <w:vAlign w:val="center"/>
          </w:tcPr>
          <w:p>
            <w:pPr>
              <w:pStyle w:val="TableContents"/>
              <w:spacing w:before="0" w:after="283"/>
              <w:rPr/>
            </w:pPr>
            <w:r>
              <w:rPr/>
            </w:r>
          </w:p>
        </w:tc>
        <w:tc>
          <w:tcPr>
            <w:tcW w:w="320" w:type="dxa"/>
            <w:tcBorders/>
            <w:shd w:fill="auto" w:val="clear"/>
            <w:vAlign w:val="center"/>
          </w:tcPr>
          <w:p>
            <w:pPr>
              <w:pStyle w:val="TableContents"/>
              <w:spacing w:before="0" w:after="283"/>
              <w:rPr/>
            </w:pPr>
            <w:r>
              <w:rPr/>
              <w:t> </w:t>
            </w:r>
          </w:p>
        </w:tc>
        <w:tc>
          <w:tcPr>
            <w:tcW w:w="2269" w:type="dxa"/>
            <w:gridSpan w:val="2"/>
            <w:tcBorders/>
            <w:shd w:fill="auto" w:val="clear"/>
            <w:vAlign w:val="center"/>
          </w:tcPr>
          <w:p>
            <w:pPr>
              <w:pStyle w:val="TableContents"/>
              <w:spacing w:before="0" w:after="0"/>
              <w:rPr>
                <w:b/>
                <w:color w:val="000000"/>
                <w:sz w:val="20"/>
              </w:rPr>
            </w:pPr>
            <w:r>
              <w:rPr>
                <w:b/>
                <w:color w:val="000000"/>
                <w:sz w:val="20"/>
              </w:rPr>
              <w:t>Guillermo Morales</w:t>
            </w:r>
          </w:p>
        </w:tc>
      </w:tr>
      <w:tr>
        <w:trPr/>
        <w:tc>
          <w:tcPr>
            <w:tcW w:w="23" w:type="dxa"/>
            <w:tcBorders/>
            <w:shd w:fill="auto" w:val="clear"/>
            <w:vAlign w:val="center"/>
          </w:tcPr>
          <w:p>
            <w:pPr>
              <w:pStyle w:val="TableContents"/>
              <w:spacing w:before="0" w:after="283"/>
              <w:rPr/>
            </w:pPr>
            <w:r>
              <w:rPr/>
            </w:r>
          </w:p>
        </w:tc>
        <w:tc>
          <w:tcPr>
            <w:tcW w:w="320" w:type="dxa"/>
            <w:tcBorders/>
            <w:shd w:fill="auto" w:val="clear"/>
            <w:vAlign w:val="center"/>
          </w:tcPr>
          <w:p>
            <w:pPr>
              <w:pStyle w:val="TableContents"/>
              <w:spacing w:before="0" w:after="283"/>
              <w:rPr/>
            </w:pPr>
            <w:r>
              <w:rPr/>
              <w:t> </w:t>
            </w:r>
          </w:p>
        </w:tc>
        <w:tc>
          <w:tcPr>
            <w:tcW w:w="2269" w:type="dxa"/>
            <w:gridSpan w:val="2"/>
            <w:tcBorders/>
            <w:shd w:fill="auto" w:val="clear"/>
            <w:vAlign w:val="center"/>
          </w:tcPr>
          <w:p>
            <w:pPr>
              <w:pStyle w:val="TableContents"/>
              <w:spacing w:before="0" w:after="0"/>
              <w:rPr>
                <w:b/>
                <w:color w:val="000000"/>
                <w:sz w:val="20"/>
              </w:rPr>
            </w:pPr>
            <w:r>
              <w:rPr>
                <w:b/>
                <w:color w:val="000000"/>
                <w:sz w:val="20"/>
              </w:rPr>
              <w:t>Authorized Representative</w:t>
            </w:r>
          </w:p>
        </w:tc>
      </w:tr>
    </w:tbl>
    <w:p>
      <w:pPr>
        <w:pStyle w:val="TextBody"/>
        <w:spacing w:before="0" w:after="0"/>
        <w:rPr/>
      </w:pPr>
      <w:r>
        <w:rPr/>
      </w:r>
    </w:p>
    <w:p>
      <w:pPr>
        <w:pStyle w:val="TextBody"/>
        <w:spacing w:before="0" w:after="0"/>
        <w:rPr/>
      </w:pPr>
      <w:r>
        <w:rPr/>
      </w:r>
    </w:p>
    <w:p>
      <w:pPr>
        <w:pStyle w:val="HorizontalLine"/>
        <w:pBdr>
          <w:bottom w:val="single" w:sz="20" w:space="0" w:color="808080"/>
        </w:pBdr>
        <w:spacing w:before="0" w:after="16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427</Words>
  <CharactersWithSpaces>2598</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