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February 2024</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 xml:space="preserve">Lima 12,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54250" cy="368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68935"/>
                    </a:xfrm>
                    <a:prstGeom prst="rect">
                      <a:avLst/>
                    </a:prstGeom>
                    <a:noFill/>
                  </pic:spPr>
                </pic:pic>
              </a:graphicData>
            </a:graphic>
          </wp:anchor>
        </w:drawing>
        <w:t>February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Credicorp Ltd. (‘Credicorp’) notifies you as a Material Event that, in its session held on February 29, 2024, Credicorp’s Board of Directors unanimously agreed on the following matters:</w:t>
      </w:r>
    </w:p>
    <w:p>
      <w:pPr>
        <w:spacing w:after="0" w:line="162"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Annual and Sustainability Report of Credicorp for the financial year ended December 31, 2023, that the Chairman will present at the Annual General Meeting (the “AGM”) of Shareholders on March 27, 2024, at 3:00 p. m. (Peru time).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audited individual (standalone) and consolidated financial statements of Credicorp and its subsidiaries for the financial year ended December 31, 2023, including the report of the external auditors Tanaka, Valdivia &amp; Asociados Sociedad Civil de Responsabilidad Limitada, a member firm of EY in Peru, that the Chairman will present at the AGM.</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recommend for consideration of the AGM (i) the appointment of Tanaka, Valdivia &amp; Asociados Sociedad Civil de Responsabilidad Limitada, a member firm of EY in Peru, as the external auditors of Credicorp and its subsidiaries for the financial year 2024, with the previous authorization of the Audit Committee; and (ii) the delegation of the power to set and approve fees for such audit services to the Board of Directors (for further delegation to the Audit Committee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Documents mentioned above are available through the following hyperlink: </w:t>
      </w:r>
      <w:r>
        <w:rPr>
          <w:rFonts w:ascii="Times New Roman" w:cs="Times New Roman" w:eastAsia="Times New Roman" w:hAnsi="Times New Roman"/>
          <w:sz w:val="18"/>
          <w:szCs w:val="18"/>
          <w:u w:val="single" w:color="auto"/>
          <w:color w:val="auto"/>
        </w:rPr>
        <w:t>https://credicorp.gcs-web.com/annual-materials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and any information available through the hyperlink above)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2024-03-01T05:16:23Z</dcterms:created>
  <dcterms:modified xsi:type="dcterms:W3CDTF">2024-03-01T05:16:23Z</dcterms:modified>
</cp:coreProperties>
</file>