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For the month of August 2019</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14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6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631190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783" w:right="1440" w:bottom="1440" w:gutter="0" w:footer="0" w:header="0"/>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August 9</w:t>
      </w:r>
      <w:r>
        <w:rPr>
          <w:rFonts w:ascii="Arial" w:cs="Arial" w:eastAsia="Arial" w:hAnsi="Arial"/>
          <w:sz w:val="30"/>
          <w:szCs w:val="30"/>
          <w:color w:val="auto"/>
          <w:vertAlign w:val="superscript"/>
        </w:rPr>
        <w:t>th</w:t>
      </w:r>
      <w:r>
        <w:rPr>
          <w:rFonts w:ascii="Arial" w:cs="Arial" w:eastAsia="Arial" w:hAnsi="Arial"/>
          <w:sz w:val="18"/>
          <w:szCs w:val="18"/>
          <w:color w:val="auto"/>
        </w:rPr>
        <w:t>, 2019</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Bottger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CREDICORP Ltd.</w:t>
      </w:r>
    </w:p>
    <w:p>
      <w:pPr>
        <w:spacing w:after="0" w:line="195" w:lineRule="exact"/>
        <w:rPr>
          <w:sz w:val="20"/>
          <w:szCs w:val="20"/>
          <w:color w:val="auto"/>
        </w:rPr>
      </w:pPr>
    </w:p>
    <w:p>
      <w:pPr>
        <w:jc w:val="both"/>
        <w:spacing w:after="0" w:line="211" w:lineRule="auto"/>
        <w:rPr>
          <w:sz w:val="20"/>
          <w:szCs w:val="20"/>
          <w:color w:val="auto"/>
        </w:rPr>
      </w:pPr>
      <w:r>
        <w:rPr>
          <w:rFonts w:ascii="Arial" w:cs="Arial" w:eastAsia="Arial" w:hAnsi="Arial"/>
          <w:sz w:val="18"/>
          <w:szCs w:val="18"/>
          <w:b w:val="1"/>
          <w:bCs w:val="1"/>
          <w:color w:val="auto"/>
        </w:rPr>
        <w:t>Lima, Peru, August 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2019 </w:t>
      </w:r>
      <w:r>
        <w:rPr>
          <w:rFonts w:ascii="Arial" w:cs="Arial" w:eastAsia="Arial" w:hAnsi="Arial"/>
          <w:sz w:val="18"/>
          <w:szCs w:val="18"/>
          <w:color w:val="auto"/>
        </w:rPr>
        <w:t>– Credicorp (NYSE: BAP) announced its unaudited results for the second quarter of 2019. These results are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IFRS in Soles.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Quarter Results 2019</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2Q19, Credicorp reported net income of S/ 1,098.6 million, which translated into an ROAE and ROAA of 18.0% and 2.4% respectively. This result represented a drop in net income of -0.2% QoQ and an increase of +12.3% and +9.1% YoY and YTD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QoQ evolution reflects an increase in net interest income (NII), which was attributable to an improvement in loan growth. The aforementioned was offset by an increase in provisions requirement, mainly at BCP Stand-alone and due to an increase in operating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Growth in net income YoY and YTD was primarily attributable an increase in Net interest income (NII) and to growth in Non-financial income. Nevertheless, this was partially offset by an increase in expenses for provisions and 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results in 2Q19 show: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QoQ expansion in average daily loans balances in all segments, which was primarily attributable to loan growth in Retail Banking. In the YoY analysis, which eliminates that seasonal effect, total loans measured in average daily balances rose 6.5%. Growth was led by Retail Banking, in particular by Mortgage, Credit Card and SME-Business segments. Furthermore, growth in this portfolio was mainly in local currency.</w:t>
      </w:r>
    </w:p>
    <w:p>
      <w:pPr>
        <w:spacing w:after="0" w:line="181" w:lineRule="exact"/>
        <w:rPr>
          <w:sz w:val="20"/>
          <w:szCs w:val="20"/>
          <w:color w:val="auto"/>
        </w:rPr>
      </w:pPr>
    </w:p>
    <w:p>
      <w:pPr>
        <w:jc w:val="both"/>
        <w:ind w:firstLine="8"/>
        <w:spacing w:after="0" w:line="312" w:lineRule="auto"/>
        <w:tabs>
          <w:tab w:leader="none" w:pos="110" w:val="left"/>
        </w:tabs>
        <w:numPr>
          <w:ilvl w:val="0"/>
          <w:numId w:val="1"/>
        </w:numPr>
        <w:rPr>
          <w:rFonts w:ascii="Arial" w:cs="Arial" w:eastAsia="Arial" w:hAnsi="Arial"/>
          <w:sz w:val="16"/>
          <w:szCs w:val="16"/>
          <w:color w:val="auto"/>
        </w:rPr>
      </w:pPr>
      <w:r>
        <w:rPr>
          <w:rFonts w:ascii="Arial" w:cs="Arial" w:eastAsia="Arial" w:hAnsi="Arial"/>
          <w:sz w:val="16"/>
          <w:szCs w:val="16"/>
          <w:color w:val="auto"/>
        </w:rPr>
        <w:t>NII expanded +3.1% QoQ and +9.4% YoY due to loan growth, which offset an increase in expenses for interest on deposits. YTD, the evolution was similar as NII expanded +8.3% due to an improvement in the pace of growth of total loans. This expansion was led by growth in segments with higher margins at BCP Stand-alone and in local currency. In this context, the Net Interest Margin (NIM) increased +11 bps QoQ, +20 bps YoY and +15bps YTD.</w:t>
      </w:r>
    </w:p>
    <w:p>
      <w:pPr>
        <w:spacing w:after="0" w:line="146" w:lineRule="exact"/>
        <w:rPr>
          <w:rFonts w:ascii="Arial" w:cs="Arial" w:eastAsia="Arial" w:hAnsi="Arial"/>
          <w:sz w:val="16"/>
          <w:szCs w:val="16"/>
          <w:color w:val="auto"/>
        </w:rPr>
      </w:pPr>
    </w:p>
    <w:p>
      <w:pPr>
        <w:jc w:val="both"/>
        <w:ind w:firstLine="8"/>
        <w:spacing w:after="0" w:line="264" w:lineRule="auto"/>
        <w:tabs>
          <w:tab w:leader="none" w:pos="11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provisions for credit losses, net of recoveries increased +12.5% QoQ, +32.4% YoY and +16.9% YTD. In line with this the cost of risk (CofR) increased +23 bps QoQ, +42 bps YoY and +19 bps YTD. This result was mainly attributable to the increase in the CofR at BCP Stand-alone after the provisions requirement for the Retail Banking portfolio increased.</w:t>
      </w:r>
    </w:p>
    <w:p>
      <w:pPr>
        <w:spacing w:after="0" w:line="181" w:lineRule="exact"/>
        <w:rPr>
          <w:rFonts w:ascii="Arial" w:cs="Arial" w:eastAsia="Arial" w:hAnsi="Arial"/>
          <w:sz w:val="18"/>
          <w:szCs w:val="18"/>
          <w:color w:val="auto"/>
        </w:rPr>
      </w:pPr>
    </w:p>
    <w:p>
      <w:pPr>
        <w:ind w:firstLine="8"/>
        <w:spacing w:after="0" w:line="277" w:lineRule="auto"/>
        <w:tabs>
          <w:tab w:leader="none" w:pos="125"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this context, risk-adjusted NIM fell -4 bps QoQ and -9bps YoY, in line with growth in the CofR. Nevertheless, in YTD terms, the risk-adjusted NIM remained relatively stable (+2 pbs).</w:t>
      </w:r>
    </w:p>
    <w:p>
      <w:pPr>
        <w:spacing w:after="0" w:line="170" w:lineRule="exact"/>
        <w:rPr>
          <w:rFonts w:ascii="Arial" w:cs="Arial" w:eastAsia="Arial" w:hAnsi="Arial"/>
          <w:sz w:val="18"/>
          <w:szCs w:val="18"/>
          <w:color w:val="auto"/>
        </w:rPr>
      </w:pPr>
    </w:p>
    <w:p>
      <w:pPr>
        <w:jc w:val="both"/>
        <w:ind w:firstLine="8"/>
        <w:spacing w:after="0" w:line="255" w:lineRule="auto"/>
        <w:tabs>
          <w:tab w:leader="none" w:pos="112"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Non-financial income expanded QoQ, which was mainly attributable to a gain on Other non-financial income after the sale of a property at BCP Bolivia. In the YoY analysis and YTD, growth was associated with an increase in the Net gain on sales of securities due to an improvement in BCP Stand-alone’s result, and to a lesser extent, with growth in the main components of non-financial income, Fee income and Net gain on foreign exchange transactions. It is important to keep in mind that the pace of growth of these main components has fallen over the years due to: regulatory changes, which have affected the commissions that retail banking clients are charged; a more competitive environment in the local market; and a transactional strategy to encourage clients to migrate to digital channels.</w:t>
      </w:r>
    </w:p>
    <w:p>
      <w:pPr>
        <w:spacing w:after="0" w:line="193" w:lineRule="exact"/>
        <w:rPr>
          <w:rFonts w:ascii="Arial" w:cs="Arial" w:eastAsia="Arial" w:hAnsi="Arial"/>
          <w:sz w:val="18"/>
          <w:szCs w:val="18"/>
          <w:color w:val="auto"/>
        </w:rPr>
      </w:pPr>
    </w:p>
    <w:p>
      <w:pPr>
        <w:jc w:val="both"/>
        <w:ind w:firstLine="8"/>
        <w:spacing w:after="0" w:line="264"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underwriting result reported an increase of +8.5% QoQ and 5.2% YoY, which was due primarily to growth in net earned premiums in property and casualty insurance. YTD, the underwriting result fell -0.4%, due to an increase in the net loss ratio in the property and casualty and life insurance businesses.</w:t>
      </w:r>
    </w:p>
    <w:p>
      <w:pPr>
        <w:spacing w:after="0" w:line="181" w:lineRule="exact"/>
        <w:rPr>
          <w:rFonts w:ascii="Arial" w:cs="Arial" w:eastAsia="Arial" w:hAnsi="Arial"/>
          <w:sz w:val="18"/>
          <w:szCs w:val="18"/>
          <w:color w:val="auto"/>
        </w:rPr>
      </w:pPr>
    </w:p>
    <w:p>
      <w:pPr>
        <w:jc w:val="both"/>
        <w:ind w:firstLine="8"/>
        <w:spacing w:after="0" w:line="264" w:lineRule="auto"/>
        <w:tabs>
          <w:tab w:leader="none" w:pos="1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efficiency ratio increased +100 bps QoQ, in line with a seasonal increase in operating expenses given that in the first quarter of every year tends to register the lowest expenses. The efficiency ratio fell -50 bps both YoY and YTD, in line with an increase in net interest income (NII), which offset the increase in salaries and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1461770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124460</wp:posOffset>
            </wp:positionV>
            <wp:extent cx="5746115" cy="909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6115" cy="90932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140" w:type="dxa"/>
            <w:vAlign w:val="bottom"/>
            <w:gridSpan w:val="4"/>
          </w:tcPr>
          <w:p>
            <w:pPr>
              <w:spacing w:after="0"/>
              <w:rPr>
                <w:sz w:val="20"/>
                <w:szCs w:val="20"/>
                <w:color w:val="auto"/>
              </w:rPr>
            </w:pPr>
            <w:r>
              <w:rPr>
                <w:rFonts w:ascii="Arial" w:cs="Arial" w:eastAsia="Arial" w:hAnsi="Arial"/>
                <w:sz w:val="18"/>
                <w:szCs w:val="18"/>
                <w:b w:val="1"/>
                <w:bCs w:val="1"/>
                <w:color w:val="auto"/>
              </w:rPr>
              <w:t>Table of Contents</w:t>
            </w:r>
          </w:p>
        </w:tc>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gridSpan w:val="3"/>
          </w:tcPr>
          <w:p>
            <w:pPr>
              <w:spacing w:after="0"/>
              <w:rPr>
                <w:sz w:val="18"/>
                <w:szCs w:val="18"/>
                <w:color w:val="auto"/>
              </w:rPr>
            </w:pPr>
          </w:p>
        </w:tc>
        <w:tc>
          <w:tcPr>
            <w:tcW w:w="3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Credicorp (NYSE: BAP): Second Quarter Results 2019</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Arial" w:cs="Arial" w:eastAsia="Arial" w:hAnsi="Arial"/>
                <w:sz w:val="18"/>
                <w:szCs w:val="18"/>
                <w:color w:val="auto"/>
              </w:rPr>
              <w:t>Financial Overview</w:t>
            </w:r>
          </w:p>
        </w:tc>
        <w:tc>
          <w:tcPr>
            <w:tcW w:w="32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Credicorp and subsidiaries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1.</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Interest-earning assets (IEA)</w:t>
            </w:r>
          </w:p>
        </w:tc>
        <w:tc>
          <w:tcPr>
            <w:tcW w:w="32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1.1.</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Evolution of IEA</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1.2.</w:t>
            </w:r>
          </w:p>
        </w:tc>
        <w:tc>
          <w:tcPr>
            <w:tcW w:w="7480" w:type="dxa"/>
            <w:vAlign w:val="bottom"/>
          </w:tcPr>
          <w:p>
            <w:pPr>
              <w:ind w:left="20"/>
              <w:spacing w:after="0"/>
              <w:rPr>
                <w:sz w:val="20"/>
                <w:szCs w:val="20"/>
                <w:color w:val="auto"/>
              </w:rPr>
            </w:pPr>
            <w:r>
              <w:rPr>
                <w:rFonts w:ascii="Arial" w:cs="Arial" w:eastAsia="Arial" w:hAnsi="Arial"/>
                <w:sz w:val="18"/>
                <w:szCs w:val="18"/>
                <w:color w:val="auto"/>
              </w:rPr>
              <w:t>Credicorp Loans</w:t>
            </w:r>
          </w:p>
        </w:tc>
        <w:tc>
          <w:tcPr>
            <w:tcW w:w="32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1.2.1. Loan evolution by business segment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1.2.2. Evolution of the level of dollarization by segment</w:t>
            </w:r>
          </w:p>
        </w:tc>
        <w:tc>
          <w:tcPr>
            <w:tcW w:w="32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1.2.3. BCRP de-dollarization plan at BCP Stand-alone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1.2.4. Market share in loans</w:t>
            </w:r>
          </w:p>
        </w:tc>
        <w:tc>
          <w:tcPr>
            <w:tcW w:w="3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Funding Sources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2.1.</w:t>
            </w:r>
          </w:p>
        </w:tc>
        <w:tc>
          <w:tcPr>
            <w:tcW w:w="7480" w:type="dxa"/>
            <w:vAlign w:val="bottom"/>
          </w:tcPr>
          <w:p>
            <w:pPr>
              <w:ind w:left="20"/>
              <w:spacing w:after="0"/>
              <w:rPr>
                <w:sz w:val="20"/>
                <w:szCs w:val="20"/>
                <w:color w:val="auto"/>
              </w:rPr>
            </w:pPr>
            <w:r>
              <w:rPr>
                <w:rFonts w:ascii="Arial" w:cs="Arial" w:eastAsia="Arial" w:hAnsi="Arial"/>
                <w:sz w:val="18"/>
                <w:szCs w:val="18"/>
                <w:color w:val="auto"/>
              </w:rPr>
              <w:t>Funding Structure</w:t>
            </w:r>
          </w:p>
        </w:tc>
        <w:tc>
          <w:tcPr>
            <w:tcW w:w="32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2.2.</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2.2.1. Deposits: dollarization level</w:t>
            </w:r>
          </w:p>
        </w:tc>
        <w:tc>
          <w:tcPr>
            <w:tcW w:w="3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2.2.2. Market share in Deposits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2.3.</w:t>
            </w:r>
          </w:p>
        </w:tc>
        <w:tc>
          <w:tcPr>
            <w:tcW w:w="7480" w:type="dxa"/>
            <w:vAlign w:val="bottom"/>
          </w:tcPr>
          <w:p>
            <w:pPr>
              <w:ind w:left="20"/>
              <w:spacing w:after="0"/>
              <w:rPr>
                <w:sz w:val="20"/>
                <w:szCs w:val="20"/>
                <w:color w:val="auto"/>
              </w:rPr>
            </w:pPr>
            <w:r>
              <w:rPr>
                <w:rFonts w:ascii="Arial" w:cs="Arial" w:eastAsia="Arial" w:hAnsi="Arial"/>
                <w:sz w:val="18"/>
                <w:szCs w:val="18"/>
                <w:color w:val="auto"/>
              </w:rPr>
              <w:t>Other funding sources</w:t>
            </w:r>
          </w:p>
        </w:tc>
        <w:tc>
          <w:tcPr>
            <w:tcW w:w="3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2.4.</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 Deposit (L/D)</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2.5.</w:t>
            </w:r>
          </w:p>
        </w:tc>
        <w:tc>
          <w:tcPr>
            <w:tcW w:w="7480" w:type="dxa"/>
            <w:vAlign w:val="bottom"/>
          </w:tcPr>
          <w:p>
            <w:pPr>
              <w:ind w:left="20"/>
              <w:spacing w:after="0"/>
              <w:rPr>
                <w:sz w:val="20"/>
                <w:szCs w:val="20"/>
                <w:color w:val="auto"/>
              </w:rPr>
            </w:pPr>
            <w:r>
              <w:rPr>
                <w:rFonts w:ascii="Arial" w:cs="Arial" w:eastAsia="Arial" w:hAnsi="Arial"/>
                <w:sz w:val="18"/>
                <w:szCs w:val="18"/>
                <w:color w:val="auto"/>
              </w:rPr>
              <w:t>Funding Cost</w:t>
            </w:r>
          </w:p>
        </w:tc>
        <w:tc>
          <w:tcPr>
            <w:tcW w:w="3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Portfolio quality and Provisions for loan losses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3.1.</w:t>
            </w:r>
          </w:p>
        </w:tc>
        <w:tc>
          <w:tcPr>
            <w:tcW w:w="7480" w:type="dxa"/>
            <w:vAlign w:val="bottom"/>
          </w:tcPr>
          <w:p>
            <w:pPr>
              <w:ind w:left="20"/>
              <w:spacing w:after="0"/>
              <w:rPr>
                <w:sz w:val="20"/>
                <w:szCs w:val="20"/>
                <w:color w:val="auto"/>
              </w:rPr>
            </w:pPr>
            <w:r>
              <w:rPr>
                <w:rFonts w:ascii="Arial" w:cs="Arial" w:eastAsia="Arial" w:hAnsi="Arial"/>
                <w:sz w:val="18"/>
                <w:szCs w:val="18"/>
                <w:color w:val="auto"/>
              </w:rPr>
              <w:t>Provisions for loan losses</w:t>
            </w:r>
          </w:p>
        </w:tc>
        <w:tc>
          <w:tcPr>
            <w:tcW w:w="3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3.2.</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Portfolio Quality: Delinquency ratios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3.2.1. Delinquency indicators by business line</w:t>
            </w:r>
          </w:p>
        </w:tc>
        <w:tc>
          <w:tcPr>
            <w:tcW w:w="3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Interest Income (NII)</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4.1.</w:t>
            </w:r>
          </w:p>
        </w:tc>
        <w:tc>
          <w:tcPr>
            <w:tcW w:w="74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4.2.</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4.3.</w:t>
            </w:r>
          </w:p>
        </w:tc>
        <w:tc>
          <w:tcPr>
            <w:tcW w:w="7480" w:type="dxa"/>
            <w:vAlign w:val="bottom"/>
          </w:tcPr>
          <w:p>
            <w:pPr>
              <w:ind w:left="20"/>
              <w:spacing w:after="0"/>
              <w:rPr>
                <w:sz w:val="20"/>
                <w:szCs w:val="20"/>
                <w:color w:val="auto"/>
              </w:rPr>
            </w:pPr>
            <w:r>
              <w:rPr>
                <w:rFonts w:ascii="Arial" w:cs="Arial" w:eastAsia="Arial" w:hAnsi="Arial"/>
                <w:sz w:val="18"/>
                <w:szCs w:val="18"/>
                <w:color w:val="auto"/>
              </w:rPr>
              <w:t>Net Interest Margin (NIM) and Risk-Adjusted NIM</w:t>
            </w:r>
          </w:p>
        </w:tc>
        <w:tc>
          <w:tcPr>
            <w:tcW w:w="32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Non-Financial Income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5.1.</w:t>
            </w:r>
          </w:p>
        </w:tc>
        <w:tc>
          <w:tcPr>
            <w:tcW w:w="7480" w:type="dxa"/>
            <w:vAlign w:val="bottom"/>
          </w:tcPr>
          <w:p>
            <w:pPr>
              <w:ind w:left="20"/>
              <w:spacing w:after="0"/>
              <w:rPr>
                <w:sz w:val="20"/>
                <w:szCs w:val="20"/>
                <w:color w:val="auto"/>
              </w:rPr>
            </w:pPr>
            <w:r>
              <w:rPr>
                <w:rFonts w:ascii="Arial" w:cs="Arial" w:eastAsia="Arial" w:hAnsi="Arial"/>
                <w:sz w:val="18"/>
                <w:szCs w:val="18"/>
                <w:color w:val="auto"/>
              </w:rPr>
              <w:t>Fee Income</w:t>
            </w:r>
          </w:p>
        </w:tc>
        <w:tc>
          <w:tcPr>
            <w:tcW w:w="3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5.1.1. By subsidiary</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5.1.2. Fee income in the Banking Business</w:t>
            </w:r>
          </w:p>
        </w:tc>
        <w:tc>
          <w:tcPr>
            <w:tcW w:w="32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Insurance Underwriting Result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6.1.</w:t>
            </w:r>
          </w:p>
        </w:tc>
        <w:tc>
          <w:tcPr>
            <w:tcW w:w="748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32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6.2.</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claims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6.3.</w:t>
            </w:r>
          </w:p>
        </w:tc>
        <w:tc>
          <w:tcPr>
            <w:tcW w:w="7480" w:type="dxa"/>
            <w:vAlign w:val="bottom"/>
          </w:tcPr>
          <w:p>
            <w:pPr>
              <w:ind w:left="20"/>
              <w:spacing w:after="0"/>
              <w:rPr>
                <w:sz w:val="20"/>
                <w:szCs w:val="20"/>
                <w:color w:val="auto"/>
              </w:rPr>
            </w:pPr>
            <w:r>
              <w:rPr>
                <w:rFonts w:ascii="Arial" w:cs="Arial" w:eastAsia="Arial" w:hAnsi="Arial"/>
                <w:sz w:val="18"/>
                <w:szCs w:val="18"/>
                <w:color w:val="auto"/>
              </w:rPr>
              <w:t>Acquisition cost</w:t>
            </w:r>
          </w:p>
        </w:tc>
        <w:tc>
          <w:tcPr>
            <w:tcW w:w="32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Expenses and Efficiency</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7.1.</w:t>
            </w:r>
          </w:p>
        </w:tc>
        <w:tc>
          <w:tcPr>
            <w:tcW w:w="7480" w:type="dxa"/>
            <w:vAlign w:val="bottom"/>
          </w:tcPr>
          <w:p>
            <w:pPr>
              <w:ind w:left="20"/>
              <w:spacing w:after="0"/>
              <w:rPr>
                <w:sz w:val="20"/>
                <w:szCs w:val="20"/>
                <w:color w:val="auto"/>
              </w:rPr>
            </w:pPr>
            <w:r>
              <w:rPr>
                <w:rFonts w:ascii="Arial" w:cs="Arial" w:eastAsia="Arial" w:hAnsi="Arial"/>
                <w:sz w:val="18"/>
                <w:szCs w:val="18"/>
                <w:color w:val="auto"/>
              </w:rPr>
              <w:t>Credicorp’s Administrative, General and Tax Expenses</w:t>
            </w:r>
          </w:p>
        </w:tc>
        <w:tc>
          <w:tcPr>
            <w:tcW w:w="32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7.2.</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Efficiency Ratio</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8.</w:t>
            </w: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Regulatory Capital</w:t>
            </w:r>
          </w:p>
        </w:tc>
        <w:tc>
          <w:tcPr>
            <w:tcW w:w="32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8.1.</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Capital – BAP</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8.2.</w:t>
            </w:r>
          </w:p>
        </w:tc>
        <w:tc>
          <w:tcPr>
            <w:tcW w:w="7480" w:type="dxa"/>
            <w:vAlign w:val="bottom"/>
          </w:tcPr>
          <w:p>
            <w:pPr>
              <w:ind w:left="20"/>
              <w:spacing w:after="0"/>
              <w:rPr>
                <w:sz w:val="20"/>
                <w:szCs w:val="20"/>
                <w:color w:val="auto"/>
              </w:rPr>
            </w:pPr>
            <w:r>
              <w:rPr>
                <w:rFonts w:ascii="Arial" w:cs="Arial" w:eastAsia="Arial" w:hAnsi="Arial"/>
                <w:sz w:val="18"/>
                <w:szCs w:val="18"/>
                <w:color w:val="auto"/>
              </w:rPr>
              <w:t>Regulatory Capital – BCP Stand-alone based on Peru GAAP</w:t>
            </w:r>
          </w:p>
        </w:tc>
        <w:tc>
          <w:tcPr>
            <w:tcW w:w="32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Distribution channels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Arial" w:cs="Arial" w:eastAsia="Arial" w:hAnsi="Arial"/>
                <w:sz w:val="18"/>
                <w:szCs w:val="18"/>
                <w:color w:val="auto"/>
              </w:rPr>
              <w:t>9.1 Universal Banking</w:t>
            </w:r>
          </w:p>
        </w:tc>
        <w:tc>
          <w:tcPr>
            <w:tcW w:w="32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9.1.1 Points of Contact – BCP Stand-alone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9.1.2 Points of contact by geographic area – BCP Stand-alone</w:t>
            </w:r>
          </w:p>
        </w:tc>
        <w:tc>
          <w:tcPr>
            <w:tcW w:w="32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9.1.3 Transactions per channel – BCP Stand-alone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9.1.4 Points of Contact – BCP Bolivia</w:t>
            </w:r>
          </w:p>
        </w:tc>
        <w:tc>
          <w:tcPr>
            <w:tcW w:w="32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9.2 Microfinance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9.2.1 Points of Contact – Mibanco</w:t>
            </w:r>
          </w:p>
        </w:tc>
        <w:tc>
          <w:tcPr>
            <w:tcW w:w="32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Economic Perspectives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Arial" w:cs="Arial" w:eastAsia="Arial" w:hAnsi="Arial"/>
                <w:sz w:val="18"/>
                <w:szCs w:val="18"/>
                <w:color w:val="auto"/>
              </w:rPr>
              <w:t>10.1. Peru Economic Forecasts</w:t>
            </w:r>
          </w:p>
        </w:tc>
        <w:tc>
          <w:tcPr>
            <w:tcW w:w="32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10.2. Main Economic Variables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11.</w:t>
            </w: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Appendix</w:t>
            </w:r>
          </w:p>
        </w:tc>
        <w:tc>
          <w:tcPr>
            <w:tcW w:w="328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11.1. Credicorp</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Arial" w:cs="Arial" w:eastAsia="Arial" w:hAnsi="Arial"/>
                <w:sz w:val="18"/>
                <w:szCs w:val="18"/>
                <w:color w:val="auto"/>
              </w:rPr>
              <w:t>11.2. BCP Consolidated</w:t>
            </w:r>
          </w:p>
        </w:tc>
        <w:tc>
          <w:tcPr>
            <w:tcW w:w="328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11.3. Mibanco</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Arial" w:cs="Arial" w:eastAsia="Arial" w:hAnsi="Arial"/>
                <w:sz w:val="18"/>
                <w:szCs w:val="18"/>
                <w:color w:val="auto"/>
              </w:rPr>
              <w:t>11.4. BCP Bolivia</w:t>
            </w:r>
          </w:p>
        </w:tc>
        <w:tc>
          <w:tcPr>
            <w:tcW w:w="32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11.5. Credicorp Capital</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Arial" w:cs="Arial" w:eastAsia="Arial" w:hAnsi="Arial"/>
                <w:sz w:val="18"/>
                <w:szCs w:val="18"/>
                <w:color w:val="auto"/>
              </w:rPr>
              <w:t>11.6. Atlantic Security Bank</w:t>
            </w:r>
          </w:p>
        </w:tc>
        <w:tc>
          <w:tcPr>
            <w:tcW w:w="328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11.7. Grupo Pacifico</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Arial" w:cs="Arial" w:eastAsia="Arial" w:hAnsi="Arial"/>
                <w:sz w:val="18"/>
                <w:szCs w:val="18"/>
                <w:color w:val="auto"/>
              </w:rPr>
              <w:t>11.8. Prima AFP</w:t>
            </w:r>
          </w:p>
        </w:tc>
        <w:tc>
          <w:tcPr>
            <w:tcW w:w="328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11.9. Table of calculations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076"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Credicorp (NYSE: BAP): Second Quarter Results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3"/>
          </w:tcPr>
          <w:p>
            <w:pPr>
              <w:ind w:left="780"/>
              <w:spacing w:after="0"/>
              <w:rPr>
                <w:sz w:val="20"/>
                <w:szCs w:val="20"/>
                <w:color w:val="auto"/>
              </w:rPr>
            </w:pPr>
            <w:r>
              <w:rPr>
                <w:rFonts w:ascii="Arial" w:cs="Arial" w:eastAsia="Arial" w:hAnsi="Arial"/>
                <w:sz w:val="14"/>
                <w:szCs w:val="14"/>
                <w:b w:val="1"/>
                <w:bCs w:val="1"/>
                <w:color w:val="auto"/>
              </w:rPr>
              <w:t>YTD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2Q18</w:t>
            </w: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1Q19</w:t>
            </w: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2Q19</w:t>
            </w:r>
          </w:p>
        </w:tc>
        <w:tc>
          <w:tcPr>
            <w:tcW w:w="2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Jun 18</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Jun 19</w:t>
            </w:r>
          </w:p>
        </w:tc>
        <w:tc>
          <w:tcPr>
            <w:tcW w:w="2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Jun 19 / Jun 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2,062,818</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2,188,918</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2,256,757</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3.1%</w:t>
            </w: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9.4%</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4,105,719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4,445,675</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0"/>
        </w:trPr>
        <w:tc>
          <w:tcPr>
            <w:tcW w:w="3440" w:type="dxa"/>
            <w:vAlign w:val="bottom"/>
            <w:gridSpan w:val="2"/>
          </w:tcPr>
          <w:p>
            <w:pPr>
              <w:spacing w:after="0" w:line="140" w:lineRule="exact"/>
              <w:rPr>
                <w:sz w:val="20"/>
                <w:szCs w:val="20"/>
                <w:color w:val="auto"/>
              </w:rPr>
            </w:pPr>
            <w:r>
              <w:rPr>
                <w:rFonts w:ascii="Arial" w:cs="Arial" w:eastAsia="Arial" w:hAnsi="Arial"/>
                <w:sz w:val="14"/>
                <w:szCs w:val="14"/>
                <w:color w:val="auto"/>
              </w:rPr>
              <w:t>Provision for credit losses on loan portfolio, net of</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440" w:type="dxa"/>
            <w:vAlign w:val="bottom"/>
            <w:gridSpan w:val="2"/>
          </w:tcPr>
          <w:p>
            <w:pPr>
              <w:spacing w:after="0" w:line="198" w:lineRule="exact"/>
              <w:rPr>
                <w:sz w:val="20"/>
                <w:szCs w:val="20"/>
                <w:color w:val="auto"/>
              </w:rPr>
            </w:pPr>
            <w:r>
              <w:rPr>
                <w:rFonts w:ascii="Arial" w:cs="Arial" w:eastAsia="Arial" w:hAnsi="Arial"/>
                <w:sz w:val="14"/>
                <w:szCs w:val="14"/>
                <w:color w:val="auto"/>
              </w:rPr>
              <w:t>recoveries</w:t>
            </w:r>
            <w:r>
              <w:rPr>
                <w:rFonts w:ascii="Arial" w:cs="Arial" w:eastAsia="Arial" w:hAnsi="Arial"/>
                <w:sz w:val="22"/>
                <w:szCs w:val="22"/>
                <w:color w:val="auto"/>
                <w:vertAlign w:val="superscript"/>
              </w:rPr>
              <w:t>(1)</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(313,171)</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(383,211)</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(448,294)</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17.0%</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43.1%</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(684,195)</w:t>
            </w: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(831,505)</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9"/>
        </w:trPr>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Risk-adjusted net interest income</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1,749,647</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1,805,707</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1,808,463</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0.2%</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3.4%</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3,421,524</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3,614,170</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189"/>
        </w:trPr>
        <w:tc>
          <w:tcPr>
            <w:tcW w:w="344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Non-financial income </w:t>
            </w:r>
            <w:r>
              <w:rPr>
                <w:rFonts w:ascii="Arial" w:cs="Arial" w:eastAsia="Arial" w:hAnsi="Arial"/>
                <w:sz w:val="21"/>
                <w:szCs w:val="21"/>
                <w:color w:val="auto"/>
                <w:vertAlign w:val="superscript"/>
              </w:rPr>
              <w:t>(1)</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1,051,839</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1,170,507</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1,191,449</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1.8%</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13.3%</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2,158,696</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2,361,956</w:t>
            </w:r>
          </w:p>
        </w:tc>
        <w:tc>
          <w:tcPr>
            <w:tcW w:w="22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9"/>
        </w:trPr>
        <w:tc>
          <w:tcPr>
            <w:tcW w:w="34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Insurance underw riting result </w:t>
            </w:r>
            <w:r>
              <w:rPr>
                <w:rFonts w:ascii="Arial" w:cs="Arial" w:eastAsia="Arial" w:hAnsi="Arial"/>
                <w:sz w:val="21"/>
                <w:szCs w:val="21"/>
                <w:color w:val="auto"/>
                <w:vertAlign w:val="superscript"/>
              </w:rPr>
              <w:t>(1)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112,857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109,354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118,682</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8.5%</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229,013</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228,036</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9"/>
        </w:trPr>
        <w:tc>
          <w:tcPr>
            <w:tcW w:w="344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Total expenses </w:t>
            </w:r>
            <w:r>
              <w:rPr>
                <w:rFonts w:ascii="Arial" w:cs="Arial" w:eastAsia="Arial" w:hAnsi="Arial"/>
                <w:sz w:val="21"/>
                <w:szCs w:val="21"/>
                <w:color w:val="auto"/>
                <w:vertAlign w:val="superscript"/>
              </w:rPr>
              <w:t>(1)</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(1,527,928)</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(1,538,331)</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(1,582,853)</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2.9%</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3.6%</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(2,972,774)</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(3,121,184)</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Profit before income tax</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1,386,415</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1,547,237</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1,535,741</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-0.7%</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10.8%</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2,836,459</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3,082,978</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rPr>
                <w:sz w:val="1"/>
                <w:szCs w:val="1"/>
                <w:color w:val="auto"/>
              </w:rPr>
            </w:pPr>
          </w:p>
        </w:tc>
      </w:tr>
      <w:tr>
        <w:trPr>
          <w:trHeight w:val="149"/>
        </w:trPr>
        <w:tc>
          <w:tcPr>
            <w:tcW w:w="3440" w:type="dxa"/>
            <w:vAlign w:val="bottom"/>
            <w:gridSpan w:val="2"/>
          </w:tcPr>
          <w:p>
            <w:pPr>
              <w:spacing w:after="0" w:line="149" w:lineRule="exact"/>
              <w:rPr>
                <w:sz w:val="20"/>
                <w:szCs w:val="20"/>
                <w:color w:val="auto"/>
              </w:rPr>
            </w:pPr>
            <w:r>
              <w:rPr>
                <w:rFonts w:ascii="Arial" w:cs="Arial" w:eastAsia="Arial" w:hAnsi="Arial"/>
                <w:sz w:val="14"/>
                <w:szCs w:val="14"/>
                <w:color w:val="auto"/>
              </w:rPr>
              <w:t>Income taxes</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(388,011)</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(423,973)</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(415,210)</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(773,403)</w:t>
            </w: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(839,183)</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profit</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998,404</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1,123,264</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1,120,531</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-0.2%</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12.2%</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2,063,056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2,243,795</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149"/>
        </w:trPr>
        <w:tc>
          <w:tcPr>
            <w:tcW w:w="3440" w:type="dxa"/>
            <w:vAlign w:val="bottom"/>
            <w:gridSpan w:val="2"/>
          </w:tcPr>
          <w:p>
            <w:pPr>
              <w:spacing w:after="0" w:line="149" w:lineRule="exact"/>
              <w:rPr>
                <w:sz w:val="20"/>
                <w:szCs w:val="20"/>
                <w:color w:val="auto"/>
              </w:rPr>
            </w:pPr>
            <w:r>
              <w:rPr>
                <w:rFonts w:ascii="Arial" w:cs="Arial" w:eastAsia="Arial" w:hAnsi="Arial"/>
                <w:sz w:val="14"/>
                <w:szCs w:val="14"/>
                <w:color w:val="auto"/>
              </w:rPr>
              <w:t>Non-controlling interest</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20,566</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22,397</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21,958</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47,410</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44,355</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profit attributable to Credicorp</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977,838</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1,100,867</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1,098,573</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-0.2%</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12.3%</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2,015,646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2,199,440</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9.1%</w:t>
            </w:r>
          </w:p>
        </w:tc>
        <w:tc>
          <w:tcPr>
            <w:tcW w:w="0" w:type="dxa"/>
            <w:vAlign w:val="bottom"/>
          </w:tcPr>
          <w:p>
            <w:pPr>
              <w:spacing w:after="0"/>
              <w:rPr>
                <w:sz w:val="1"/>
                <w:szCs w:val="1"/>
                <w:color w:val="auto"/>
              </w:rPr>
            </w:pPr>
          </w:p>
        </w:tc>
      </w:tr>
      <w:tr>
        <w:trPr>
          <w:trHeight w:val="162"/>
        </w:trPr>
        <w:tc>
          <w:tcPr>
            <w:tcW w:w="3440" w:type="dxa"/>
            <w:vAlign w:val="bottom"/>
            <w:gridSpan w:val="2"/>
          </w:tcPr>
          <w:p>
            <w:pPr>
              <w:spacing w:after="0"/>
              <w:rPr>
                <w:sz w:val="20"/>
                <w:szCs w:val="20"/>
                <w:color w:val="auto"/>
              </w:rPr>
            </w:pPr>
            <w:r>
              <w:rPr>
                <w:rFonts w:ascii="Arial" w:cs="Arial" w:eastAsia="Arial" w:hAnsi="Arial"/>
                <w:sz w:val="14"/>
                <w:szCs w:val="14"/>
                <w:color w:val="auto"/>
              </w:rPr>
              <w:t>Net income / share (S/)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12.26</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13.80</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13.77</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-0.2%</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12.3%</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25.27</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27.58</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
        </w:trPr>
        <w:tc>
          <w:tcPr>
            <w:tcW w:w="34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Loans</w:t>
            </w: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40" w:type="dxa"/>
            <w:vAlign w:val="bottom"/>
            <w:gridSpan w:val="2"/>
            <w:vMerge w:val="continue"/>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102,766,633</w:t>
            </w:r>
          </w:p>
        </w:tc>
        <w:tc>
          <w:tcPr>
            <w:tcW w:w="220" w:type="dxa"/>
            <w:vAlign w:val="bottom"/>
            <w:vMerge w:val="continue"/>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108,350,384</w:t>
            </w:r>
          </w:p>
        </w:tc>
        <w:tc>
          <w:tcPr>
            <w:tcW w:w="220" w:type="dxa"/>
            <w:vAlign w:val="bottom"/>
            <w:vMerge w:val="continue"/>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109,381,123</w:t>
            </w:r>
          </w:p>
        </w:tc>
        <w:tc>
          <w:tcPr>
            <w:tcW w:w="220" w:type="dxa"/>
            <w:vAlign w:val="bottom"/>
            <w:vMerge w:val="continue"/>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1.0%</w:t>
            </w: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6.4%</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102,766,633</w:t>
            </w:r>
          </w:p>
        </w:tc>
        <w:tc>
          <w:tcPr>
            <w:tcW w:w="2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109,381,123</w:t>
            </w:r>
          </w:p>
        </w:tc>
        <w:tc>
          <w:tcPr>
            <w:tcW w:w="220" w:type="dxa"/>
            <w:vAlign w:val="bottom"/>
            <w:vMerge w:val="continue"/>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3440" w:type="dxa"/>
            <w:vAlign w:val="bottom"/>
            <w:gridSpan w:val="2"/>
          </w:tcPr>
          <w:p>
            <w:pPr>
              <w:spacing w:after="0" w:line="149" w:lineRule="exact"/>
              <w:rPr>
                <w:sz w:val="20"/>
                <w:szCs w:val="20"/>
                <w:color w:val="auto"/>
              </w:rPr>
            </w:pPr>
            <w:r>
              <w:rPr>
                <w:rFonts w:ascii="Arial" w:cs="Arial" w:eastAsia="Arial" w:hAnsi="Arial"/>
                <w:sz w:val="14"/>
                <w:szCs w:val="14"/>
                <w:color w:val="auto"/>
              </w:rPr>
              <w:t>Deposits and obligations</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97,544,235</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103,727,257</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103,157,044</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97,544,235</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103,157,044</w:t>
            </w:r>
          </w:p>
        </w:tc>
        <w:tc>
          <w:tcPr>
            <w:tcW w:w="22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62"/>
        </w:trPr>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equity</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21,889,218</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23,692,091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25,221,894</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21,889,218</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25,221,894</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440" w:type="dxa"/>
            <w:vAlign w:val="bottom"/>
          </w:tcPr>
          <w:p>
            <w:pPr>
              <w:spacing w:after="0" w:line="142" w:lineRule="exact"/>
              <w:rPr>
                <w:sz w:val="20"/>
                <w:szCs w:val="20"/>
                <w:color w:val="auto"/>
              </w:rPr>
            </w:pPr>
            <w:r>
              <w:rPr>
                <w:rFonts w:ascii="Arial" w:cs="Arial" w:eastAsia="Arial" w:hAnsi="Arial"/>
                <w:sz w:val="14"/>
                <w:szCs w:val="14"/>
                <w:b w:val="1"/>
                <w:bCs w:val="1"/>
                <w:color w:val="auto"/>
              </w:rPr>
              <w:t>Profitability</w:t>
            </w: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21"/>
                <w:szCs w:val="21"/>
                <w:color w:val="auto"/>
                <w:vertAlign w:val="superscript"/>
              </w:rPr>
              <w:t>(2)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5.48%</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 bps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 bps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 bps</w:t>
            </w:r>
          </w:p>
        </w:tc>
        <w:tc>
          <w:tcPr>
            <w:tcW w:w="0" w:type="dxa"/>
            <w:vAlign w:val="bottom"/>
          </w:tcPr>
          <w:p>
            <w:pPr>
              <w:spacing w:after="0"/>
              <w:rPr>
                <w:sz w:val="1"/>
                <w:szCs w:val="1"/>
                <w:color w:val="auto"/>
              </w:rPr>
            </w:pPr>
          </w:p>
        </w:tc>
      </w:tr>
      <w:tr>
        <w:trPr>
          <w:trHeight w:val="189"/>
        </w:trPr>
        <w:tc>
          <w:tcPr>
            <w:tcW w:w="3440" w:type="dxa"/>
            <w:vAlign w:val="bottom"/>
          </w:tcPr>
          <w:p>
            <w:pPr>
              <w:spacing w:after="0" w:line="189" w:lineRule="exact"/>
              <w:rPr>
                <w:sz w:val="20"/>
                <w:szCs w:val="20"/>
                <w:color w:val="auto"/>
              </w:rPr>
            </w:pPr>
            <w:r>
              <w:rPr>
                <w:rFonts w:ascii="Arial" w:cs="Arial" w:eastAsia="Arial" w:hAnsi="Arial"/>
                <w:sz w:val="13"/>
                <w:szCs w:val="13"/>
                <w:color w:val="auto"/>
              </w:rPr>
              <w:t xml:space="preserve">Risk-adjusted Net interest margin </w:t>
            </w:r>
            <w:r>
              <w:rPr>
                <w:rFonts w:ascii="Arial" w:cs="Arial" w:eastAsia="Arial" w:hAnsi="Arial"/>
                <w:sz w:val="21"/>
                <w:szCs w:val="21"/>
                <w:color w:val="auto"/>
                <w:vertAlign w:val="superscript"/>
              </w:rPr>
              <w:t>(2)</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4.48%</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4.43%</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4.39%</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-4 bps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-9 bps</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4.37%</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4.39%</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 bps</w:t>
            </w: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Funding cost </w:t>
            </w:r>
            <w:r>
              <w:rPr>
                <w:rFonts w:ascii="Arial" w:cs="Arial" w:eastAsia="Arial" w:hAnsi="Arial"/>
                <w:sz w:val="21"/>
                <w:szCs w:val="21"/>
                <w:color w:val="auto"/>
                <w:vertAlign w:val="superscript"/>
              </w:rPr>
              <w:t>(2)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 bps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 bps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 bps</w:t>
            </w:r>
          </w:p>
        </w:tc>
        <w:tc>
          <w:tcPr>
            <w:tcW w:w="0" w:type="dxa"/>
            <w:vAlign w:val="bottom"/>
          </w:tcPr>
          <w:p>
            <w:pPr>
              <w:spacing w:after="0"/>
              <w:rPr>
                <w:sz w:val="1"/>
                <w:szCs w:val="1"/>
                <w:color w:val="auto"/>
              </w:rPr>
            </w:pPr>
          </w:p>
        </w:tc>
      </w:tr>
      <w:tr>
        <w:trPr>
          <w:trHeight w:val="189"/>
        </w:trPr>
        <w:tc>
          <w:tcPr>
            <w:tcW w:w="3440" w:type="dxa"/>
            <w:vAlign w:val="bottom"/>
          </w:tcPr>
          <w:p>
            <w:pPr>
              <w:spacing w:after="0" w:line="189" w:lineRule="exact"/>
              <w:rPr>
                <w:sz w:val="20"/>
                <w:szCs w:val="20"/>
                <w:color w:val="auto"/>
              </w:rPr>
            </w:pPr>
            <w:r>
              <w:rPr>
                <w:rFonts w:ascii="Arial" w:cs="Arial" w:eastAsia="Arial" w:hAnsi="Arial"/>
                <w:sz w:val="13"/>
                <w:szCs w:val="13"/>
                <w:color w:val="auto"/>
              </w:rPr>
              <w:t xml:space="preserve">ROAE </w:t>
            </w:r>
            <w:r>
              <w:rPr>
                <w:rFonts w:ascii="Arial" w:cs="Arial" w:eastAsia="Arial" w:hAnsi="Arial"/>
                <w:sz w:val="21"/>
                <w:szCs w:val="21"/>
                <w:color w:val="auto"/>
                <w:vertAlign w:val="superscript"/>
              </w:rPr>
              <w:t>(2)</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18.1%</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18.5%</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18.0%</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-50 bps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-10 bps</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18.5%</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17.9%</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-60 bps</w:t>
            </w: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ROAA </w:t>
            </w:r>
            <w:r>
              <w:rPr>
                <w:rFonts w:ascii="Arial" w:cs="Arial" w:eastAsia="Arial" w:hAnsi="Arial"/>
                <w:sz w:val="23"/>
                <w:szCs w:val="23"/>
                <w:color w:val="auto"/>
                <w:vertAlign w:val="superscript"/>
              </w:rPr>
              <w:t>(2)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 bps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 bps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 bps</w:t>
            </w:r>
          </w:p>
        </w:tc>
        <w:tc>
          <w:tcPr>
            <w:tcW w:w="0" w:type="dxa"/>
            <w:vAlign w:val="bottom"/>
          </w:tcPr>
          <w:p>
            <w:pPr>
              <w:spacing w:after="0"/>
              <w:rPr>
                <w:sz w:val="1"/>
                <w:szCs w:val="1"/>
                <w:color w:val="auto"/>
              </w:rPr>
            </w:pPr>
          </w:p>
        </w:tc>
      </w:tr>
      <w:tr>
        <w:trPr>
          <w:trHeight w:val="142"/>
        </w:trPr>
        <w:tc>
          <w:tcPr>
            <w:tcW w:w="3440" w:type="dxa"/>
            <w:vAlign w:val="bottom"/>
          </w:tcPr>
          <w:p>
            <w:pPr>
              <w:spacing w:after="0" w:line="142" w:lineRule="exact"/>
              <w:rPr>
                <w:sz w:val="20"/>
                <w:szCs w:val="20"/>
                <w:color w:val="auto"/>
              </w:rPr>
            </w:pPr>
            <w:r>
              <w:rPr>
                <w:rFonts w:ascii="Arial" w:cs="Arial" w:eastAsia="Arial" w:hAnsi="Arial"/>
                <w:sz w:val="14"/>
                <w:szCs w:val="14"/>
                <w:b w:val="1"/>
                <w:bCs w:val="1"/>
                <w:color w:val="auto"/>
              </w:rPr>
              <w:t>Loan portfolio quality</w:t>
            </w: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IOL ratio </w:t>
            </w:r>
            <w:r>
              <w:rPr>
                <w:rFonts w:ascii="Arial" w:cs="Arial" w:eastAsia="Arial" w:hAnsi="Arial"/>
                <w:sz w:val="21"/>
                <w:szCs w:val="21"/>
                <w:color w:val="auto"/>
                <w:vertAlign w:val="superscript"/>
              </w:rPr>
              <w:t>(1)(3)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 bps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 bps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 bps</w:t>
            </w:r>
          </w:p>
        </w:tc>
        <w:tc>
          <w:tcPr>
            <w:tcW w:w="0" w:type="dxa"/>
            <w:vAlign w:val="bottom"/>
          </w:tcPr>
          <w:p>
            <w:pPr>
              <w:spacing w:after="0"/>
              <w:rPr>
                <w:sz w:val="1"/>
                <w:szCs w:val="1"/>
                <w:color w:val="auto"/>
              </w:rPr>
            </w:pPr>
          </w:p>
        </w:tc>
      </w:tr>
      <w:tr>
        <w:trPr>
          <w:trHeight w:val="189"/>
        </w:trPr>
        <w:tc>
          <w:tcPr>
            <w:tcW w:w="3440" w:type="dxa"/>
            <w:vAlign w:val="bottom"/>
          </w:tcPr>
          <w:p>
            <w:pPr>
              <w:spacing w:after="0" w:line="189" w:lineRule="exact"/>
              <w:rPr>
                <w:sz w:val="20"/>
                <w:szCs w:val="20"/>
                <w:color w:val="auto"/>
              </w:rPr>
            </w:pPr>
            <w:r>
              <w:rPr>
                <w:rFonts w:ascii="Arial" w:cs="Arial" w:eastAsia="Arial" w:hAnsi="Arial"/>
                <w:sz w:val="13"/>
                <w:szCs w:val="13"/>
                <w:color w:val="auto"/>
              </w:rPr>
              <w:t xml:space="preserve">IOL over 90 days ratio </w:t>
            </w:r>
            <w:r>
              <w:rPr>
                <w:rFonts w:ascii="Arial" w:cs="Arial" w:eastAsia="Arial" w:hAnsi="Arial"/>
                <w:sz w:val="21"/>
                <w:szCs w:val="21"/>
                <w:color w:val="auto"/>
                <w:vertAlign w:val="superscript"/>
              </w:rPr>
              <w:t>(1)</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2.25%</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2.09%</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2.22%</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13 bps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-3 bps</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2.25%</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2.22%</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-3 bps</w:t>
            </w: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NPL ratio </w:t>
            </w:r>
            <w:r>
              <w:rPr>
                <w:rFonts w:ascii="Arial" w:cs="Arial" w:eastAsia="Arial" w:hAnsi="Arial"/>
                <w:sz w:val="21"/>
                <w:szCs w:val="21"/>
                <w:color w:val="auto"/>
                <w:vertAlign w:val="superscript"/>
              </w:rPr>
              <w:t>(4)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 bps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 bps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 bps</w:t>
            </w:r>
          </w:p>
        </w:tc>
        <w:tc>
          <w:tcPr>
            <w:tcW w:w="0" w:type="dxa"/>
            <w:vAlign w:val="bottom"/>
          </w:tcPr>
          <w:p>
            <w:pPr>
              <w:spacing w:after="0"/>
              <w:rPr>
                <w:sz w:val="1"/>
                <w:szCs w:val="1"/>
                <w:color w:val="auto"/>
              </w:rPr>
            </w:pPr>
          </w:p>
        </w:tc>
      </w:tr>
      <w:tr>
        <w:trPr>
          <w:trHeight w:val="189"/>
        </w:trPr>
        <w:tc>
          <w:tcPr>
            <w:tcW w:w="3440" w:type="dxa"/>
            <w:vAlign w:val="bottom"/>
          </w:tcPr>
          <w:p>
            <w:pPr>
              <w:spacing w:after="0" w:line="189"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(2)(5)</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1.22%</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1.41%</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1.64%</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23 bps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42 bps</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1.33%</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1.52%</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19 bps</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Coverage ratio of IOLs</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154.8%</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154.2%</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148.5%</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-570 bps</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-630 bps</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154.8%</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148.5%</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-630 bps</w:t>
            </w:r>
          </w:p>
        </w:tc>
        <w:tc>
          <w:tcPr>
            <w:tcW w:w="0" w:type="dxa"/>
            <w:vAlign w:val="bottom"/>
          </w:tcPr>
          <w:p>
            <w:pPr>
              <w:spacing w:after="0"/>
              <w:rPr>
                <w:sz w:val="1"/>
                <w:szCs w:val="1"/>
                <w:color w:val="auto"/>
              </w:rPr>
            </w:pPr>
          </w:p>
        </w:tc>
      </w:tr>
      <w:tr>
        <w:trPr>
          <w:trHeight w:val="130"/>
        </w:trPr>
        <w:tc>
          <w:tcPr>
            <w:tcW w:w="3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-1350</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40" w:type="dxa"/>
            <w:vAlign w:val="bottom"/>
          </w:tcPr>
          <w:p>
            <w:pPr>
              <w:spacing w:after="0"/>
              <w:rPr>
                <w:sz w:val="20"/>
                <w:szCs w:val="20"/>
                <w:color w:val="auto"/>
              </w:rPr>
            </w:pPr>
            <w:r>
              <w:rPr>
                <w:rFonts w:ascii="Arial" w:cs="Arial" w:eastAsia="Arial" w:hAnsi="Arial"/>
                <w:sz w:val="14"/>
                <w:szCs w:val="14"/>
                <w:color w:val="auto"/>
              </w:rPr>
              <w:t>Coverage ratio of IOL 90-days</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208.7%</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214.8%</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201.3%</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bps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-740 bps</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208.7%</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201.3%</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-740 bps</w:t>
            </w: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Coverage ratio of NPLs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114.8%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-120 bps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-630 bps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114.8%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-630 bps</w:t>
            </w:r>
          </w:p>
        </w:tc>
        <w:tc>
          <w:tcPr>
            <w:tcW w:w="0" w:type="dxa"/>
            <w:vAlign w:val="bottom"/>
          </w:tcPr>
          <w:p>
            <w:pPr>
              <w:spacing w:after="0"/>
              <w:rPr>
                <w:sz w:val="1"/>
                <w:szCs w:val="1"/>
                <w:color w:val="auto"/>
              </w:rPr>
            </w:pPr>
          </w:p>
        </w:tc>
      </w:tr>
      <w:tr>
        <w:trPr>
          <w:trHeight w:val="142"/>
        </w:trPr>
        <w:tc>
          <w:tcPr>
            <w:tcW w:w="3440" w:type="dxa"/>
            <w:vAlign w:val="bottom"/>
          </w:tcPr>
          <w:p>
            <w:pPr>
              <w:spacing w:after="0" w:line="142" w:lineRule="exact"/>
              <w:rPr>
                <w:sz w:val="20"/>
                <w:szCs w:val="20"/>
                <w:color w:val="auto"/>
              </w:rPr>
            </w:pPr>
            <w:r>
              <w:rPr>
                <w:rFonts w:ascii="Arial" w:cs="Arial" w:eastAsia="Arial" w:hAnsi="Arial"/>
                <w:sz w:val="14"/>
                <w:szCs w:val="14"/>
                <w:b w:val="1"/>
                <w:bCs w:val="1"/>
                <w:color w:val="auto"/>
              </w:rPr>
              <w:t>Operating efficiency</w:t>
            </w: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Efficiency ratio </w:t>
            </w:r>
            <w:r>
              <w:rPr>
                <w:rFonts w:ascii="Arial" w:cs="Arial" w:eastAsia="Arial" w:hAnsi="Arial"/>
                <w:sz w:val="21"/>
                <w:szCs w:val="21"/>
                <w:color w:val="auto"/>
                <w:vertAlign w:val="superscript"/>
              </w:rPr>
              <w:t>(1)(6)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 bps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 bps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 bps</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4"/>
                <w:szCs w:val="14"/>
                <w:color w:val="auto"/>
              </w:rPr>
              <w:t xml:space="preserve">Operating expenses / Total average assets </w:t>
            </w:r>
            <w:r>
              <w:rPr>
                <w:rFonts w:ascii="Arial" w:cs="Arial" w:eastAsia="Arial" w:hAnsi="Arial"/>
                <w:sz w:val="23"/>
                <w:szCs w:val="23"/>
                <w:color w:val="auto"/>
                <w:vertAlign w:val="superscript"/>
              </w:rPr>
              <w:t>(1)(7)</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3.67%</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3.56%</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3.68%</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12 bps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1 bps</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3.59%</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3.61%</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 bps</w:t>
            </w:r>
          </w:p>
        </w:tc>
        <w:tc>
          <w:tcPr>
            <w:tcW w:w="0" w:type="dxa"/>
            <w:vAlign w:val="bottom"/>
          </w:tcPr>
          <w:p>
            <w:pPr>
              <w:spacing w:after="0"/>
              <w:rPr>
                <w:sz w:val="1"/>
                <w:szCs w:val="1"/>
                <w:color w:val="auto"/>
              </w:rPr>
            </w:pPr>
          </w:p>
        </w:tc>
      </w:tr>
      <w:tr>
        <w:trPr>
          <w:trHeight w:val="142"/>
        </w:trPr>
        <w:tc>
          <w:tcPr>
            <w:tcW w:w="3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Insurance ratios</w:t>
            </w: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line="189"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1"/>
                <w:szCs w:val="21"/>
                <w:color w:val="auto"/>
                <w:vertAlign w:val="superscript"/>
              </w:rPr>
              <w:t>(1)(8)(9)</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101.2%</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104.4%</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97.5%</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-690 bps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-370 bps</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100.3%</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100.9%</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60 bps</w:t>
            </w: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(9)(10)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-150 bps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540 bps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680 bps</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4"/>
                <w:szCs w:val="14"/>
                <w:color w:val="auto"/>
              </w:rPr>
              <w:t xml:space="preserve">Underw riting result / net earned premiums </w:t>
            </w:r>
            <w:r>
              <w:rPr>
                <w:rFonts w:ascii="Arial" w:cs="Arial" w:eastAsia="Arial" w:hAnsi="Arial"/>
                <w:sz w:val="23"/>
                <w:szCs w:val="23"/>
                <w:color w:val="auto"/>
                <w:vertAlign w:val="superscript"/>
              </w:rPr>
              <w:t>(9)</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7.1%</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5.2%</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6.9%</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170 bps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-20 bps</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7.8%</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6.1%</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-170 bps</w:t>
            </w:r>
          </w:p>
        </w:tc>
        <w:tc>
          <w:tcPr>
            <w:tcW w:w="0" w:type="dxa"/>
            <w:vAlign w:val="bottom"/>
          </w:tcPr>
          <w:p>
            <w:pPr>
              <w:spacing w:after="0"/>
              <w:rPr>
                <w:sz w:val="1"/>
                <w:szCs w:val="1"/>
                <w:color w:val="auto"/>
              </w:rPr>
            </w:pPr>
          </w:p>
        </w:tc>
      </w:tr>
      <w:tr>
        <w:trPr>
          <w:trHeight w:val="169"/>
        </w:trPr>
        <w:tc>
          <w:tcPr>
            <w:tcW w:w="34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2"/>
                <w:szCs w:val="12"/>
                <w:b w:val="1"/>
                <w:bCs w:val="1"/>
                <w:color w:val="auto"/>
              </w:rPr>
              <w:t xml:space="preserve">Capital adequacy </w:t>
            </w:r>
            <w:r>
              <w:rPr>
                <w:rFonts w:ascii="Arial" w:cs="Arial" w:eastAsia="Arial" w:hAnsi="Arial"/>
                <w:sz w:val="19"/>
                <w:szCs w:val="19"/>
                <w:color w:val="auto"/>
                <w:vertAlign w:val="superscript"/>
              </w:rPr>
              <w:t>(11)</w:t>
            </w: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line="189" w:lineRule="exact"/>
              <w:rPr>
                <w:sz w:val="20"/>
                <w:szCs w:val="20"/>
                <w:color w:val="auto"/>
              </w:rPr>
            </w:pPr>
            <w:r>
              <w:rPr>
                <w:rFonts w:ascii="Arial" w:cs="Arial" w:eastAsia="Arial" w:hAnsi="Arial"/>
                <w:sz w:val="13"/>
                <w:szCs w:val="13"/>
                <w:color w:val="auto"/>
              </w:rPr>
              <w:t xml:space="preserve">BIS ratio </w:t>
            </w:r>
            <w:r>
              <w:rPr>
                <w:rFonts w:ascii="Arial" w:cs="Arial" w:eastAsia="Arial" w:hAnsi="Arial"/>
                <w:sz w:val="21"/>
                <w:szCs w:val="21"/>
                <w:color w:val="auto"/>
                <w:vertAlign w:val="superscript"/>
              </w:rPr>
              <w:t>(12)</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15.07%</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15.49%</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14.95%</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-54 bps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-12 bps</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15.07%</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14.95%</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-12 bps</w:t>
            </w: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Tier 1 ratio </w:t>
            </w:r>
            <w:r>
              <w:rPr>
                <w:rFonts w:ascii="Arial" w:cs="Arial" w:eastAsia="Arial" w:hAnsi="Arial"/>
                <w:sz w:val="21"/>
                <w:szCs w:val="21"/>
                <w:color w:val="auto"/>
                <w:vertAlign w:val="superscript"/>
              </w:rPr>
              <w:t>(13)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-40 bps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 bps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11.33%</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 bps</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4"/>
                <w:szCs w:val="14"/>
                <w:color w:val="auto"/>
              </w:rPr>
              <w:t xml:space="preserve">Common equity tier 1 ratio </w:t>
            </w:r>
            <w:r>
              <w:rPr>
                <w:rFonts w:ascii="Arial" w:cs="Arial" w:eastAsia="Arial" w:hAnsi="Arial"/>
                <w:sz w:val="23"/>
                <w:szCs w:val="23"/>
                <w:color w:val="auto"/>
                <w:vertAlign w:val="superscript"/>
              </w:rPr>
              <w:t>(14)</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11.11%</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11.39%</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11.82%</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43 bps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71 bps</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11.11%</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11.82%</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71 bps</w:t>
            </w:r>
          </w:p>
        </w:tc>
        <w:tc>
          <w:tcPr>
            <w:tcW w:w="0" w:type="dxa"/>
            <w:vAlign w:val="bottom"/>
          </w:tcPr>
          <w:p>
            <w:pPr>
              <w:spacing w:after="0"/>
              <w:rPr>
                <w:sz w:val="1"/>
                <w:szCs w:val="1"/>
                <w:color w:val="auto"/>
              </w:rPr>
            </w:pPr>
          </w:p>
        </w:tc>
      </w:tr>
      <w:tr>
        <w:trPr>
          <w:trHeight w:val="20"/>
        </w:trPr>
        <w:tc>
          <w:tcPr>
            <w:tcW w:w="3440" w:type="dxa"/>
            <w:vAlign w:val="bottom"/>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Employees </w:t>
            </w:r>
            <w:r>
              <w:rPr>
                <w:rFonts w:ascii="Arial" w:cs="Arial" w:eastAsia="Arial" w:hAnsi="Arial"/>
                <w:sz w:val="23"/>
                <w:szCs w:val="23"/>
                <w:b w:val="1"/>
                <w:bCs w:val="1"/>
                <w:color w:val="auto"/>
                <w:vertAlign w:val="superscript"/>
              </w:rPr>
              <w:t>(1)</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33,447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34,266</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34,861</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33,447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34,861</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2"/>
        </w:trPr>
        <w:tc>
          <w:tcPr>
            <w:tcW w:w="3440" w:type="dxa"/>
            <w:vAlign w:val="bottom"/>
          </w:tcPr>
          <w:p>
            <w:pPr>
              <w:spacing w:after="0" w:line="142" w:lineRule="exact"/>
              <w:rPr>
                <w:sz w:val="20"/>
                <w:szCs w:val="20"/>
                <w:color w:val="auto"/>
              </w:rPr>
            </w:pPr>
            <w:r>
              <w:rPr>
                <w:rFonts w:ascii="Arial" w:cs="Arial" w:eastAsia="Arial" w:hAnsi="Arial"/>
                <w:sz w:val="14"/>
                <w:szCs w:val="14"/>
                <w:b w:val="1"/>
                <w:bCs w:val="1"/>
                <w:color w:val="auto"/>
              </w:rPr>
              <w:t>Share Information</w:t>
            </w: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Shares</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94,382</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94,382</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94,382</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94,382</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94,382</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9"/>
        </w:trPr>
        <w:tc>
          <w:tcPr>
            <w:tcW w:w="3440" w:type="dxa"/>
            <w:vAlign w:val="bottom"/>
          </w:tcPr>
          <w:p>
            <w:pPr>
              <w:ind w:left="180"/>
              <w:spacing w:after="0" w:line="189" w:lineRule="exact"/>
              <w:rPr>
                <w:sz w:val="20"/>
                <w:szCs w:val="20"/>
                <w:color w:val="auto"/>
              </w:rPr>
            </w:pPr>
            <w:r>
              <w:rPr>
                <w:rFonts w:ascii="Arial" w:cs="Arial" w:eastAsia="Arial" w:hAnsi="Arial"/>
                <w:sz w:val="13"/>
                <w:szCs w:val="13"/>
                <w:color w:val="auto"/>
              </w:rPr>
              <w:t xml:space="preserve">Treasury Shares </w:t>
            </w:r>
            <w:r>
              <w:rPr>
                <w:rFonts w:ascii="Arial" w:cs="Arial" w:eastAsia="Arial" w:hAnsi="Arial"/>
                <w:sz w:val="21"/>
                <w:szCs w:val="21"/>
                <w:color w:val="auto"/>
                <w:vertAlign w:val="superscript"/>
              </w:rPr>
              <w:t>(15)</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14,621</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14,621</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14,621</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0.0%</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0.0%</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14,621</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14,621</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Floating Shares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79,761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79,761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79,761</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79,761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79,761</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Annualized.</w:t>
      </w:r>
    </w:p>
    <w:p>
      <w:pPr>
        <w:spacing w:after="0" w:line="9" w:lineRule="exact"/>
        <w:rPr>
          <w:rFonts w:ascii="Arial" w:cs="Arial" w:eastAsia="Arial" w:hAnsi="Arial"/>
          <w:sz w:val="18"/>
          <w:szCs w:val="18"/>
          <w:color w:val="auto"/>
        </w:rPr>
      </w:pPr>
    </w:p>
    <w:p>
      <w:pPr>
        <w:ind w:right="20" w:firstLine="8"/>
        <w:spacing w:after="0" w:line="250" w:lineRule="auto"/>
        <w:tabs>
          <w:tab w:leader="none" w:pos="257"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overdue loans: includes overdue loans and loans under legal collection, according to our internal policy for overdue loans. Internal Overdue ratio: Internal overdue loans / Total loans.</w:t>
      </w: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Non-performing loans (NPL): Internal overdue loans + Refinanced loans. NPL ratio: NPL / Total loans.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 of risk: Annualized Provision for credit losses on loan portfolio, net of recoveries / Total loans.</w:t>
      </w:r>
    </w:p>
    <w:p>
      <w:pPr>
        <w:spacing w:after="0" w:line="9" w:lineRule="exact"/>
        <w:rPr>
          <w:rFonts w:ascii="Arial" w:cs="Arial" w:eastAsia="Arial" w:hAnsi="Arial"/>
          <w:sz w:val="18"/>
          <w:szCs w:val="18"/>
          <w:color w:val="auto"/>
        </w:rPr>
      </w:pPr>
    </w:p>
    <w:p>
      <w:pPr>
        <w:jc w:val="both"/>
        <w:ind w:firstLine="8"/>
        <w:spacing w:after="0" w:line="250"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Efficiency ratio = (Salaries and employee benefits + Administrative expenses + Depreciation and amortization + Association in participation + Acquisition cost) / (Net interest, similar income and expenses + Fee Income + Net gain on foreign exchange transactions + Net Gain From associates + Net gain on derivatives held for trading + Result on exchange differences + Net Premiums Earned).</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expenses / Average of Total Assets. Average is calculated with period-beginning and period-ending balances.</w:t>
      </w:r>
    </w:p>
    <w:p>
      <w:pPr>
        <w:spacing w:after="0" w:line="9" w:lineRule="exact"/>
        <w:rPr>
          <w:rFonts w:ascii="Arial" w:cs="Arial" w:eastAsia="Arial" w:hAnsi="Arial"/>
          <w:sz w:val="18"/>
          <w:szCs w:val="18"/>
          <w:color w:val="auto"/>
        </w:rPr>
      </w:pPr>
    </w:p>
    <w:p>
      <w:pPr>
        <w:ind w:right="20" w:firstLine="8"/>
        <w:spacing w:after="0" w:line="250" w:lineRule="auto"/>
        <w:tabs>
          <w:tab w:leader="none" w:pos="28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Combined ratio = (Net claims / Net earned premiums) + [(Acquisition cost + Operating expenses) / Net earned premiums]. Does not include Life insurance business.</w:t>
      </w: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Considers Grupo Pacifico's figures before eliminations for consolidation to Credicorp.</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claims / Net earned premiums.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Capital ratios are for BCP Stand-alone and based on Peru GAAP.</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9" w:lineRule="exact"/>
        <w:rPr>
          <w:rFonts w:ascii="Arial" w:cs="Arial" w:eastAsia="Arial" w:hAnsi="Arial"/>
          <w:sz w:val="18"/>
          <w:szCs w:val="18"/>
          <w:color w:val="auto"/>
        </w:rPr>
      </w:pPr>
    </w:p>
    <w:p>
      <w:pPr>
        <w:jc w:val="both"/>
        <w:ind w:firstLine="8"/>
        <w:spacing w:after="0" w:line="265" w:lineRule="auto"/>
        <w:tabs>
          <w:tab w:leader="none" w:pos="355" w:val="left"/>
        </w:tabs>
        <w:numPr>
          <w:ilvl w:val="0"/>
          <w:numId w:val="2"/>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firstLine="8"/>
        <w:spacing w:after="0" w:line="250" w:lineRule="auto"/>
        <w:tabs>
          <w:tab w:leader="none" w:pos="357"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right="20"/>
        <w:spacing w:after="0" w:line="265" w:lineRule="auto"/>
        <w:rPr>
          <w:rFonts w:ascii="Arial" w:cs="Arial" w:eastAsia="Arial" w:hAnsi="Arial"/>
          <w:sz w:val="18"/>
          <w:szCs w:val="18"/>
          <w:color w:val="auto"/>
        </w:rPr>
      </w:pPr>
      <w:r>
        <w:rPr>
          <w:rFonts w:ascii="Arial" w:cs="Arial" w:eastAsia="Arial" w:hAnsi="Arial"/>
          <w:sz w:val="17"/>
          <w:szCs w:val="17"/>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These shares are held by Atlantic Security Holding Corporation (ASHC).</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Credicorp and subsidiaries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Earnings contribution *</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ind w:left="480"/>
              <w:spacing w:after="0"/>
              <w:rPr>
                <w:sz w:val="20"/>
                <w:szCs w:val="20"/>
                <w:color w:val="auto"/>
              </w:rPr>
            </w:pPr>
            <w:r>
              <w:rPr>
                <w:rFonts w:ascii="Arial" w:cs="Arial" w:eastAsia="Arial" w:hAnsi="Arial"/>
                <w:sz w:val="14"/>
                <w:szCs w:val="14"/>
                <w:b w:val="1"/>
                <w:bCs w:val="1"/>
                <w:color w:val="auto"/>
                <w:w w:val="91"/>
              </w:rPr>
              <w:t>% change</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ind w:left="660"/>
              <w:spacing w:after="0"/>
              <w:rPr>
                <w:sz w:val="20"/>
                <w:szCs w:val="20"/>
                <w:color w:val="auto"/>
              </w:rPr>
            </w:pPr>
            <w:r>
              <w:rPr>
                <w:rFonts w:ascii="Arial" w:cs="Arial" w:eastAsia="Arial" w:hAnsi="Arial"/>
                <w:sz w:val="14"/>
                <w:szCs w:val="14"/>
                <w:b w:val="1"/>
                <w:bCs w:val="1"/>
                <w:color w:val="auto"/>
              </w:rPr>
              <w:t>YTD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171"/>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S/ 000</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2Q18</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1Q19</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2Q19</w:t>
            </w: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rPr>
              <w:t>QoQ</w:t>
            </w:r>
          </w:p>
        </w:tc>
        <w:tc>
          <w:tcPr>
            <w:tcW w:w="72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w w:val="95"/>
              </w:rPr>
              <w:t>YoY</w:t>
            </w:r>
          </w:p>
        </w:tc>
        <w:tc>
          <w:tcPr>
            <w:tcW w:w="1000" w:type="dxa"/>
            <w:vAlign w:val="bottom"/>
            <w:gridSpan w:val="3"/>
          </w:tcPr>
          <w:p>
            <w:pPr>
              <w:ind w:left="140"/>
              <w:spacing w:after="0"/>
              <w:rPr>
                <w:sz w:val="20"/>
                <w:szCs w:val="20"/>
                <w:color w:val="auto"/>
              </w:rPr>
            </w:pPr>
            <w:r>
              <w:rPr>
                <w:rFonts w:ascii="Arial" w:cs="Arial" w:eastAsia="Arial" w:hAnsi="Arial"/>
                <w:sz w:val="14"/>
                <w:szCs w:val="14"/>
                <w:b w:val="1"/>
                <w:bCs w:val="1"/>
                <w:color w:val="auto"/>
              </w:rPr>
              <w:t>Jun 18</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Jun 19</w:t>
            </w:r>
          </w:p>
        </w:tc>
        <w:tc>
          <w:tcPr>
            <w:tcW w:w="10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91"/>
              </w:rPr>
              <w:t>Jun 19 / Jun 18</w:t>
            </w:r>
          </w:p>
        </w:tc>
      </w:tr>
      <w:tr>
        <w:trPr>
          <w:trHeight w:val="142"/>
        </w:trPr>
        <w:tc>
          <w:tcPr>
            <w:tcW w:w="3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Universal Banking</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49"/>
        </w:trPr>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BCP Stand-alone</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710,132</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815,966</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790,383</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-3.1%</w:t>
            </w:r>
          </w:p>
        </w:tc>
        <w:tc>
          <w:tcPr>
            <w:tcW w:w="18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11.3%</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1,451,176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1,606,349</w:t>
            </w:r>
          </w:p>
        </w:tc>
        <w:tc>
          <w:tcPr>
            <w:tcW w:w="2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w:t>
            </w:r>
          </w:p>
        </w:tc>
      </w:tr>
      <w:tr>
        <w:trPr>
          <w:trHeight w:val="149"/>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BCP Bolivia</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21,544</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12,640</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26,806</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112.1%</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24.4%</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40,024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39,446</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r>
      <w:tr>
        <w:trPr>
          <w:trHeight w:val="149"/>
        </w:trPr>
        <w:tc>
          <w:tcPr>
            <w:tcW w:w="4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Microfinance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9"/>
        </w:trPr>
        <w:tc>
          <w:tcPr>
            <w:tcW w:w="40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Mibanco </w:t>
            </w:r>
            <w:r>
              <w:rPr>
                <w:rFonts w:ascii="Arial" w:cs="Arial" w:eastAsia="Arial" w:hAnsi="Arial"/>
                <w:sz w:val="21"/>
                <w:szCs w:val="21"/>
                <w:color w:val="auto"/>
                <w:vertAlign w:val="superscript"/>
              </w:rPr>
              <w:t>(1)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122,154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99,611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96,906</w:t>
            </w: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-2.7%</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242,966</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196,517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-19.1%</w:t>
            </w:r>
          </w:p>
        </w:tc>
      </w:tr>
      <w:tr>
        <w:trPr>
          <w:trHeight w:val="149"/>
        </w:trPr>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Encumbra</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1,258</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1,825</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1,263</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-30.8%</w:t>
            </w:r>
          </w:p>
        </w:tc>
        <w:tc>
          <w:tcPr>
            <w:tcW w:w="18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0.4%</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1,861</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3,088</w:t>
            </w:r>
          </w:p>
        </w:tc>
        <w:tc>
          <w:tcPr>
            <w:tcW w:w="10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N/A</w:t>
            </w:r>
          </w:p>
        </w:tc>
      </w:tr>
      <w:tr>
        <w:trPr>
          <w:trHeight w:val="149"/>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Insurance and Pensions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89"/>
        </w:trPr>
        <w:tc>
          <w:tcPr>
            <w:tcW w:w="400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Grupo Pacifico </w:t>
            </w:r>
            <w:r>
              <w:rPr>
                <w:rFonts w:ascii="Arial" w:cs="Arial" w:eastAsia="Arial" w:hAnsi="Arial"/>
                <w:sz w:val="21"/>
                <w:szCs w:val="21"/>
                <w:color w:val="auto"/>
                <w:vertAlign w:val="superscript"/>
              </w:rPr>
              <w:t>(2)</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69,075</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77,157</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97,133</w:t>
            </w:r>
          </w:p>
        </w:tc>
        <w:tc>
          <w:tcPr>
            <w:tcW w:w="920" w:type="dxa"/>
            <w:vAlign w:val="bottom"/>
            <w:gridSpan w:val="2"/>
          </w:tcPr>
          <w:p>
            <w:pPr>
              <w:jc w:val="right"/>
              <w:ind w:right="68"/>
              <w:spacing w:after="0"/>
              <w:rPr>
                <w:sz w:val="20"/>
                <w:szCs w:val="20"/>
                <w:color w:val="auto"/>
              </w:rPr>
            </w:pPr>
            <w:r>
              <w:rPr>
                <w:rFonts w:ascii="Arial" w:cs="Arial" w:eastAsia="Arial" w:hAnsi="Arial"/>
                <w:sz w:val="14"/>
                <w:szCs w:val="14"/>
                <w:color w:val="auto"/>
              </w:rPr>
              <w:t>25.9%</w:t>
            </w:r>
          </w:p>
        </w:tc>
        <w:tc>
          <w:tcPr>
            <w:tcW w:w="180" w:type="dxa"/>
            <w:vAlign w:val="bottom"/>
          </w:tcPr>
          <w:p>
            <w:pPr>
              <w:spacing w:after="0"/>
              <w:rPr>
                <w:sz w:val="16"/>
                <w:szCs w:val="16"/>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4"/>
                <w:szCs w:val="14"/>
                <w:color w:val="auto"/>
              </w:rPr>
              <w:t>40.6%</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146,369</w:t>
            </w: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174,290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19.1%</w:t>
            </w:r>
          </w:p>
        </w:tc>
      </w:tr>
      <w:tr>
        <w:trPr>
          <w:trHeight w:val="149"/>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Prima AFP</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32,382</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57,000</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50,367</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-11.6%</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55.5%</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67,639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107,367</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58.7%</w:t>
            </w:r>
          </w:p>
        </w:tc>
      </w:tr>
      <w:tr>
        <w:trPr>
          <w:trHeight w:val="149"/>
        </w:trPr>
        <w:tc>
          <w:tcPr>
            <w:tcW w:w="4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 Banking and Wealth Management</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Credicorp Capital</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11,128</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15,419</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10,823</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-29.8%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-2.7%</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32,203</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26,242</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r>
      <w:tr>
        <w:trPr>
          <w:trHeight w:val="149"/>
        </w:trPr>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Atlantic Security Bank</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29,106</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49,748</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50,592</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73.8%</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59,805</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100,340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67.8%</w:t>
            </w:r>
          </w:p>
        </w:tc>
      </w:tr>
      <w:tr>
        <w:trPr>
          <w:trHeight w:val="203"/>
        </w:trPr>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Others </w:t>
            </w:r>
            <w:r>
              <w:rPr>
                <w:rFonts w:ascii="Arial" w:cs="Arial" w:eastAsia="Arial" w:hAnsi="Arial"/>
                <w:sz w:val="23"/>
                <w:szCs w:val="23"/>
                <w:b w:val="1"/>
                <w:bCs w:val="1"/>
                <w:color w:val="auto"/>
                <w:vertAlign w:val="superscript"/>
              </w:rPr>
              <w:t>(3)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(18,941)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(28,499)</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(25,700)</w:t>
            </w:r>
          </w:p>
        </w:tc>
        <w:tc>
          <w:tcPr>
            <w:tcW w:w="11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N/A</w:t>
            </w:r>
          </w:p>
        </w:tc>
        <w:tc>
          <w:tcPr>
            <w:tcW w:w="7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35.7%</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(26,397)</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(54,199)</w:t>
            </w:r>
          </w:p>
        </w:tc>
        <w:tc>
          <w:tcPr>
            <w:tcW w:w="10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N/A</w:t>
            </w: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income attributed to Credicorp</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977,838</w:t>
            </w:r>
          </w:p>
        </w:tc>
        <w:tc>
          <w:tcPr>
            <w:tcW w:w="22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1,100,867</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1,098,573</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-0.2</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12.3</w:t>
            </w:r>
          </w:p>
        </w:tc>
        <w:tc>
          <w:tcPr>
            <w:tcW w:w="24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2,015,646</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2,199,440</w:t>
            </w:r>
          </w:p>
        </w:tc>
        <w:tc>
          <w:tcPr>
            <w:tcW w:w="22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9.1</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*Contributions to Credicorp reflect the eliminations for consolidation purposes (e.g. eliminations for transactions among Credicorp’s subsidiaries or between Credicorp and its subsidiaries).</w:t>
      </w:r>
    </w:p>
    <w:p>
      <w:pPr>
        <w:spacing w:after="0" w:line="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figure is lower than the net income of Mibanco because Credicorp owns 99.921% of Mibanco (directly and indirectly).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contribution is higher than Grupo Pacifico’s net income because Credicorp owns 65.20% directly, and 33.59% through Grupo Credito.</w:t>
      </w:r>
    </w:p>
    <w:p>
      <w:pPr>
        <w:spacing w:after="0" w:line="9" w:lineRule="exact"/>
        <w:rPr>
          <w:rFonts w:ascii="Arial" w:cs="Arial" w:eastAsia="Arial" w:hAnsi="Arial"/>
          <w:sz w:val="18"/>
          <w:szCs w:val="18"/>
          <w:color w:val="auto"/>
        </w:rPr>
      </w:pPr>
    </w:p>
    <w:p>
      <w:pPr>
        <w:ind w:right="20" w:firstLine="8"/>
        <w:spacing w:after="0" w:line="261" w:lineRule="auto"/>
        <w:tabs>
          <w:tab w:leader="none" w:pos="25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Grupo Credito excluding Prima (Servicorp and Emisiones BCP Latam), others of Atlantic Security Holding Corporation and others of Credicorp Ltd.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3"/>
          </w:tcPr>
          <w:p>
            <w:pPr>
              <w:ind w:left="740"/>
              <w:spacing w:after="0"/>
              <w:rPr>
                <w:sz w:val="20"/>
                <w:szCs w:val="20"/>
                <w:color w:val="auto"/>
              </w:rPr>
            </w:pPr>
            <w:r>
              <w:rPr>
                <w:rFonts w:ascii="Arial" w:cs="Arial" w:eastAsia="Arial" w:hAnsi="Arial"/>
                <w:sz w:val="18"/>
                <w:szCs w:val="18"/>
                <w:b w:val="1"/>
                <w:bCs w:val="1"/>
                <w:color w:val="auto"/>
              </w:rPr>
              <w:t>YTD</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920" w:type="dxa"/>
            <w:vAlign w:val="bottom"/>
            <w:gridSpan w:val="2"/>
          </w:tcPr>
          <w:p>
            <w:pPr>
              <w:ind w:left="1660"/>
              <w:spacing w:after="0"/>
              <w:rPr>
                <w:sz w:val="20"/>
                <w:szCs w:val="20"/>
                <w:color w:val="auto"/>
              </w:rPr>
            </w:pPr>
            <w:r>
              <w:rPr>
                <w:rFonts w:ascii="Arial" w:cs="Arial" w:eastAsia="Arial" w:hAnsi="Arial"/>
                <w:sz w:val="18"/>
                <w:szCs w:val="18"/>
                <w:b w:val="1"/>
                <w:bCs w:val="1"/>
                <w:color w:val="auto"/>
              </w:rPr>
              <w:t>ROAE</w:t>
            </w:r>
          </w:p>
        </w:tc>
        <w:tc>
          <w:tcPr>
            <w:tcW w:w="106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2Q18</w:t>
            </w:r>
          </w:p>
        </w:tc>
        <w:tc>
          <w:tcPr>
            <w:tcW w:w="106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1Q19</w:t>
            </w:r>
          </w:p>
        </w:tc>
        <w:tc>
          <w:tcPr>
            <w:tcW w:w="10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2Q19</w:t>
            </w:r>
          </w:p>
        </w:tc>
        <w:tc>
          <w:tcPr>
            <w:tcW w:w="1160" w:type="dxa"/>
            <w:vAlign w:val="bottom"/>
            <w:gridSpan w:val="3"/>
          </w:tcPr>
          <w:p>
            <w:pPr>
              <w:ind w:left="140"/>
              <w:spacing w:after="0"/>
              <w:rPr>
                <w:sz w:val="20"/>
                <w:szCs w:val="20"/>
                <w:color w:val="auto"/>
              </w:rPr>
            </w:pPr>
            <w:r>
              <w:rPr>
                <w:rFonts w:ascii="Arial" w:cs="Arial" w:eastAsia="Arial" w:hAnsi="Arial"/>
                <w:sz w:val="18"/>
                <w:szCs w:val="18"/>
                <w:b w:val="1"/>
                <w:bCs w:val="1"/>
                <w:color w:val="auto"/>
              </w:rPr>
              <w:t>Jun 18</w:t>
            </w:r>
          </w:p>
        </w:tc>
        <w:tc>
          <w:tcPr>
            <w:tcW w:w="9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4"/>
              </w:rPr>
              <w:t>Jun 19</w:t>
            </w:r>
          </w:p>
        </w:tc>
      </w:tr>
      <w:tr>
        <w:trPr>
          <w:trHeight w:val="210"/>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Universal Banking</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BCP Stand-alone</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22.1%</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22.5%</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21.5%</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BCP Bolivia</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Microfinance</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7"/>
        </w:trPr>
        <w:tc>
          <w:tcPr>
            <w:tcW w:w="39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(1)</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Encumbra</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8.6%</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12.4%</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8.4%</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Insurance and Pensions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57"/>
        </w:trPr>
        <w:tc>
          <w:tcPr>
            <w:tcW w:w="39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Pacifico </w:t>
            </w:r>
            <w:r>
              <w:rPr>
                <w:rFonts w:ascii="Arial" w:cs="Arial" w:eastAsia="Arial" w:hAnsi="Arial"/>
                <w:sz w:val="29"/>
                <w:szCs w:val="29"/>
                <w:color w:val="auto"/>
                <w:vertAlign w:val="superscript"/>
              </w:rPr>
              <w:t>(2)</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10.8%</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11.8%</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13.6%</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33.3%</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Investment Banking and Wealth Management</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Credicorp Capital</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Atlantic Security Bank</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16.1%</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25.9%</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25.7%</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25.1%</w:t>
            </w:r>
          </w:p>
        </w:tc>
      </w:tr>
      <w:tr>
        <w:trPr>
          <w:trHeight w:val="210"/>
        </w:trPr>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Credicorp</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ind w:firstLine="8"/>
        <w:spacing w:after="0" w:line="258"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ROAE including goodwill of BCP from the acquisition of Edyficar (Approximately US$ 50.7 million) was 26.9% in 2Q18, 19.8% in 1Q19 and 18.6% in 2Q19. YTD was 26.7% for June 2018 and 19.1% for June 2019.</w:t>
      </w:r>
    </w:p>
    <w:p>
      <w:pPr>
        <w:spacing w:after="0" w:line="1" w:lineRule="exact"/>
        <w:rPr>
          <w:rFonts w:ascii="Arial" w:cs="Arial" w:eastAsia="Arial" w:hAnsi="Arial"/>
          <w:sz w:val="18"/>
          <w:szCs w:val="18"/>
          <w:color w:val="auto"/>
        </w:rPr>
      </w:pPr>
    </w:p>
    <w:p>
      <w:pPr>
        <w:ind w:firstLine="8"/>
        <w:spacing w:after="0" w:line="290" w:lineRule="auto"/>
        <w:tabs>
          <w:tab w:leader="none" w:pos="267" w:val="left"/>
        </w:tabs>
        <w:numPr>
          <w:ilvl w:val="0"/>
          <w:numId w:val="4"/>
        </w:numPr>
        <w:rPr>
          <w:rFonts w:ascii="Arial" w:cs="Arial" w:eastAsia="Arial" w:hAnsi="Arial"/>
          <w:sz w:val="17"/>
          <w:szCs w:val="17"/>
          <w:color w:val="auto"/>
        </w:rPr>
      </w:pPr>
      <w:r>
        <w:rPr>
          <w:rFonts w:ascii="Arial" w:cs="Arial" w:eastAsia="Arial" w:hAnsi="Arial"/>
          <w:sz w:val="17"/>
          <w:szCs w:val="17"/>
          <w:color w:val="auto"/>
        </w:rPr>
        <w:t>Figures include unrealized gains or losses that are considered in Pacifico’s Net Equity from the investment portfolio of Pacifico Vida. ROAE excluding such unrealized gains was 13.8% in 2Q18, 14.4% in 1Q19 and 18.6% in 2Q19. YTD was 14.1% for June 2018 and 15.9% for June 2019.</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Interest-earning assets (IEA)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At the end of June 2019, IEAs posted growth of +2.0% QoQ. Expansion was primarily attributable to an increase in available funds and loan growth. The YoY evolution, which eliminates seasonal effects on loans, registered a +7.7% improvement in IEA, which was mainly associated with loan expansion and, to a lesser extent, with growth in cash and due from banks and total investments. Loans, which are our most profitable asset, registered growth of +1.8% QoQ and +6.5 YoY in average daily balances. This expansion was mainly attributable to expansion in the Retail Banking portfolio at BCP Stand-alone and, to a lesser extent, to growth in Wholesale Banking.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3"/>
          </w:tcPr>
          <w:p>
            <w:pPr>
              <w:ind w:left="720"/>
              <w:spacing w:after="0"/>
              <w:rPr>
                <w:sz w:val="20"/>
                <w:szCs w:val="20"/>
                <w:color w:val="auto"/>
              </w:rPr>
            </w:pPr>
            <w:r>
              <w:rPr>
                <w:rFonts w:ascii="Arial" w:cs="Arial" w:eastAsia="Arial" w:hAnsi="Arial"/>
                <w:sz w:val="18"/>
                <w:szCs w:val="18"/>
                <w:b w:val="1"/>
                <w:bCs w:val="1"/>
                <w:color w:val="auto"/>
                <w:w w:val="95"/>
              </w:rPr>
              <w:t>% change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Jun 18</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 19</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Jun 19</w:t>
            </w:r>
          </w:p>
        </w:tc>
        <w:tc>
          <w:tcPr>
            <w:tcW w:w="2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20"/>
                <w:szCs w:val="20"/>
                <w:color w:val="auto"/>
              </w:rPr>
            </w:pPr>
          </w:p>
        </w:tc>
      </w:tr>
      <w:tr>
        <w:trPr>
          <w:trHeight w:val="250"/>
        </w:trPr>
        <w:tc>
          <w:tcPr>
            <w:tcW w:w="466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Cash and due from banks </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14,619,741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14,816,077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17,298,234</w:t>
            </w: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172,607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288,093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190,415</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-33.9%</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57"/>
        </w:trPr>
        <w:tc>
          <w:tcPr>
            <w:tcW w:w="47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Total investments </w:t>
            </w:r>
            <w:r>
              <w:rPr>
                <w:rFonts w:ascii="Arial" w:cs="Arial" w:eastAsia="Arial" w:hAnsi="Arial"/>
                <w:sz w:val="29"/>
                <w:szCs w:val="29"/>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32,038,810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34,960,529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34,414,427</w:t>
            </w: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02"/>
        </w:trPr>
        <w:tc>
          <w:tcPr>
            <w:tcW w:w="4760" w:type="dxa"/>
            <w:vAlign w:val="bottom"/>
            <w:gridSpan w:val="2"/>
          </w:tcPr>
          <w:p>
            <w:pPr>
              <w:spacing w:after="0" w:line="201" w:lineRule="exact"/>
              <w:rPr>
                <w:sz w:val="20"/>
                <w:szCs w:val="20"/>
                <w:color w:val="auto"/>
              </w:rPr>
            </w:pPr>
            <w:r>
              <w:rPr>
                <w:rFonts w:ascii="Arial" w:cs="Arial" w:eastAsia="Arial" w:hAnsi="Arial"/>
                <w:sz w:val="18"/>
                <w:szCs w:val="18"/>
                <w:color w:val="auto"/>
                <w:w w:val="94"/>
              </w:rPr>
              <w:t>Cash collateral, reverse repurchase agreements and securities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borrowing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4,252,568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4,026,447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4,445,749</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Financial assets designated at fair value through profit or loss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550,438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576,618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588,074</w:t>
            </w: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476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Total loans </w:t>
            </w:r>
            <w:r>
              <w:rPr>
                <w:rFonts w:ascii="Arial" w:cs="Arial" w:eastAsia="Arial" w:hAnsi="Arial"/>
                <w:sz w:val="30"/>
                <w:szCs w:val="30"/>
                <w:color w:val="auto"/>
                <w:vertAlign w:val="superscript"/>
              </w:rPr>
              <w:t>(3)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102,766,633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108,350,384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109,381,123</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10"/>
        </w:trPr>
        <w:tc>
          <w:tcPr>
            <w:tcW w:w="4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154,400,797</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163,018,148</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166,318,022</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b w:val="1"/>
                <w:bCs w:val="1"/>
                <w:color w:val="auto"/>
                <w:w w:val="79"/>
              </w:rPr>
              <w:t>2.0</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ind w:right="280" w:firstLine="8"/>
        <w:spacing w:after="0" w:line="291"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amounts differ from those previously reported due to the reclassification to the item "Cash collateral, reverse repurchase agreements and securities borrowing", mainly for the cash collateral in dollars delivered to the BCRP, which was previously presented in the item "Cash and due from banks".</w:t>
      </w: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figures differ from those previously reported due to the opening of "Financial assets designated at fair value through profit or loss".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Quarter-end balances.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b w:val="1"/>
                <w:bCs w:val="1"/>
                <w:color w:val="auto"/>
              </w:rPr>
              <w:t>As of</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gridSpan w:val="3"/>
          </w:tcPr>
          <w:p>
            <w:pPr>
              <w:ind w:left="60"/>
              <w:spacing w:after="0"/>
              <w:rPr>
                <w:sz w:val="20"/>
                <w:szCs w:val="20"/>
                <w:color w:val="auto"/>
              </w:rPr>
            </w:pPr>
            <w:r>
              <w:rPr>
                <w:rFonts w:ascii="Arial" w:cs="Arial" w:eastAsia="Arial" w:hAnsi="Arial"/>
                <w:sz w:val="18"/>
                <w:szCs w:val="18"/>
                <w:b w:val="1"/>
                <w:bCs w:val="1"/>
                <w:color w:val="auto"/>
                <w:w w:val="92"/>
              </w:rPr>
              <w:t>% change</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Jun 18</w:t>
            </w:r>
          </w:p>
        </w:tc>
        <w:tc>
          <w:tcPr>
            <w:tcW w:w="2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Mar 19</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Jun 19</w:t>
            </w:r>
          </w:p>
        </w:tc>
        <w:tc>
          <w:tcPr>
            <w:tcW w:w="2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2"/>
              </w:rPr>
              <w:t>QoQ</w:t>
            </w: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Fair value through profit or loss investments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4,590,059</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4,136,148</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4,024,490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57"/>
        </w:trPr>
        <w:tc>
          <w:tcPr>
            <w:tcW w:w="4860" w:type="dxa"/>
            <w:vAlign w:val="bottom"/>
            <w:gridSpan w:val="2"/>
          </w:tcPr>
          <w:p>
            <w:pPr>
              <w:spacing w:after="0" w:line="256" w:lineRule="exact"/>
              <w:rPr>
                <w:sz w:val="20"/>
                <w:szCs w:val="20"/>
                <w:color w:val="auto"/>
              </w:rPr>
            </w:pPr>
            <w:r>
              <w:rPr>
                <w:rFonts w:ascii="Arial" w:cs="Arial" w:eastAsia="Arial" w:hAnsi="Arial"/>
                <w:sz w:val="18"/>
                <w:szCs w:val="18"/>
                <w:color w:val="auto"/>
                <w:w w:val="94"/>
              </w:rPr>
              <w:t xml:space="preserve">Fair value through other comprehensive income investments </w:t>
            </w:r>
            <w:r>
              <w:rPr>
                <w:rFonts w:ascii="Arial" w:cs="Arial" w:eastAsia="Arial" w:hAnsi="Arial"/>
                <w:sz w:val="29"/>
                <w:szCs w:val="29"/>
                <w:color w:val="auto"/>
                <w:w w:val="94"/>
                <w:vertAlign w:val="superscript"/>
              </w:rPr>
              <w:t>(1)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23,291,981</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27,184,560</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26,800,577</w:t>
            </w:r>
          </w:p>
        </w:tc>
        <w:tc>
          <w:tcPr>
            <w:tcW w:w="68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Amortized cost investments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4,156,770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3,639,821</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3,589,360</w:t>
            </w:r>
          </w:p>
        </w:tc>
        <w:tc>
          <w:tcPr>
            <w:tcW w:w="6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0"/>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32,038,810</w:t>
            </w:r>
          </w:p>
        </w:tc>
        <w:tc>
          <w:tcPr>
            <w:tcW w:w="2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34,960,529</w:t>
            </w:r>
          </w:p>
        </w:tc>
        <w:tc>
          <w:tcPr>
            <w:tcW w:w="2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34,414,427</w:t>
            </w: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3"/>
              </w:rPr>
              <w:t>-1.6</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8"/>
        <w:spacing w:after="0" w:line="277"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figures differ from those previously reported due to the disclosure of "Financial assets designated at fair value through profir or loss" as a separate item within IEA.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Evolution of IEA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loans, measured in quarter-end balances, grew +1.0% QoQ due to mixed results across products:</w:t>
      </w:r>
    </w:p>
    <w:p>
      <w:pPr>
        <w:spacing w:after="0" w:line="225" w:lineRule="exact"/>
        <w:rPr>
          <w:sz w:val="20"/>
          <w:szCs w:val="20"/>
          <w:color w:val="auto"/>
        </w:rPr>
      </w:pPr>
    </w:p>
    <w:p>
      <w:pPr>
        <w:ind w:left="980" w:hanging="648"/>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Growth in Retail Banking loans, which was led by Mortgage and Consumer products and fueled, albeit to a lesser extent, by SME Pyme, Credit Card and SME Business products.</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aforementioned was partially offset by the contraction of the Wholesale Banking portfolio, in particular in Corporate Banking, which was in line with expectations given that both portfolios posted atypical growth at the end of 2018.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YoY, loans expanded +6.4% YoY, which was attributable to growth across all business segments and subsidiaries as follows (in order of magnitude):</w:t>
      </w:r>
    </w:p>
    <w:p>
      <w:pPr>
        <w:spacing w:after="0" w:line="237"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Retail Banking, in particular in the Mortgage, Credit Card and Consumer Segments.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in the Wholesale Loan portfolio, led by Middle Market Banking.</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loans at other subsidiaries such as Mibanco and BCP Bolivia.</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investments fell -1.6% QoQ, mainly due to (i) the expiration of certificates of deposits and (ii) the sale of Sovereign Bonds at BCP Stand-alone in the fair value through other comprehensive income investment portfolio (formerly securities available for sale).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evolution of total investments increased +7.4%; this reflected a slight reconfiguration in the portfolio, where fair value through other comprehensive income investments (formerly securities available for sale) posted an increase in their share of total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IEA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Available funds grew 16.8% QoQ due to an increase in FC funds held at BCRP and, albeit to a lesser extent, an increase in FC balances held in banks in the foreign financial system.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increase in available funds of +18.3% reflects growth in FC funds held in BCRP, which was partially offset by a drop in FC deposits held in foreign banks.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Credicorp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Loan evolution by business segment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shows loan composition by subsidiary and business segment, measured in average daily balances. These balances provide the most accurate venue for visualizing the income-generating capacity of our loans, which constitute Credicorp’s main source of income. Additionally, these balances may reflect trends or variations in a way that differ from that of quarter-end balances, which reflect the effect of pre-payments or loans made at the end of the quarter which affect average daily balances less than quarter-end balances.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Average daily loan balances registered growth of +1.8% QoQ, which was primarily attributable to growth in the Mortgage and Consumer segments in Retail Banking. In YoY terms, growth in average daily loans balances was situated at +6.5%, which represents good growth that nonetheless falls below that posted in previous quarters. YoY expansion was driven primarily by growth in loans in Retail Banking and to a lesser extent in Wholesale Banking, where expansion in the Middle Market Banking segment offset a drop in Corporate Banking.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Loan evolution measured in average daily balances by segment </w:t>
      </w:r>
      <w:r>
        <w:rPr>
          <w:rFonts w:ascii="Arial" w:cs="Arial" w:eastAsia="Arial" w:hAnsi="Arial"/>
          <w:sz w:val="30"/>
          <w:szCs w:val="30"/>
          <w:b w:val="1"/>
          <w:bCs w:val="1"/>
          <w:color w:val="auto"/>
          <w:vertAlign w:val="superscript"/>
        </w:rPr>
        <w:t>(1)(2)</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3340" w:type="dxa"/>
            <w:vAlign w:val="bottom"/>
          </w:tcPr>
          <w:p>
            <w:pPr>
              <w:spacing w:after="0"/>
              <w:rPr>
                <w:sz w:val="19"/>
                <w:szCs w:val="19"/>
                <w:color w:val="auto"/>
              </w:rPr>
            </w:pPr>
          </w:p>
        </w:tc>
        <w:tc>
          <w:tcPr>
            <w:tcW w:w="26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9"/>
              </w:rPr>
              <w:t>TOTAL LOANS</w:t>
            </w:r>
          </w:p>
        </w:tc>
        <w:tc>
          <w:tcPr>
            <w:tcW w:w="100" w:type="dxa"/>
            <w:vAlign w:val="bottom"/>
          </w:tcPr>
          <w:p>
            <w:pPr>
              <w:spacing w:after="0"/>
              <w:rPr>
                <w:sz w:val="19"/>
                <w:szCs w:val="19"/>
                <w:color w:val="auto"/>
              </w:rPr>
            </w:pPr>
          </w:p>
        </w:tc>
        <w:tc>
          <w:tcPr>
            <w:tcW w:w="1640" w:type="dxa"/>
            <w:vAlign w:val="bottom"/>
            <w:gridSpan w:val="4"/>
            <w:vMerge w:val="restart"/>
          </w:tcPr>
          <w:p>
            <w:pPr>
              <w:jc w:val="right"/>
              <w:ind w:right="530"/>
              <w:spacing w:after="0"/>
              <w:rPr>
                <w:sz w:val="20"/>
                <w:szCs w:val="20"/>
                <w:color w:val="auto"/>
              </w:rPr>
            </w:pPr>
            <w:r>
              <w:rPr>
                <w:rFonts w:ascii="Arial" w:cs="Arial" w:eastAsia="Arial" w:hAnsi="Arial"/>
                <w:sz w:val="18"/>
                <w:szCs w:val="18"/>
                <w:b w:val="1"/>
                <w:bCs w:val="1"/>
                <w:color w:val="auto"/>
              </w:rPr>
              <w:t>% change</w:t>
            </w:r>
          </w:p>
        </w:tc>
        <w:tc>
          <w:tcPr>
            <w:tcW w:w="2540" w:type="dxa"/>
            <w:vAlign w:val="bottom"/>
            <w:gridSpan w:val="6"/>
            <w:vMerge w:val="restart"/>
          </w:tcPr>
          <w:p>
            <w:pPr>
              <w:jc w:val="right"/>
              <w:ind w:right="450"/>
              <w:spacing w:after="0"/>
              <w:rPr>
                <w:sz w:val="20"/>
                <w:szCs w:val="20"/>
                <w:color w:val="auto"/>
              </w:rPr>
            </w:pPr>
            <w:r>
              <w:rPr>
                <w:rFonts w:ascii="Arial" w:cs="Arial" w:eastAsia="Arial" w:hAnsi="Arial"/>
                <w:sz w:val="18"/>
                <w:szCs w:val="18"/>
                <w:b w:val="1"/>
                <w:bCs w:val="1"/>
                <w:color w:val="auto"/>
              </w:rPr>
              <w:t>% Part. in total loans</w:t>
            </w:r>
          </w:p>
        </w:tc>
        <w:tc>
          <w:tcPr>
            <w:tcW w:w="0" w:type="dxa"/>
            <w:vAlign w:val="bottom"/>
          </w:tcPr>
          <w:p>
            <w:pPr>
              <w:spacing w:after="0"/>
              <w:rPr>
                <w:sz w:val="1"/>
                <w:szCs w:val="1"/>
                <w:color w:val="auto"/>
              </w:rPr>
            </w:pPr>
          </w:p>
        </w:tc>
      </w:tr>
      <w:tr>
        <w:trPr>
          <w:trHeight w:val="226"/>
        </w:trPr>
        <w:tc>
          <w:tcPr>
            <w:tcW w:w="3340" w:type="dxa"/>
            <w:vAlign w:val="bottom"/>
          </w:tcPr>
          <w:p>
            <w:pPr>
              <w:spacing w:after="0"/>
              <w:rPr>
                <w:sz w:val="19"/>
                <w:szCs w:val="19"/>
                <w:color w:val="auto"/>
              </w:rPr>
            </w:pPr>
          </w:p>
        </w:tc>
        <w:tc>
          <w:tcPr>
            <w:tcW w:w="2640" w:type="dxa"/>
            <w:vAlign w:val="bottom"/>
            <w:gridSpan w:val="6"/>
          </w:tcPr>
          <w:p>
            <w:pPr>
              <w:jc w:val="center"/>
              <w:ind w:right="180"/>
              <w:spacing w:after="0"/>
              <w:rPr>
                <w:sz w:val="20"/>
                <w:szCs w:val="20"/>
                <w:color w:val="auto"/>
              </w:rPr>
            </w:pPr>
            <w:r>
              <w:rPr>
                <w:rFonts w:ascii="Arial" w:cs="Arial" w:eastAsia="Arial" w:hAnsi="Arial"/>
                <w:sz w:val="18"/>
                <w:szCs w:val="18"/>
                <w:b w:val="1"/>
                <w:bCs w:val="1"/>
                <w:i w:val="1"/>
                <w:iCs w:val="1"/>
                <w:color w:val="auto"/>
                <w:w w:val="88"/>
              </w:rPr>
              <w:t>Expressed in million S/</w:t>
            </w:r>
          </w:p>
        </w:tc>
        <w:tc>
          <w:tcPr>
            <w:tcW w:w="100" w:type="dxa"/>
            <w:vAlign w:val="bottom"/>
          </w:tcPr>
          <w:p>
            <w:pPr>
              <w:spacing w:after="0"/>
              <w:rPr>
                <w:sz w:val="19"/>
                <w:szCs w:val="19"/>
                <w:color w:val="auto"/>
              </w:rPr>
            </w:pPr>
          </w:p>
        </w:tc>
        <w:tc>
          <w:tcPr>
            <w:tcW w:w="1640" w:type="dxa"/>
            <w:vAlign w:val="bottom"/>
            <w:gridSpan w:val="4"/>
            <w:vMerge w:val="continue"/>
          </w:tcPr>
          <w:p>
            <w:pPr>
              <w:spacing w:after="0"/>
              <w:rPr>
                <w:sz w:val="19"/>
                <w:szCs w:val="19"/>
                <w:color w:val="auto"/>
              </w:rPr>
            </w:pPr>
          </w:p>
        </w:tc>
        <w:tc>
          <w:tcPr>
            <w:tcW w:w="254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2Q18</w:t>
            </w: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1Q19</w:t>
            </w: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2Q19</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2Q18</w:t>
            </w:r>
          </w:p>
        </w:tc>
        <w:tc>
          <w:tcPr>
            <w:tcW w:w="2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1Q19</w:t>
            </w:r>
          </w:p>
        </w:tc>
        <w:tc>
          <w:tcPr>
            <w:tcW w:w="2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2Q19</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BCP Stand-alone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84,099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88,020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89,632</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1.8%</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81.8%</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81.9%</w:t>
            </w:r>
          </w:p>
        </w:tc>
        <w:tc>
          <w:tcPr>
            <w:tcW w:w="0" w:type="dxa"/>
            <w:vAlign w:val="bottom"/>
          </w:tcPr>
          <w:p>
            <w:pPr>
              <w:spacing w:after="0"/>
              <w:rPr>
                <w:sz w:val="1"/>
                <w:szCs w:val="1"/>
                <w:color w:val="auto"/>
              </w:rPr>
            </w:pPr>
          </w:p>
        </w:tc>
      </w:tr>
      <w:tr>
        <w:trPr>
          <w:trHeight w:val="216"/>
        </w:trPr>
        <w:tc>
          <w:tcPr>
            <w:tcW w:w="3340" w:type="dxa"/>
            <w:vAlign w:val="bottom"/>
          </w:tcPr>
          <w:p>
            <w:pPr>
              <w:ind w:left="160"/>
              <w:spacing w:after="0"/>
              <w:rPr>
                <w:sz w:val="20"/>
                <w:szCs w:val="20"/>
                <w:color w:val="auto"/>
              </w:rPr>
            </w:pPr>
            <w:r>
              <w:rPr>
                <w:rFonts w:ascii="Arial" w:cs="Arial" w:eastAsia="Arial" w:hAnsi="Arial"/>
                <w:sz w:val="18"/>
                <w:szCs w:val="18"/>
                <w:b w:val="1"/>
                <w:bCs w:val="1"/>
                <w:color w:val="auto"/>
              </w:rPr>
              <w:t>Wholesale Banking</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44,898</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45,299</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45,883</w:t>
            </w:r>
          </w:p>
        </w:tc>
        <w:tc>
          <w:tcPr>
            <w:tcW w:w="860" w:type="dxa"/>
            <w:vAlign w:val="bottom"/>
            <w:gridSpan w:val="3"/>
          </w:tcPr>
          <w:p>
            <w:pPr>
              <w:ind w:left="360"/>
              <w:spacing w:after="0"/>
              <w:rPr>
                <w:sz w:val="20"/>
                <w:szCs w:val="20"/>
                <w:color w:val="auto"/>
              </w:rPr>
            </w:pPr>
            <w:r>
              <w:rPr>
                <w:rFonts w:ascii="Arial" w:cs="Arial" w:eastAsia="Arial" w:hAnsi="Arial"/>
                <w:sz w:val="18"/>
                <w:szCs w:val="18"/>
                <w:b w:val="1"/>
                <w:bCs w:val="1"/>
                <w:color w:val="auto"/>
              </w:rPr>
              <w:t>1.3%</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2.2%</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43.7%</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42.2%</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41.9%</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28,505</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27,670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28,065</w:t>
            </w:r>
          </w:p>
        </w:tc>
        <w:tc>
          <w:tcPr>
            <w:tcW w:w="860" w:type="dxa"/>
            <w:vAlign w:val="bottom"/>
            <w:gridSpan w:val="3"/>
            <w:shd w:val="clear" w:color="auto" w:fill="C5D9F1"/>
          </w:tcPr>
          <w:p>
            <w:pPr>
              <w:ind w:left="360"/>
              <w:spacing w:after="0"/>
              <w:rPr>
                <w:sz w:val="20"/>
                <w:szCs w:val="20"/>
                <w:color w:val="auto"/>
              </w:rPr>
            </w:pPr>
            <w:r>
              <w:rPr>
                <w:rFonts w:ascii="Arial" w:cs="Arial" w:eastAsia="Arial" w:hAnsi="Arial"/>
                <w:sz w:val="18"/>
                <w:szCs w:val="18"/>
                <w:color w:val="auto"/>
              </w:rPr>
              <w:t>1.4%</w:t>
            </w:r>
          </w:p>
        </w:tc>
        <w:tc>
          <w:tcPr>
            <w:tcW w:w="880" w:type="dxa"/>
            <w:vAlign w:val="bottom"/>
            <w:gridSpan w:val="2"/>
            <w:shd w:val="clear" w:color="auto" w:fill="FDE9D9"/>
          </w:tcPr>
          <w:p>
            <w:pPr>
              <w:jc w:val="right"/>
              <w:ind w:right="50"/>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27.7%</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3340" w:type="dxa"/>
            <w:vAlign w:val="bottom"/>
          </w:tcPr>
          <w:p>
            <w:pPr>
              <w:ind w:left="320"/>
              <w:spacing w:after="0"/>
              <w:rPr>
                <w:sz w:val="20"/>
                <w:szCs w:val="20"/>
                <w:color w:val="auto"/>
              </w:rPr>
            </w:pPr>
            <w:r>
              <w:rPr>
                <w:rFonts w:ascii="Arial" w:cs="Arial" w:eastAsia="Arial" w:hAnsi="Arial"/>
                <w:sz w:val="18"/>
                <w:szCs w:val="18"/>
                <w:color w:val="auto"/>
              </w:rPr>
              <w:t>Middle - Market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16,393</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17,629</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17,818</w:t>
            </w:r>
          </w:p>
        </w:tc>
        <w:tc>
          <w:tcPr>
            <w:tcW w:w="860" w:type="dxa"/>
            <w:vAlign w:val="bottom"/>
            <w:gridSpan w:val="3"/>
          </w:tcPr>
          <w:p>
            <w:pPr>
              <w:ind w:left="360"/>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C5D9F1"/>
          </w:tcPr>
          <w:p>
            <w:pPr>
              <w:jc w:val="right"/>
              <w:ind w:right="50"/>
              <w:spacing w:after="0"/>
              <w:rPr>
                <w:sz w:val="20"/>
                <w:szCs w:val="20"/>
                <w:color w:val="auto"/>
              </w:rPr>
            </w:pPr>
            <w:r>
              <w:rPr>
                <w:rFonts w:ascii="Arial" w:cs="Arial" w:eastAsia="Arial" w:hAnsi="Arial"/>
                <w:sz w:val="18"/>
                <w:szCs w:val="18"/>
                <w:color w:val="auto"/>
              </w:rPr>
              <w:t>8.7%</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15.9%</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16.4%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Retail Banking</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39,202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42,720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43,749</w:t>
            </w:r>
          </w:p>
        </w:tc>
        <w:tc>
          <w:tcPr>
            <w:tcW w:w="86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2.4%</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11.6%</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38.1%</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0" w:type="dxa"/>
            <w:vAlign w:val="bottom"/>
          </w:tcPr>
          <w:p>
            <w:pPr>
              <w:spacing w:after="0"/>
              <w:rPr>
                <w:sz w:val="1"/>
                <w:szCs w:val="1"/>
                <w:color w:val="auto"/>
              </w:rPr>
            </w:pPr>
          </w:p>
        </w:tc>
      </w:tr>
      <w:tr>
        <w:trPr>
          <w:trHeight w:val="216"/>
        </w:trPr>
        <w:tc>
          <w:tcPr>
            <w:tcW w:w="3340" w:type="dxa"/>
            <w:vAlign w:val="bottom"/>
          </w:tcPr>
          <w:p>
            <w:pPr>
              <w:ind w:left="320"/>
              <w:spacing w:after="0"/>
              <w:rPr>
                <w:sz w:val="20"/>
                <w:szCs w:val="20"/>
                <w:color w:val="auto"/>
              </w:rPr>
            </w:pPr>
            <w:r>
              <w:rPr>
                <w:rFonts w:ascii="Arial" w:cs="Arial" w:eastAsia="Arial" w:hAnsi="Arial"/>
                <w:sz w:val="18"/>
                <w:szCs w:val="18"/>
                <w:color w:val="auto"/>
              </w:rPr>
              <w:t>SME - Business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5,286</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5,258</w:t>
            </w:r>
          </w:p>
        </w:tc>
        <w:tc>
          <w:tcPr>
            <w:tcW w:w="700" w:type="dxa"/>
            <w:vAlign w:val="bottom"/>
          </w:tcPr>
          <w:p>
            <w:pPr>
              <w:jc w:val="right"/>
              <w:spacing w:after="0"/>
              <w:rPr>
                <w:sz w:val="20"/>
                <w:szCs w:val="20"/>
                <w:color w:val="auto"/>
              </w:rPr>
            </w:pPr>
            <w:r>
              <w:rPr>
                <w:rFonts w:ascii="Arial" w:cs="Arial" w:eastAsia="Arial" w:hAnsi="Arial"/>
                <w:sz w:val="18"/>
                <w:szCs w:val="18"/>
                <w:color w:val="auto"/>
              </w:rPr>
              <w:t>5,340</w:t>
            </w:r>
          </w:p>
        </w:tc>
        <w:tc>
          <w:tcPr>
            <w:tcW w:w="180" w:type="dxa"/>
            <w:vAlign w:val="bottom"/>
          </w:tcPr>
          <w:p>
            <w:pPr>
              <w:spacing w:after="0"/>
              <w:rPr>
                <w:sz w:val="18"/>
                <w:szCs w:val="18"/>
                <w:color w:val="auto"/>
              </w:rPr>
            </w:pPr>
          </w:p>
        </w:tc>
        <w:tc>
          <w:tcPr>
            <w:tcW w:w="860" w:type="dxa"/>
            <w:vAlign w:val="bottom"/>
            <w:gridSpan w:val="3"/>
          </w:tcPr>
          <w:p>
            <w:pPr>
              <w:ind w:left="360"/>
              <w:spacing w:after="0"/>
              <w:rPr>
                <w:sz w:val="20"/>
                <w:szCs w:val="20"/>
                <w:color w:val="auto"/>
              </w:rPr>
            </w:pPr>
            <w:r>
              <w:rPr>
                <w:rFonts w:ascii="Arial" w:cs="Arial" w:eastAsia="Arial" w:hAnsi="Arial"/>
                <w:sz w:val="18"/>
                <w:szCs w:val="18"/>
                <w:color w:val="auto"/>
              </w:rPr>
              <w:t>1.6%</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1.0%</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5.1%</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4.9%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SME - Pyme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8,645</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9,413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10.6%</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8.4%</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340" w:type="dxa"/>
            <w:vAlign w:val="bottom"/>
          </w:tcPr>
          <w:p>
            <w:pPr>
              <w:ind w:left="320"/>
              <w:spacing w:after="0"/>
              <w:rPr>
                <w:sz w:val="20"/>
                <w:szCs w:val="20"/>
                <w:color w:val="auto"/>
              </w:rPr>
            </w:pPr>
            <w:r>
              <w:rPr>
                <w:rFonts w:ascii="Arial" w:cs="Arial" w:eastAsia="Arial" w:hAnsi="Arial"/>
                <w:sz w:val="18"/>
                <w:szCs w:val="18"/>
                <w:color w:val="auto"/>
              </w:rPr>
              <w:t>Mortgage</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13,721</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15,100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15,539</w:t>
            </w:r>
          </w:p>
        </w:tc>
        <w:tc>
          <w:tcPr>
            <w:tcW w:w="100" w:type="dxa"/>
            <w:vAlign w:val="bottom"/>
            <w:shd w:val="clear" w:color="auto" w:fill="C5D9F1"/>
          </w:tcPr>
          <w:p>
            <w:pPr>
              <w:spacing w:after="0"/>
              <w:rPr>
                <w:sz w:val="18"/>
                <w:szCs w:val="18"/>
                <w:color w:val="auto"/>
              </w:rPr>
            </w:pPr>
          </w:p>
        </w:tc>
        <w:tc>
          <w:tcPr>
            <w:tcW w:w="760" w:type="dxa"/>
            <w:vAlign w:val="bottom"/>
            <w:gridSpan w:val="2"/>
            <w:shd w:val="clear" w:color="auto" w:fill="C5D9F1"/>
          </w:tcPr>
          <w:p>
            <w:pPr>
              <w:ind w:left="260"/>
              <w:spacing w:after="0"/>
              <w:rPr>
                <w:sz w:val="20"/>
                <w:szCs w:val="20"/>
                <w:color w:val="auto"/>
              </w:rPr>
            </w:pPr>
            <w:r>
              <w:rPr>
                <w:rFonts w:ascii="Arial" w:cs="Arial" w:eastAsia="Arial" w:hAnsi="Arial"/>
                <w:sz w:val="18"/>
                <w:szCs w:val="18"/>
                <w:color w:val="auto"/>
              </w:rPr>
              <w:t>2.9%</w:t>
            </w:r>
          </w:p>
        </w:tc>
        <w:tc>
          <w:tcPr>
            <w:tcW w:w="880" w:type="dxa"/>
            <w:vAlign w:val="bottom"/>
            <w:gridSpan w:val="2"/>
            <w:shd w:val="clear" w:color="auto" w:fill="C5D9F1"/>
          </w:tcPr>
          <w:p>
            <w:pPr>
              <w:jc w:val="right"/>
              <w:ind w:right="50"/>
              <w:spacing w:after="0"/>
              <w:rPr>
                <w:sz w:val="20"/>
                <w:szCs w:val="20"/>
                <w:color w:val="auto"/>
              </w:rPr>
            </w:pPr>
            <w:r>
              <w:rPr>
                <w:rFonts w:ascii="Arial" w:cs="Arial" w:eastAsia="Arial" w:hAnsi="Arial"/>
                <w:sz w:val="18"/>
                <w:szCs w:val="18"/>
                <w:color w:val="auto"/>
              </w:rPr>
              <w:t>13.3%</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13.3%</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14.1%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7,123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7,645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180" w:type="dxa"/>
            <w:vAlign w:val="bottom"/>
            <w:shd w:val="clear" w:color="auto" w:fill="CCEEFF"/>
          </w:tcPr>
          <w:p>
            <w:pPr>
              <w:spacing w:after="0"/>
              <w:rPr>
                <w:sz w:val="18"/>
                <w:szCs w:val="18"/>
                <w:color w:val="auto"/>
              </w:rPr>
            </w:pPr>
          </w:p>
        </w:tc>
        <w:tc>
          <w:tcPr>
            <w:tcW w:w="100" w:type="dxa"/>
            <w:vAlign w:val="bottom"/>
            <w:shd w:val="clear" w:color="auto" w:fill="C5D9F1"/>
          </w:tcPr>
          <w:p>
            <w:pPr>
              <w:spacing w:after="0"/>
              <w:rPr>
                <w:sz w:val="18"/>
                <w:szCs w:val="18"/>
                <w:color w:val="auto"/>
              </w:rPr>
            </w:pPr>
          </w:p>
        </w:tc>
        <w:tc>
          <w:tcPr>
            <w:tcW w:w="760" w:type="dxa"/>
            <w:vAlign w:val="bottom"/>
            <w:gridSpan w:val="2"/>
            <w:shd w:val="clear" w:color="auto" w:fill="C5D9F1"/>
          </w:tcPr>
          <w:p>
            <w:pPr>
              <w:ind w:left="260"/>
              <w:spacing w:after="0"/>
              <w:rPr>
                <w:sz w:val="20"/>
                <w:szCs w:val="20"/>
                <w:color w:val="auto"/>
              </w:rPr>
            </w:pPr>
            <w:r>
              <w:rPr>
                <w:rFonts w:ascii="Arial" w:cs="Arial" w:eastAsia="Arial" w:hAnsi="Arial"/>
                <w:sz w:val="18"/>
                <w:szCs w:val="18"/>
                <w:color w:val="auto"/>
              </w:rPr>
              <w:t>3.0%</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10.6%</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340" w:type="dxa"/>
            <w:vAlign w:val="bottom"/>
          </w:tcPr>
          <w:p>
            <w:pPr>
              <w:ind w:left="320"/>
              <w:spacing w:after="0"/>
              <w:rPr>
                <w:sz w:val="20"/>
                <w:szCs w:val="20"/>
                <w:color w:val="auto"/>
              </w:rPr>
            </w:pPr>
            <w:r>
              <w:rPr>
                <w:rFonts w:ascii="Arial" w:cs="Arial" w:eastAsia="Arial" w:hAnsi="Arial"/>
                <w:sz w:val="18"/>
                <w:szCs w:val="18"/>
                <w:color w:val="auto"/>
              </w:rPr>
              <w:t>Credit Card</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4,428</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5,305</w:t>
            </w:r>
          </w:p>
        </w:tc>
        <w:tc>
          <w:tcPr>
            <w:tcW w:w="700" w:type="dxa"/>
            <w:vAlign w:val="bottom"/>
          </w:tcPr>
          <w:p>
            <w:pPr>
              <w:jc w:val="right"/>
              <w:spacing w:after="0"/>
              <w:rPr>
                <w:sz w:val="20"/>
                <w:szCs w:val="20"/>
                <w:color w:val="auto"/>
              </w:rPr>
            </w:pPr>
            <w:r>
              <w:rPr>
                <w:rFonts w:ascii="Arial" w:cs="Arial" w:eastAsia="Arial" w:hAnsi="Arial"/>
                <w:sz w:val="18"/>
                <w:szCs w:val="18"/>
                <w:color w:val="auto"/>
              </w:rPr>
              <w:t>5,433</w:t>
            </w:r>
          </w:p>
        </w:tc>
        <w:tc>
          <w:tcPr>
            <w:tcW w:w="180" w:type="dxa"/>
            <w:vAlign w:val="bottom"/>
          </w:tcPr>
          <w:p>
            <w:pPr>
              <w:spacing w:after="0"/>
              <w:rPr>
                <w:sz w:val="18"/>
                <w:szCs w:val="18"/>
                <w:color w:val="auto"/>
              </w:rPr>
            </w:pPr>
          </w:p>
        </w:tc>
        <w:tc>
          <w:tcPr>
            <w:tcW w:w="860" w:type="dxa"/>
            <w:vAlign w:val="bottom"/>
            <w:gridSpan w:val="3"/>
          </w:tcPr>
          <w:p>
            <w:pPr>
              <w:ind w:left="360"/>
              <w:spacing w:after="0"/>
              <w:rPr>
                <w:sz w:val="20"/>
                <w:szCs w:val="20"/>
                <w:color w:val="auto"/>
              </w:rPr>
            </w:pPr>
            <w:r>
              <w:rPr>
                <w:rFonts w:ascii="Arial" w:cs="Arial" w:eastAsia="Arial" w:hAnsi="Arial"/>
                <w:sz w:val="18"/>
                <w:szCs w:val="18"/>
                <w:color w:val="auto"/>
              </w:rPr>
              <w:t>2.4%</w:t>
            </w:r>
          </w:p>
        </w:tc>
        <w:tc>
          <w:tcPr>
            <w:tcW w:w="880" w:type="dxa"/>
            <w:vAlign w:val="bottom"/>
            <w:gridSpan w:val="2"/>
            <w:shd w:val="clear" w:color="auto" w:fill="C5D9F1"/>
          </w:tcPr>
          <w:p>
            <w:pPr>
              <w:jc w:val="right"/>
              <w:ind w:right="50"/>
              <w:spacing w:after="0"/>
              <w:rPr>
                <w:sz w:val="20"/>
                <w:szCs w:val="20"/>
                <w:color w:val="auto"/>
              </w:rPr>
            </w:pPr>
            <w:r>
              <w:rPr>
                <w:rFonts w:ascii="Arial" w:cs="Arial" w:eastAsia="Arial" w:hAnsi="Arial"/>
                <w:sz w:val="18"/>
                <w:szCs w:val="18"/>
                <w:color w:val="auto"/>
              </w:rPr>
              <w:t>22.7%</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4.3%</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4.9%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Mibanco</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9,553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9,910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10,031</w:t>
            </w:r>
          </w:p>
        </w:tc>
        <w:tc>
          <w:tcPr>
            <w:tcW w:w="86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1.2%</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Bolivia</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6,554</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7,096</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7,244</w:t>
            </w:r>
          </w:p>
        </w:tc>
        <w:tc>
          <w:tcPr>
            <w:tcW w:w="180" w:type="dxa"/>
            <w:vAlign w:val="bottom"/>
          </w:tcPr>
          <w:p>
            <w:pPr>
              <w:spacing w:after="0"/>
              <w:rPr>
                <w:sz w:val="18"/>
                <w:szCs w:val="18"/>
                <w:color w:val="auto"/>
              </w:rPr>
            </w:pPr>
          </w:p>
        </w:tc>
        <w:tc>
          <w:tcPr>
            <w:tcW w:w="860" w:type="dxa"/>
            <w:vAlign w:val="bottom"/>
            <w:gridSpan w:val="3"/>
          </w:tcPr>
          <w:p>
            <w:pPr>
              <w:ind w:left="360"/>
              <w:spacing w:after="0"/>
              <w:rPr>
                <w:sz w:val="20"/>
                <w:szCs w:val="20"/>
                <w:color w:val="auto"/>
              </w:rPr>
            </w:pPr>
            <w:r>
              <w:rPr>
                <w:rFonts w:ascii="Arial" w:cs="Arial" w:eastAsia="Arial" w:hAnsi="Arial"/>
                <w:sz w:val="18"/>
                <w:szCs w:val="18"/>
                <w:b w:val="1"/>
                <w:bCs w:val="1"/>
                <w:color w:val="auto"/>
              </w:rPr>
              <w:t>2.1%</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10.5%</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6.4%</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6.6%</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ASB</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2,576</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2,442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2,530</w:t>
            </w:r>
          </w:p>
        </w:tc>
        <w:tc>
          <w:tcPr>
            <w:tcW w:w="1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3.6%</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b w:val="1"/>
                <w:bCs w:val="1"/>
                <w:color w:val="auto"/>
              </w:rPr>
              <w:t>BAP's total loans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102,782</w:t>
            </w:r>
          </w:p>
        </w:tc>
        <w:tc>
          <w:tcPr>
            <w:tcW w:w="1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107,468</w:t>
            </w:r>
          </w:p>
        </w:tc>
        <w:tc>
          <w:tcPr>
            <w:tcW w:w="1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109,436</w:t>
            </w:r>
          </w:p>
        </w:tc>
        <w:tc>
          <w:tcPr>
            <w:tcW w:w="180" w:type="dxa"/>
            <w:vAlign w:val="bottom"/>
          </w:tcPr>
          <w:p>
            <w:pPr>
              <w:spacing w:after="0"/>
              <w:rPr>
                <w:sz w:val="18"/>
                <w:szCs w:val="18"/>
                <w:color w:val="auto"/>
              </w:rPr>
            </w:pPr>
          </w:p>
        </w:tc>
        <w:tc>
          <w:tcPr>
            <w:tcW w:w="580" w:type="dxa"/>
            <w:vAlign w:val="bottom"/>
            <w:tcBorders>
              <w:top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w w:val="79"/>
              </w:rPr>
              <w:t>1.8</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41148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41148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23" w:lineRule="exact"/>
        <w:rPr>
          <w:sz w:val="20"/>
          <w:szCs w:val="20"/>
          <w:color w:val="auto"/>
        </w:rPr>
      </w:pPr>
    </w:p>
    <w:p>
      <w:pPr>
        <w:ind w:left="920" w:hanging="264"/>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Work out unit, and other banking.</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1Q19 figures differ from those previously reported due to an adjustment in average daily balances for Corporate Banking and ASB.</w:t>
      </w:r>
    </w:p>
    <w:p>
      <w:pPr>
        <w:spacing w:after="0" w:line="200" w:lineRule="exact"/>
        <w:rPr>
          <w:sz w:val="20"/>
          <w:szCs w:val="20"/>
          <w:color w:val="auto"/>
        </w:rPr>
      </w:pPr>
    </w:p>
    <w:p>
      <w:pPr>
        <w:spacing w:after="0" w:line="22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Loan Growth QoQ in Average Daily Balances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millions of S/</w:t>
      </w:r>
    </w:p>
    <w:p>
      <w:pPr>
        <w:spacing w:after="0" w:line="207"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1.8%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746115" cy="2246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46115"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analysis by segment, QoQ growth in loans measured in average daily balances reflects:</w:t>
      </w:r>
    </w:p>
    <w:p>
      <w:pPr>
        <w:spacing w:after="0" w:line="225" w:lineRule="exact"/>
        <w:rPr>
          <w:sz w:val="20"/>
          <w:szCs w:val="20"/>
          <w:color w:val="auto"/>
        </w:rPr>
      </w:pPr>
    </w:p>
    <w:p>
      <w:pPr>
        <w:ind w:left="880" w:hanging="49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Growth in the portfolio of all segments at BCP Stand-alone and in other subsidiaries.</w:t>
      </w:r>
    </w:p>
    <w:p>
      <w:pPr>
        <w:spacing w:after="0" w:line="225"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Retail Banking segment was the largest contributor to portfolio growth, via its Mortgage and Consumer segments, followed by expansion in the Wholesale Banking segments.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Growth YoY in Average Daily Balances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millions of 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746115" cy="2169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611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The analysis of YoY growth by segment, measured in average daily balances, reveals the following:</w:t>
      </w:r>
    </w:p>
    <w:p>
      <w:pPr>
        <w:spacing w:after="0" w:line="225" w:lineRule="exact"/>
        <w:rPr>
          <w:sz w:val="20"/>
          <w:szCs w:val="20"/>
          <w:color w:val="auto"/>
        </w:rPr>
      </w:pPr>
    </w:p>
    <w:p>
      <w:pPr>
        <w:ind w:left="880" w:hanging="49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Loan growth in Mortgage, Credit Card, SME and Consumer segments in Retail Banking.</w:t>
      </w:r>
    </w:p>
    <w:p>
      <w:pPr>
        <w:spacing w:after="0" w:line="225"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Loan expansion in Wholesale Banking (+2.2% YoY) due to growth in the Middle Market portfolio (+S/1,425 million), which was partially offset by the drop in Corporate Banking (-S/440 million).</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left="98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Loan growth at BCP Bolivia, which was situated at +10.5% YoY. This evolution was attributable to loan growth in Corporate Banking in the Mortgage (regulated portfolio) and Consumer segments.</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Loan expansion at Mibanco (+5.0% YoY), which was aligned with the bank’s strategy to expand the loan portfolio by focusing on financial inclusion (new clients in the System) and on accompanying our clients’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 is important to note that YoY growth in average daily loans, excluding the dollar appreciation of +70 bps YoY, was situated at +5.8% YoY.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Evolution of the level of dollarization by segment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Loan evolution by currency - average daily balances </w:t>
      </w:r>
      <w:r>
        <w:rPr>
          <w:rFonts w:ascii="Arial" w:cs="Arial" w:eastAsia="Arial" w:hAnsi="Arial"/>
          <w:sz w:val="30"/>
          <w:szCs w:val="30"/>
          <w:b w:val="1"/>
          <w:bCs w:val="1"/>
          <w:color w:val="auto"/>
          <w:vertAlign w:val="superscript"/>
        </w:rPr>
        <w:t>(1)(2)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rPr>
              <w:t>DOMESTIC CURRENCY LOANS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6"/>
          </w:tcPr>
          <w:p>
            <w:pPr>
              <w:jc w:val="center"/>
              <w:ind w:right="28"/>
              <w:spacing w:after="0"/>
              <w:rPr>
                <w:sz w:val="20"/>
                <w:szCs w:val="20"/>
                <w:color w:val="auto"/>
              </w:rPr>
            </w:pPr>
            <w:r>
              <w:rPr>
                <w:rFonts w:ascii="Arial" w:cs="Arial" w:eastAsia="Arial" w:hAnsi="Arial"/>
                <w:sz w:val="14"/>
                <w:szCs w:val="14"/>
                <w:b w:val="1"/>
                <w:bCs w:val="1"/>
                <w:color w:val="auto"/>
              </w:rPr>
              <w:t>FOREIGN CURRENCY LOANS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68"/>
              <w:spacing w:after="0"/>
              <w:rPr>
                <w:sz w:val="20"/>
                <w:szCs w:val="20"/>
                <w:color w:val="auto"/>
              </w:rPr>
            </w:pPr>
            <w:r>
              <w:rPr>
                <w:rFonts w:ascii="Arial" w:cs="Arial" w:eastAsia="Arial" w:hAnsi="Arial"/>
                <w:sz w:val="14"/>
                <w:szCs w:val="14"/>
                <w:b w:val="1"/>
                <w:bCs w:val="1"/>
                <w:color w:val="auto"/>
                <w:w w:val="96"/>
              </w:rPr>
              <w:t>% part. by currency</w:t>
            </w:r>
          </w:p>
        </w:tc>
      </w:tr>
      <w:tr>
        <w:trPr>
          <w:trHeight w:val="162"/>
        </w:trPr>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6"/>
          </w:tcPr>
          <w:p>
            <w:pPr>
              <w:jc w:val="center"/>
              <w:ind w:right="188"/>
              <w:spacing w:after="0"/>
              <w:rPr>
                <w:sz w:val="20"/>
                <w:szCs w:val="20"/>
                <w:color w:val="auto"/>
              </w:rPr>
            </w:pPr>
            <w:r>
              <w:rPr>
                <w:rFonts w:ascii="Arial" w:cs="Arial" w:eastAsia="Arial" w:hAnsi="Arial"/>
                <w:sz w:val="14"/>
                <w:szCs w:val="14"/>
                <w:b w:val="1"/>
                <w:bCs w:val="1"/>
                <w:i w:val="1"/>
                <w:iCs w:val="1"/>
                <w:color w:val="auto"/>
                <w:w w:val="89"/>
              </w:rPr>
              <w:t>Expressed in million 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6"/>
          </w:tcPr>
          <w:p>
            <w:pPr>
              <w:jc w:val="center"/>
              <w:ind w:right="8"/>
              <w:spacing w:after="0"/>
              <w:rPr>
                <w:sz w:val="20"/>
                <w:szCs w:val="20"/>
                <w:color w:val="auto"/>
              </w:rPr>
            </w:pPr>
            <w:r>
              <w:rPr>
                <w:rFonts w:ascii="Arial" w:cs="Arial" w:eastAsia="Arial" w:hAnsi="Arial"/>
                <w:sz w:val="14"/>
                <w:szCs w:val="14"/>
                <w:b w:val="1"/>
                <w:bCs w:val="1"/>
                <w:i w:val="1"/>
                <w:iCs w:val="1"/>
                <w:color w:val="auto"/>
                <w:w w:val="90"/>
              </w:rPr>
              <w:t>Expressed in million US$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9"/>
              </w:rPr>
              <w:t>2Q19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19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2Q18</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1Q19</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2Q19</w:t>
            </w: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2Q18</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1Q19</w:t>
            </w: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2Q19</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QoQ</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LC</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FC</w:t>
            </w:r>
          </w:p>
        </w:tc>
        <w:tc>
          <w:tcPr>
            <w:tcW w:w="120" w:type="dxa"/>
            <w:vAlign w:val="bottom"/>
            <w:tcBorders>
              <w:bottom w:val="single" w:sz="8" w:color="CCEEFF"/>
            </w:tcBorders>
          </w:tcPr>
          <w:p>
            <w:pPr>
              <w:spacing w:after="0"/>
              <w:rPr>
                <w:sz w:val="14"/>
                <w:szCs w:val="14"/>
                <w:color w:val="auto"/>
              </w:rPr>
            </w:pPr>
          </w:p>
        </w:tc>
      </w:tr>
      <w:tr>
        <w:trPr>
          <w:trHeight w:val="142"/>
        </w:trPr>
        <w:tc>
          <w:tcPr>
            <w:tcW w:w="1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BCP Stand-alone</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51,227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54,956</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56,165</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2.2%</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9.6%</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10,069</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9,963</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10,075</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0.1%</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62.7%</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37.3%</w:t>
            </w:r>
          </w:p>
        </w:tc>
      </w:tr>
      <w:tr>
        <w:trPr>
          <w:trHeight w:val="149"/>
        </w:trPr>
        <w:tc>
          <w:tcPr>
            <w:tcW w:w="19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Wholesale Banking</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19,869</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19,753</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19,876</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0.6%</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0.0%</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7,666</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7,698</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7,829</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2.1%</w:t>
            </w:r>
          </w:p>
        </w:tc>
        <w:tc>
          <w:tcPr>
            <w:tcW w:w="920" w:type="dxa"/>
            <w:vAlign w:val="bottom"/>
            <w:gridSpan w:val="3"/>
          </w:tcPr>
          <w:p>
            <w:pPr>
              <w:jc w:val="right"/>
              <w:ind w:right="48"/>
              <w:spacing w:after="0" w:line="149" w:lineRule="exact"/>
              <w:rPr>
                <w:sz w:val="20"/>
                <w:szCs w:val="20"/>
                <w:color w:val="auto"/>
              </w:rPr>
            </w:pPr>
            <w:r>
              <w:rPr>
                <w:rFonts w:ascii="Arial" w:cs="Arial" w:eastAsia="Arial" w:hAnsi="Arial"/>
                <w:sz w:val="14"/>
                <w:szCs w:val="14"/>
                <w:b w:val="1"/>
                <w:bCs w:val="1"/>
                <w:color w:val="auto"/>
              </w:rPr>
              <w:t>43.3%</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56.7%</w:t>
            </w:r>
          </w:p>
        </w:tc>
      </w:tr>
      <w:tr>
        <w:trPr>
          <w:trHeight w:val="149"/>
        </w:trPr>
        <w:tc>
          <w:tcPr>
            <w:tcW w:w="19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Corporate</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11,989</w:t>
            </w:r>
          </w:p>
        </w:tc>
        <w:tc>
          <w:tcPr>
            <w:tcW w:w="1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11,551</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11,581</w:t>
            </w:r>
          </w:p>
        </w:tc>
        <w:tc>
          <w:tcPr>
            <w:tcW w:w="800" w:type="dxa"/>
            <w:vAlign w:val="bottom"/>
            <w:gridSpan w:val="2"/>
            <w:shd w:val="clear" w:color="auto" w:fill="FDE9D9"/>
          </w:tcPr>
          <w:p>
            <w:pPr>
              <w:jc w:val="right"/>
              <w:ind w:right="48"/>
              <w:spacing w:after="0" w:line="149" w:lineRule="exact"/>
              <w:rPr>
                <w:sz w:val="20"/>
                <w:szCs w:val="20"/>
                <w:color w:val="auto"/>
              </w:rPr>
            </w:pPr>
            <w:r>
              <w:rPr>
                <w:rFonts w:ascii="Arial" w:cs="Arial" w:eastAsia="Arial" w:hAnsi="Arial"/>
                <w:sz w:val="14"/>
                <w:szCs w:val="14"/>
                <w:color w:val="auto"/>
              </w:rPr>
              <w:t>0.3%</w:t>
            </w:r>
          </w:p>
        </w:tc>
        <w:tc>
          <w:tcPr>
            <w:tcW w:w="700" w:type="dxa"/>
            <w:vAlign w:val="bottom"/>
            <w:gridSpan w:val="2"/>
            <w:shd w:val="clear" w:color="auto" w:fill="FDE9D9"/>
          </w:tcPr>
          <w:p>
            <w:pPr>
              <w:jc w:val="right"/>
              <w:spacing w:after="0" w:line="149" w:lineRule="exact"/>
              <w:rPr>
                <w:sz w:val="20"/>
                <w:szCs w:val="20"/>
                <w:color w:val="auto"/>
              </w:rPr>
            </w:pPr>
            <w:r>
              <w:rPr>
                <w:rFonts w:ascii="Arial" w:cs="Arial" w:eastAsia="Arial" w:hAnsi="Arial"/>
                <w:sz w:val="14"/>
                <w:szCs w:val="14"/>
                <w:color w:val="auto"/>
              </w:rPr>
              <w:t>-3.4%</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5,059</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4,857</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4,962</w:t>
            </w: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2.2%</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9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58.7%</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Middle-Market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7,880</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8,202</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8,295</w:t>
            </w: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2,607</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2,841</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2,867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0.9%</w:t>
            </w:r>
          </w:p>
        </w:tc>
        <w:tc>
          <w:tcPr>
            <w:tcW w:w="120" w:type="dxa"/>
            <w:vAlign w:val="bottom"/>
          </w:tcPr>
          <w:p>
            <w:pPr>
              <w:spacing w:after="0"/>
              <w:rPr>
                <w:sz w:val="12"/>
                <w:szCs w:val="12"/>
                <w:color w:val="auto"/>
              </w:rPr>
            </w:pP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10.0%</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46.6%</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53.4%</w:t>
            </w:r>
          </w:p>
        </w:tc>
      </w:tr>
      <w:tr>
        <w:trPr>
          <w:trHeight w:val="149"/>
        </w:trPr>
        <w:tc>
          <w:tcPr>
            <w:tcW w:w="19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Retail Banking</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31,358</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35,203</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36,289</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3.1%</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15.7%</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2,402</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2,265</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2,246</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-0.9%</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w:t>
            </w:r>
          </w:p>
        </w:tc>
        <w:tc>
          <w:tcPr>
            <w:tcW w:w="92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82.9%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17.1%</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SME - Business</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2,383</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2,490</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2,542</w:t>
            </w: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889</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834</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843</w:t>
            </w:r>
          </w:p>
        </w:tc>
        <w:tc>
          <w:tcPr>
            <w:tcW w:w="2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700" w:type="dxa"/>
            <w:vAlign w:val="bottom"/>
            <w:gridSpan w:val="2"/>
            <w:shd w:val="clear" w:color="auto" w:fill="FDE9D9"/>
          </w:tcPr>
          <w:p>
            <w:pPr>
              <w:jc w:val="right"/>
              <w:spacing w:after="0" w:line="149" w:lineRule="exact"/>
              <w:rPr>
                <w:sz w:val="20"/>
                <w:szCs w:val="20"/>
                <w:color w:val="auto"/>
              </w:rPr>
            </w:pPr>
            <w:r>
              <w:rPr>
                <w:rFonts w:ascii="Arial" w:cs="Arial" w:eastAsia="Arial" w:hAnsi="Arial"/>
                <w:sz w:val="14"/>
                <w:szCs w:val="14"/>
                <w:color w:val="auto"/>
              </w:rPr>
              <w:t>-5.2%</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47.6%</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52.4%</w:t>
            </w:r>
          </w:p>
        </w:tc>
      </w:tr>
      <w:tr>
        <w:trPr>
          <w:trHeight w:val="149"/>
        </w:trPr>
        <w:tc>
          <w:tcPr>
            <w:tcW w:w="19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SME - Pyme</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8,375</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9,161</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9,324</w:t>
            </w:r>
          </w:p>
        </w:tc>
        <w:tc>
          <w:tcPr>
            <w:tcW w:w="8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1.8%</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9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97.6%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r>
      <w:tr>
        <w:trPr>
          <w:trHeight w:val="130"/>
        </w:trPr>
        <w:tc>
          <w:tcPr>
            <w:tcW w:w="1960" w:type="dxa"/>
            <w:vAlign w:val="bottom"/>
          </w:tcPr>
          <w:p>
            <w:pPr>
              <w:ind w:left="340"/>
              <w:spacing w:after="0" w:line="130" w:lineRule="exact"/>
              <w:rPr>
                <w:sz w:val="20"/>
                <w:szCs w:val="20"/>
                <w:color w:val="auto"/>
              </w:rPr>
            </w:pPr>
            <w:r>
              <w:rPr>
                <w:rFonts w:ascii="Arial" w:cs="Arial" w:eastAsia="Arial" w:hAnsi="Arial"/>
                <w:sz w:val="14"/>
                <w:szCs w:val="14"/>
                <w:color w:val="auto"/>
              </w:rPr>
              <w:t>Mortgage</w:t>
            </w:r>
          </w:p>
        </w:tc>
        <w:tc>
          <w:tcPr>
            <w:tcW w:w="7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10,836</w:t>
            </w:r>
          </w:p>
        </w:tc>
        <w:tc>
          <w:tcPr>
            <w:tcW w:w="920" w:type="dxa"/>
            <w:vAlign w:val="bottom"/>
            <w:gridSpan w:val="3"/>
          </w:tcPr>
          <w:p>
            <w:pPr>
              <w:jc w:val="right"/>
              <w:ind w:right="200"/>
              <w:spacing w:after="0" w:line="130" w:lineRule="exact"/>
              <w:rPr>
                <w:sz w:val="20"/>
                <w:szCs w:val="20"/>
                <w:color w:val="auto"/>
              </w:rPr>
            </w:pPr>
            <w:r>
              <w:rPr>
                <w:rFonts w:ascii="Arial" w:cs="Arial" w:eastAsia="Arial" w:hAnsi="Arial"/>
                <w:sz w:val="14"/>
                <w:szCs w:val="14"/>
                <w:color w:val="auto"/>
              </w:rPr>
              <w:t>12,477</w:t>
            </w:r>
          </w:p>
        </w:tc>
        <w:tc>
          <w:tcPr>
            <w:tcW w:w="7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13,008</w:t>
            </w:r>
          </w:p>
        </w:tc>
        <w:tc>
          <w:tcPr>
            <w:tcW w:w="800" w:type="dxa"/>
            <w:vAlign w:val="bottom"/>
            <w:gridSpan w:val="2"/>
            <w:shd w:val="clear" w:color="auto" w:fill="C5D9F1"/>
          </w:tcPr>
          <w:p>
            <w:pPr>
              <w:jc w:val="right"/>
              <w:ind w:right="48"/>
              <w:spacing w:after="0" w:line="130" w:lineRule="exact"/>
              <w:rPr>
                <w:sz w:val="20"/>
                <w:szCs w:val="20"/>
                <w:color w:val="auto"/>
              </w:rPr>
            </w:pPr>
            <w:r>
              <w:rPr>
                <w:rFonts w:ascii="Arial" w:cs="Arial" w:eastAsia="Arial" w:hAnsi="Arial"/>
                <w:sz w:val="14"/>
                <w:szCs w:val="14"/>
                <w:color w:val="auto"/>
              </w:rPr>
              <w:t>4.3%</w:t>
            </w:r>
          </w:p>
        </w:tc>
        <w:tc>
          <w:tcPr>
            <w:tcW w:w="700" w:type="dxa"/>
            <w:vAlign w:val="bottom"/>
            <w:gridSpan w:val="2"/>
            <w:shd w:val="clear" w:color="auto" w:fill="C5D9F1"/>
          </w:tcPr>
          <w:p>
            <w:pPr>
              <w:jc w:val="right"/>
              <w:spacing w:after="0" w:line="130" w:lineRule="exact"/>
              <w:rPr>
                <w:sz w:val="20"/>
                <w:szCs w:val="20"/>
                <w:color w:val="auto"/>
              </w:rPr>
            </w:pPr>
            <w:r>
              <w:rPr>
                <w:rFonts w:ascii="Arial" w:cs="Arial" w:eastAsia="Arial" w:hAnsi="Arial"/>
                <w:sz w:val="14"/>
                <w:szCs w:val="14"/>
                <w:color w:val="auto"/>
              </w:rPr>
              <w:t>20.0%</w:t>
            </w:r>
          </w:p>
        </w:tc>
        <w:tc>
          <w:tcPr>
            <w:tcW w:w="6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884</w:t>
            </w:r>
          </w:p>
        </w:tc>
        <w:tc>
          <w:tcPr>
            <w:tcW w:w="20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Arial" w:cs="Arial" w:eastAsia="Arial" w:hAnsi="Arial"/>
                <w:sz w:val="14"/>
                <w:szCs w:val="14"/>
                <w:color w:val="auto"/>
              </w:rPr>
              <w:t>790</w:t>
            </w:r>
          </w:p>
        </w:tc>
        <w:tc>
          <w:tcPr>
            <w:tcW w:w="22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Arial" w:cs="Arial" w:eastAsia="Arial" w:hAnsi="Arial"/>
                <w:sz w:val="14"/>
                <w:szCs w:val="14"/>
                <w:color w:val="auto"/>
              </w:rPr>
              <w:t>762</w:t>
            </w:r>
          </w:p>
        </w:tc>
        <w:tc>
          <w:tcPr>
            <w:tcW w:w="200" w:type="dxa"/>
            <w:vAlign w:val="bottom"/>
          </w:tcPr>
          <w:p>
            <w:pPr>
              <w:spacing w:after="0"/>
              <w:rPr>
                <w:sz w:val="11"/>
                <w:szCs w:val="11"/>
                <w:color w:val="auto"/>
              </w:rPr>
            </w:pPr>
          </w:p>
        </w:tc>
        <w:tc>
          <w:tcPr>
            <w:tcW w:w="700" w:type="dxa"/>
            <w:vAlign w:val="bottom"/>
            <w:gridSpan w:val="2"/>
            <w:shd w:val="clear" w:color="auto" w:fill="FDE9D9"/>
          </w:tcPr>
          <w:p>
            <w:pPr>
              <w:jc w:val="right"/>
              <w:spacing w:after="0" w:line="130" w:lineRule="exact"/>
              <w:rPr>
                <w:sz w:val="20"/>
                <w:szCs w:val="20"/>
                <w:color w:val="auto"/>
              </w:rPr>
            </w:pPr>
            <w:r>
              <w:rPr>
                <w:rFonts w:ascii="Arial" w:cs="Arial" w:eastAsia="Arial" w:hAnsi="Arial"/>
                <w:sz w:val="14"/>
                <w:szCs w:val="14"/>
                <w:color w:val="auto"/>
              </w:rPr>
              <w:t>-3.6%</w:t>
            </w:r>
          </w:p>
        </w:tc>
        <w:tc>
          <w:tcPr>
            <w:tcW w:w="820" w:type="dxa"/>
            <w:vAlign w:val="bottom"/>
            <w:gridSpan w:val="3"/>
            <w:shd w:val="clear" w:color="auto" w:fill="FDE9D9"/>
          </w:tcPr>
          <w:p>
            <w:pPr>
              <w:jc w:val="right"/>
              <w:spacing w:after="0" w:line="130" w:lineRule="exact"/>
              <w:rPr>
                <w:sz w:val="20"/>
                <w:szCs w:val="20"/>
                <w:color w:val="auto"/>
              </w:rPr>
            </w:pPr>
            <w:r>
              <w:rPr>
                <w:rFonts w:ascii="Arial" w:cs="Arial" w:eastAsia="Arial" w:hAnsi="Arial"/>
                <w:sz w:val="14"/>
                <w:szCs w:val="14"/>
                <w:color w:val="auto"/>
              </w:rPr>
              <w:t>-13.8%</w:t>
            </w:r>
          </w:p>
        </w:tc>
        <w:tc>
          <w:tcPr>
            <w:tcW w:w="920" w:type="dxa"/>
            <w:vAlign w:val="bottom"/>
            <w:gridSpan w:val="3"/>
          </w:tcPr>
          <w:p>
            <w:pPr>
              <w:jc w:val="right"/>
              <w:ind w:right="68"/>
              <w:spacing w:after="0" w:line="130" w:lineRule="exact"/>
              <w:rPr>
                <w:sz w:val="20"/>
                <w:szCs w:val="20"/>
                <w:color w:val="auto"/>
              </w:rPr>
            </w:pPr>
            <w:r>
              <w:rPr>
                <w:rFonts w:ascii="Arial" w:cs="Arial" w:eastAsia="Arial" w:hAnsi="Arial"/>
                <w:sz w:val="14"/>
                <w:szCs w:val="14"/>
                <w:color w:val="auto"/>
              </w:rPr>
              <w:t>83.7%</w:t>
            </w:r>
          </w:p>
        </w:tc>
        <w:tc>
          <w:tcPr>
            <w:tcW w:w="100" w:type="dxa"/>
            <w:vAlign w:val="bottom"/>
          </w:tcPr>
          <w:p>
            <w:pPr>
              <w:spacing w:after="0"/>
              <w:rPr>
                <w:sz w:val="11"/>
                <w:szCs w:val="11"/>
                <w:color w:val="auto"/>
              </w:rPr>
            </w:pPr>
          </w:p>
        </w:tc>
        <w:tc>
          <w:tcPr>
            <w:tcW w:w="6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16.3%</w:t>
            </w:r>
          </w:p>
        </w:tc>
      </w:tr>
      <w:tr>
        <w:trPr>
          <w:trHeight w:val="167"/>
        </w:trPr>
        <w:tc>
          <w:tcPr>
            <w:tcW w:w="19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Consumer</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5,963</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6,478</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6,732</w:t>
            </w:r>
          </w:p>
        </w:tc>
        <w:tc>
          <w:tcPr>
            <w:tcW w:w="800" w:type="dxa"/>
            <w:vAlign w:val="bottom"/>
            <w:gridSpan w:val="2"/>
            <w:shd w:val="clear" w:color="auto" w:fill="C5D9F1"/>
          </w:tcPr>
          <w:p>
            <w:pPr>
              <w:jc w:val="right"/>
              <w:ind w:right="48"/>
              <w:spacing w:after="0" w:line="149" w:lineRule="exact"/>
              <w:rPr>
                <w:sz w:val="20"/>
                <w:szCs w:val="20"/>
                <w:color w:val="auto"/>
              </w:rPr>
            </w:pPr>
            <w:r>
              <w:rPr>
                <w:rFonts w:ascii="Arial" w:cs="Arial" w:eastAsia="Arial" w:hAnsi="Arial"/>
                <w:sz w:val="14"/>
                <w:szCs w:val="14"/>
                <w:color w:val="auto"/>
              </w:rPr>
              <w:t>3.9%</w:t>
            </w: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12.9%</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9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85.5%</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Credit Card</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3,801</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4,598</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4,684</w:t>
            </w: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1.9%</w:t>
            </w: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23.2%</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213</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226</w:t>
            </w:r>
          </w:p>
        </w:tc>
        <w:tc>
          <w:tcPr>
            <w:tcW w:w="2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17.6%</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86.2%</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w:t>
            </w:r>
          </w:p>
        </w:tc>
      </w:tr>
      <w:tr>
        <w:trPr>
          <w:trHeight w:val="149"/>
        </w:trPr>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Mibanco</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9,016</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9,364</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9,489</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1.3%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164</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164</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163</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FDE9D9"/>
          </w:tcPr>
          <w:p>
            <w:pPr>
              <w:jc w:val="right"/>
              <w:spacing w:after="0" w:line="149" w:lineRule="exact"/>
              <w:rPr>
                <w:sz w:val="20"/>
                <w:szCs w:val="20"/>
                <w:color w:val="auto"/>
              </w:rPr>
            </w:pPr>
            <w:r>
              <w:rPr>
                <w:rFonts w:ascii="Arial" w:cs="Arial" w:eastAsia="Arial" w:hAnsi="Arial"/>
                <w:sz w:val="14"/>
                <w:szCs w:val="14"/>
                <w:b w:val="1"/>
                <w:bCs w:val="1"/>
                <w:color w:val="auto"/>
              </w:rPr>
              <w:t>-0.8%</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-0.7%</w:t>
            </w:r>
          </w:p>
        </w:tc>
        <w:tc>
          <w:tcPr>
            <w:tcW w:w="92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94.6%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b w:val="1"/>
                <w:bCs w:val="1"/>
                <w:color w:val="auto"/>
              </w:rPr>
              <w:t>Bolivia</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700" w:type="dxa"/>
            <w:vAlign w:val="bottom"/>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2,008</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2,139</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2,181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12"/>
                <w:szCs w:val="12"/>
                <w:color w:val="auto"/>
              </w:rPr>
            </w:pP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8.6%</w:t>
            </w:r>
          </w:p>
        </w:tc>
        <w:tc>
          <w:tcPr>
            <w:tcW w:w="920" w:type="dxa"/>
            <w:vAlign w:val="bottom"/>
            <w:gridSpan w:val="3"/>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100.0%</w:t>
            </w:r>
          </w:p>
        </w:tc>
      </w:tr>
      <w:tr>
        <w:trPr>
          <w:trHeight w:val="162"/>
        </w:trPr>
        <w:tc>
          <w:tcPr>
            <w:tcW w:w="1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ASB</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789</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736</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762</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3.5%</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-3.5%</w:t>
            </w:r>
          </w:p>
        </w:tc>
        <w:tc>
          <w:tcPr>
            <w:tcW w:w="920" w:type="dxa"/>
            <w:vAlign w:val="bottom"/>
            <w:gridSpan w:val="3"/>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r>
      <w:tr>
        <w:trPr>
          <w:trHeight w:val="142"/>
        </w:trPr>
        <w:tc>
          <w:tcPr>
            <w:tcW w:w="1960" w:type="dxa"/>
            <w:vAlign w:val="bottom"/>
          </w:tcPr>
          <w:p>
            <w:pPr>
              <w:spacing w:after="0" w:line="142" w:lineRule="exact"/>
              <w:rPr>
                <w:sz w:val="20"/>
                <w:szCs w:val="20"/>
                <w:color w:val="auto"/>
              </w:rPr>
            </w:pPr>
            <w:r>
              <w:rPr>
                <w:rFonts w:ascii="Arial" w:cs="Arial" w:eastAsia="Arial" w:hAnsi="Arial"/>
                <w:sz w:val="14"/>
                <w:szCs w:val="14"/>
                <w:b w:val="1"/>
                <w:bCs w:val="1"/>
                <w:color w:val="auto"/>
              </w:rPr>
              <w:t>Total loans</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60,243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64,320</w:t>
            </w:r>
          </w:p>
        </w:tc>
        <w:tc>
          <w:tcPr>
            <w:tcW w:w="2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65,654</w:t>
            </w:r>
          </w:p>
        </w:tc>
        <w:tc>
          <w:tcPr>
            <w:tcW w:w="22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w:t>
            </w:r>
          </w:p>
        </w:tc>
        <w:tc>
          <w:tcPr>
            <w:tcW w:w="24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9.0</w:t>
            </w:r>
          </w:p>
        </w:tc>
        <w:tc>
          <w:tcPr>
            <w:tcW w:w="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13,030</w:t>
            </w:r>
          </w:p>
        </w:tc>
        <w:tc>
          <w:tcPr>
            <w:tcW w:w="2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13,002</w:t>
            </w:r>
          </w:p>
        </w:tc>
        <w:tc>
          <w:tcPr>
            <w:tcW w:w="22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13,181</w:t>
            </w:r>
          </w:p>
        </w:tc>
        <w:tc>
          <w:tcPr>
            <w:tcW w:w="2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w:t>
            </w:r>
          </w:p>
        </w:tc>
        <w:tc>
          <w:tcPr>
            <w:tcW w:w="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w:t>
            </w:r>
          </w:p>
        </w:tc>
        <w:tc>
          <w:tcPr>
            <w:tcW w:w="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60.0</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40.0</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r>
      <w:tr>
        <w:trPr>
          <w:trHeight w:val="20"/>
        </w:trPr>
        <w:tc>
          <w:tcPr>
            <w:tcW w:w="1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1148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1148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191"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Work out unit, and other banking.</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1Q19 figures differ from those previously reported due to an adjustment in average daily balances for Corporate Banking and ASB.</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analysis of loan evolution by currency indicates that QoQ and YoY growth in the Retail segment and at Mibanco were associated with growth in the LC portfolio. In contrast, expansion in Wholesale Banking and at other subsidiaries was attributable mainly to the FC portfolio.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YoY evolution of the level of dollarization by segment </w:t>
      </w:r>
      <w:r>
        <w:rPr>
          <w:rFonts w:ascii="Arial" w:cs="Arial" w:eastAsia="Arial" w:hAnsi="Arial"/>
          <w:sz w:val="30"/>
          <w:szCs w:val="30"/>
          <w:b w:val="1"/>
          <w:bCs w:val="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81915</wp:posOffset>
            </wp:positionV>
            <wp:extent cx="5831840" cy="1955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31840"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daily balances.</w:t>
      </w:r>
    </w:p>
    <w:p>
      <w:pPr>
        <w:spacing w:after="0" w:line="23" w:lineRule="exact"/>
        <w:rPr>
          <w:rFonts w:ascii="Arial" w:cs="Arial" w:eastAsia="Arial" w:hAnsi="Arial"/>
          <w:sz w:val="18"/>
          <w:szCs w:val="18"/>
          <w:color w:val="auto"/>
        </w:rPr>
      </w:pPr>
    </w:p>
    <w:p>
      <w:pPr>
        <w:ind w:right="20" w:firstLine="8"/>
        <w:spacing w:after="0" w:line="250" w:lineRule="auto"/>
        <w:tabs>
          <w:tab w:leader="none" w:pos="2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FC share of Credicorp’s loan portfolio is calculated including BCP Bolivia and ASB, however the chart shows only the loan books of BCP Stand-alone and Mibanco.</w:t>
      </w: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year with the historic maximum level of dollarization for Wholesale Banking was 2012, for Mibanco was 2016 and for the rest of segments was 2009.</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At BCP Stand-alone, the loan dollarization level fell YoY to situate at 37.3%. As expected, the Mortgage segment continues to register a downward trend for portfolio dollarization, falling from 21% in June 2018 to 16% in June 2019. The aforementioned was due to a high proportion of disbursements for mortgage loans in LC.</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It is important to note that, as indicated in the following figure, the percentage of loans that is highly exposed to FX risk on credit risk remains very low.</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FX risk on credit risk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154940</wp:posOffset>
            </wp:positionV>
            <wp:extent cx="3232785" cy="15862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2785"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BCRP de-dollarization plan at BCP Stand-alone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2014, BCRP set up a Program to reduce the dollarization level of the loan book in the Peruvian Banking System. As part of this Program, BCRP set some targets to reduce the loan balances in US Dollars progressively at the end of June 2015, December 2015, December 2016, December 2017, December 2018 and December 2019. The balances that are subject to reduction targets are the total FC portfolio, with some exceptions, and the balance of the joint mortgage and car loan portfolio. The balance required at the end of December 2019 is as follows:</w:t>
      </w:r>
    </w:p>
    <w:p>
      <w:pPr>
        <w:spacing w:after="0" w:line="187" w:lineRule="exact"/>
        <w:rPr>
          <w:sz w:val="20"/>
          <w:szCs w:val="20"/>
          <w:color w:val="auto"/>
        </w:rPr>
      </w:pPr>
    </w:p>
    <w:p>
      <w:pPr>
        <w:ind w:left="980" w:hanging="648"/>
        <w:spacing w:after="0" w:line="342"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the total portfolio in FC, the goal set for 2018 will continue to apply. In this context, the balance at the end of December 2019 must represent no more than 80% of the total loan balance in FC reported at the end of September 2013 (excluding loans that meet certain requirements).</w:t>
      </w:r>
    </w:p>
    <w:p>
      <w:pPr>
        <w:spacing w:after="0" w:line="123" w:lineRule="exact"/>
        <w:rPr>
          <w:rFonts w:ascii="Arial" w:cs="Arial" w:eastAsia="Arial" w:hAnsi="Arial"/>
          <w:sz w:val="16"/>
          <w:szCs w:val="16"/>
          <w:color w:val="auto"/>
        </w:rPr>
      </w:pPr>
    </w:p>
    <w:p>
      <w:pPr>
        <w:ind w:left="980" w:right="20"/>
        <w:spacing w:after="0" w:line="277" w:lineRule="auto"/>
        <w:rPr>
          <w:rFonts w:ascii="Arial" w:cs="Arial" w:eastAsia="Arial" w:hAnsi="Arial"/>
          <w:sz w:val="16"/>
          <w:szCs w:val="16"/>
          <w:color w:val="auto"/>
        </w:rPr>
      </w:pPr>
      <w:r>
        <w:rPr>
          <w:rFonts w:ascii="Arial" w:cs="Arial" w:eastAsia="Arial" w:hAnsi="Arial"/>
          <w:sz w:val="18"/>
          <w:szCs w:val="18"/>
          <w:color w:val="auto"/>
        </w:rPr>
        <w:t>At the end of June 2019, BCP Stand-alone already registered a compliance level of 105% with regard to the goal set by BCRP for December 2019.</w:t>
      </w:r>
    </w:p>
    <w:p>
      <w:pPr>
        <w:spacing w:after="0" w:line="170" w:lineRule="exact"/>
        <w:rPr>
          <w:rFonts w:ascii="Arial" w:cs="Arial" w:eastAsia="Arial" w:hAnsi="Arial"/>
          <w:sz w:val="16"/>
          <w:szCs w:val="16"/>
          <w:color w:val="auto"/>
        </w:rPr>
      </w:pPr>
    </w:p>
    <w:p>
      <w:pPr>
        <w:jc w:val="both"/>
        <w:ind w:left="980" w:hanging="648"/>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the combined FC Mortgage and Car portfolio, the target was adjusted in December 2018 to stipulate that the balance at the end of December of 2019 must represent no more than 40% of the balance of the combined Mortgage and Car portfolio reported at the end of February 2013. Every year, the target will be adjusted by 10% to reach a minimum of 5% of Net Equity.</w:t>
      </w:r>
    </w:p>
    <w:p>
      <w:pPr>
        <w:spacing w:after="0" w:line="181" w:lineRule="exact"/>
        <w:rPr>
          <w:rFonts w:ascii="Arial" w:cs="Arial" w:eastAsia="Arial" w:hAnsi="Arial"/>
          <w:sz w:val="18"/>
          <w:szCs w:val="18"/>
          <w:color w:val="auto"/>
        </w:rPr>
      </w:pPr>
    </w:p>
    <w:p>
      <w:pPr>
        <w:ind w:left="980" w:right="20"/>
        <w:spacing w:after="0" w:line="277" w:lineRule="auto"/>
        <w:rPr>
          <w:rFonts w:ascii="Arial" w:cs="Arial" w:eastAsia="Arial" w:hAnsi="Arial"/>
          <w:sz w:val="18"/>
          <w:szCs w:val="18"/>
          <w:color w:val="auto"/>
        </w:rPr>
      </w:pPr>
      <w:r>
        <w:rPr>
          <w:rFonts w:ascii="Arial" w:cs="Arial" w:eastAsia="Arial" w:hAnsi="Arial"/>
          <w:sz w:val="18"/>
          <w:szCs w:val="18"/>
          <w:color w:val="auto"/>
        </w:rPr>
        <w:t>At the end of June 2019, BCP Stand-alone had achieved a compliance level of 84% with regard to BCRP’s dedollarization 2019 goal for the combined FC Mortgage and Car portfolio.</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1.2.4. Market share in loans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46115" cy="1431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4611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shares are different that previously reported because now includes non-performing loans in the sample.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June 2018 figures for the Business segment are as of May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Peruvian Financial System</w:t>
      </w:r>
    </w:p>
    <w:p>
      <w:pPr>
        <w:spacing w:after="0" w:line="22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 xml:space="preserve">In May 2019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continued to lead the Peruvian financial system</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with a share (MS) of 28.7%, which was significantly higher than the MS of 17.6% posted by its closest competitor. This level is similar to that obtained in 1Q19 and 2Q18. </w:t>
      </w:r>
      <w:r>
        <w:rPr>
          <w:rFonts w:ascii="Arial" w:cs="Arial" w:eastAsia="Arial" w:hAnsi="Arial"/>
          <w:sz w:val="18"/>
          <w:szCs w:val="18"/>
          <w:b w:val="1"/>
          <w:bCs w:val="1"/>
          <w:color w:val="auto"/>
        </w:rPr>
        <w:t>Mibanco’s</w:t>
      </w:r>
      <w:r>
        <w:rPr>
          <w:rFonts w:ascii="Arial" w:cs="Arial" w:eastAsia="Arial" w:hAnsi="Arial"/>
          <w:sz w:val="18"/>
          <w:szCs w:val="18"/>
          <w:color w:val="auto"/>
        </w:rPr>
        <w:t xml:space="preserve"> MS has held steady at 3.2% of loans in comparison with the level posted in 1Q19, but with a slight reduction AaA, compared to the MS of 3.3% registered in 2Q18 relative to the Peruvian financial system.</w:t>
      </w:r>
    </w:p>
    <w:p>
      <w:pPr>
        <w:spacing w:after="0" w:line="20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Within Wholesale Banking, the Corporate Banking segment reported a -30 bps decline in its MS compared to the level posted in 1Q19, while Middle Market Banking registered an increase of 10 bps. The YoY evolution shows that Corporate Banking registered a decrease of -50 bps in its MS while Middle Market Banking evolved positively, increasing its share by +70 bps. It is important note that both of these segments continue to lead in their respective markets.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Within Retail Banking, BCP Stand-alone continued to lead the market in the mortgage segment. In the SME-Business segment, it tied with a competitor but posted noteworthy increases over time (27.0% in May 2018 vs 30.3% in March 2019 and 31.3% in May 2019). In the Consumer and Credit Card segments, BCP Stand-alone ranks second in the market.</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In the SME-Pyme segment,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continued to lead the market with an MS of 22.3%. BCP Stand-alone ranks second in this segment, with an MS of 11.4%.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Bolivian Financial System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Finally, </w:t>
      </w:r>
      <w:r>
        <w:rPr>
          <w:rFonts w:ascii="Arial" w:cs="Arial" w:eastAsia="Arial" w:hAnsi="Arial"/>
          <w:sz w:val="18"/>
          <w:szCs w:val="18"/>
          <w:b w:val="1"/>
          <w:bCs w:val="1"/>
          <w:color w:val="auto"/>
        </w:rPr>
        <w:t>BCP Bolivia’s</w:t>
      </w:r>
      <w:r>
        <w:rPr>
          <w:rFonts w:ascii="Arial" w:cs="Arial" w:eastAsia="Arial" w:hAnsi="Arial"/>
          <w:sz w:val="18"/>
          <w:szCs w:val="18"/>
          <w:color w:val="auto"/>
        </w:rPr>
        <w:t xml:space="preserve"> MS fell slightly YoY, but remained stable QoQ. This subsidiary continues to rank fifth in the Bolivian financial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8097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8"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26"/>
          <w:szCs w:val="26"/>
          <w:color w:val="auto"/>
          <w:vertAlign w:val="superscript"/>
        </w:rPr>
      </w:pPr>
      <w:r>
        <w:rPr>
          <w:rFonts w:ascii="Arial" w:cs="Arial" w:eastAsia="Arial" w:hAnsi="Arial"/>
          <w:sz w:val="16"/>
          <w:szCs w:val="16"/>
          <w:color w:val="auto"/>
        </w:rPr>
        <w:t>Includes Multipurpose Banks, Finance Companies, Municipal and Rural Banks, EDPYMEs and Leasing and Mortgages Companies.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Funding 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At the end of 2Q19, total funding increased QoQ and YoY. QoQ growth was primarily attributable to an increase in the level of Due to banks and correspondents and BCRP Instruments, which offset the slight reduction in deposits and obligations due to a decrease in the volume of demand deposits. In the YoY analysis, deposits and obligations, which represent Credicorp’s main source of funding, continued to increase. Growth was driven primarily by savings deposits at BCP Stand-alone, which represent one of the lowest-cost sources of funding, and secondly by time deposits, also at the main banking subsidiary.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Funding</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As of</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ind w:left="580"/>
              <w:spacing w:after="0"/>
              <w:rPr>
                <w:sz w:val="20"/>
                <w:szCs w:val="20"/>
                <w:color w:val="auto"/>
              </w:rPr>
            </w:pPr>
            <w:r>
              <w:rPr>
                <w:rFonts w:ascii="Arial" w:cs="Arial" w:eastAsia="Arial" w:hAnsi="Arial"/>
                <w:sz w:val="18"/>
                <w:szCs w:val="18"/>
                <w:b w:val="1"/>
                <w:bCs w:val="1"/>
                <w:color w:val="auto"/>
                <w:w w:val="90"/>
              </w:rPr>
              <w:t>% change</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Jun 18</w:t>
            </w:r>
          </w:p>
        </w:tc>
        <w:tc>
          <w:tcPr>
            <w:tcW w:w="1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 19</w:t>
            </w: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Jun 19</w:t>
            </w:r>
          </w:p>
        </w:tc>
        <w:tc>
          <w:tcPr>
            <w:tcW w:w="1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5"/>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29,283,024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31,695,558</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29,863,335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Saving deposits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29,709,658</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32,968,147</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32,604,309</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30,762,161</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31,399,811</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32,472,216</w:t>
            </w: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Severance indemnity deposits</w:t>
            </w:r>
          </w:p>
        </w:tc>
        <w:tc>
          <w:tcPr>
            <w:tcW w:w="1000" w:type="dxa"/>
            <w:vAlign w:val="bottom"/>
          </w:tcPr>
          <w:p>
            <w:pPr>
              <w:jc w:val="right"/>
              <w:spacing w:after="0"/>
              <w:rPr>
                <w:sz w:val="20"/>
                <w:szCs w:val="20"/>
                <w:color w:val="auto"/>
              </w:rPr>
            </w:pPr>
            <w:r>
              <w:rPr>
                <w:rFonts w:ascii="Arial" w:cs="Arial" w:eastAsia="Arial" w:hAnsi="Arial"/>
                <w:sz w:val="18"/>
                <w:szCs w:val="18"/>
                <w:color w:val="auto"/>
              </w:rPr>
              <w:t>7,275,824</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7,074,344</w:t>
            </w:r>
          </w:p>
        </w:tc>
        <w:tc>
          <w:tcPr>
            <w:tcW w:w="1000" w:type="dxa"/>
            <w:vAlign w:val="bottom"/>
          </w:tcPr>
          <w:p>
            <w:pPr>
              <w:jc w:val="right"/>
              <w:spacing w:after="0"/>
              <w:rPr>
                <w:sz w:val="20"/>
                <w:szCs w:val="20"/>
                <w:color w:val="auto"/>
              </w:rPr>
            </w:pPr>
            <w:r>
              <w:rPr>
                <w:rFonts w:ascii="Arial" w:cs="Arial" w:eastAsia="Arial" w:hAnsi="Arial"/>
                <w:sz w:val="18"/>
                <w:szCs w:val="18"/>
                <w:color w:val="auto"/>
              </w:rPr>
              <w:t>7,609,448</w:t>
            </w:r>
          </w:p>
        </w:tc>
        <w:tc>
          <w:tcPr>
            <w:tcW w:w="18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513,568</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589,397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607,736</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10"/>
        </w:trPr>
        <w:tc>
          <w:tcPr>
            <w:tcW w:w="4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97,544,235</w:t>
            </w:r>
          </w:p>
        </w:tc>
        <w:tc>
          <w:tcPr>
            <w:tcW w:w="1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103,727,257</w:t>
            </w:r>
          </w:p>
        </w:tc>
        <w:tc>
          <w:tcPr>
            <w:tcW w:w="2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103,157,044</w:t>
            </w:r>
          </w:p>
        </w:tc>
        <w:tc>
          <w:tcPr>
            <w:tcW w:w="18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8,057,222</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7,219,120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9,222,278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000" w:type="dxa"/>
            <w:vAlign w:val="bottom"/>
          </w:tcPr>
          <w:p>
            <w:pPr>
              <w:jc w:val="right"/>
              <w:spacing w:after="0"/>
              <w:rPr>
                <w:sz w:val="20"/>
                <w:szCs w:val="20"/>
                <w:color w:val="auto"/>
              </w:rPr>
            </w:pPr>
            <w:r>
              <w:rPr>
                <w:rFonts w:ascii="Arial" w:cs="Arial" w:eastAsia="Arial" w:hAnsi="Arial"/>
                <w:sz w:val="18"/>
                <w:szCs w:val="18"/>
                <w:color w:val="auto"/>
              </w:rPr>
              <w:t>4,652,218</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4,984,192</w:t>
            </w:r>
          </w:p>
        </w:tc>
        <w:tc>
          <w:tcPr>
            <w:tcW w:w="1000" w:type="dxa"/>
            <w:vAlign w:val="bottom"/>
          </w:tcPr>
          <w:p>
            <w:pPr>
              <w:jc w:val="right"/>
              <w:spacing w:after="0"/>
              <w:rPr>
                <w:sz w:val="20"/>
                <w:szCs w:val="20"/>
                <w:color w:val="auto"/>
              </w:rPr>
            </w:pPr>
            <w:r>
              <w:rPr>
                <w:rFonts w:ascii="Arial" w:cs="Arial" w:eastAsia="Arial" w:hAnsi="Arial"/>
                <w:sz w:val="18"/>
                <w:szCs w:val="18"/>
                <w:color w:val="auto"/>
              </w:rPr>
              <w:t>6,304,186</w:t>
            </w:r>
          </w:p>
        </w:tc>
        <w:tc>
          <w:tcPr>
            <w:tcW w:w="18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35.5%</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agreements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2,637,361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2,324,385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2,455,665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Bonds and notes issued</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15,283,893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15,472,882</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15,058,760</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4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funding</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128,174,929</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133,727,836</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136,197,933</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Funding Structure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the funding structure and cost – BAP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142875</wp:posOffset>
            </wp:positionV>
            <wp:extent cx="5951855" cy="25044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51855"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evolution of the funding structure and cost at Credicorp is calculated with the quarter-end balances. The funding structure mainly reflects:</w:t>
      </w:r>
    </w:p>
    <w:p>
      <w:pPr>
        <w:spacing w:after="0" w:line="225" w:lineRule="exact"/>
        <w:rPr>
          <w:sz w:val="20"/>
          <w:szCs w:val="20"/>
          <w:color w:val="auto"/>
        </w:rPr>
      </w:pPr>
    </w:p>
    <w:p>
      <w:pPr>
        <w:ind w:left="980" w:hanging="648"/>
        <w:spacing w:after="0" w:line="342"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on-going importance of deposits as the main source of funding given that its cost falls below that of other funding sources. Although the share of deposits in total funding fell slightly this quarter, it is still significantly higher than that of other funding sources with a share of 75.7%.</w:t>
      </w:r>
    </w:p>
    <w:p>
      <w:pPr>
        <w:spacing w:after="0" w:line="123" w:lineRule="exact"/>
        <w:rPr>
          <w:rFonts w:ascii="Arial" w:cs="Arial" w:eastAsia="Arial" w:hAnsi="Arial"/>
          <w:sz w:val="16"/>
          <w:szCs w:val="16"/>
          <w:color w:val="auto"/>
        </w:rPr>
      </w:pPr>
    </w:p>
    <w:p>
      <w:pPr>
        <w:jc w:val="both"/>
        <w:ind w:left="980" w:hanging="648"/>
        <w:spacing w:after="0" w:line="264"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deposit mix continued to register significant shares for savings and demand deposits, which represented 60.6% of total deposits at the end of Jun 19 (at the end of June 18, these deposits represented 60.5%). Both types of deposits are considered lower-cost alternatives within the deposit mix.</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ind w:left="980" w:hanging="648"/>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Within other funding sources, the QoQ and YoY analysis posted an increase in the volume of BCRP Instruments, which had been registering on-going reductions in volume since 2015. In 2015, these instruments represented 9.6% of total funding but by Jun 19, the figure had fallen to 4.6%. (vs 3.6% in Jun 18 and 3.7% de Mar 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 is important to note that Credicorp has maintained a relatively stable cost of funding since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2.2. Deposits</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As of</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ind w:left="580"/>
              <w:spacing w:after="0"/>
              <w:rPr>
                <w:sz w:val="20"/>
                <w:szCs w:val="20"/>
                <w:color w:val="auto"/>
              </w:rPr>
            </w:pPr>
            <w:r>
              <w:rPr>
                <w:rFonts w:ascii="Arial" w:cs="Arial" w:eastAsia="Arial" w:hAnsi="Arial"/>
                <w:sz w:val="18"/>
                <w:szCs w:val="18"/>
                <w:b w:val="1"/>
                <w:bCs w:val="1"/>
                <w:color w:val="auto"/>
                <w:w w:val="90"/>
              </w:rPr>
              <w:t>% change</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Jun 18</w:t>
            </w:r>
          </w:p>
        </w:tc>
        <w:tc>
          <w:tcPr>
            <w:tcW w:w="1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 19</w:t>
            </w: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Jun 19</w:t>
            </w:r>
          </w:p>
        </w:tc>
        <w:tc>
          <w:tcPr>
            <w:tcW w:w="1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5"/>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29,283,024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31,695,558</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29,863,335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Saving deposits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29,709,658</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32,968,147</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32,604,309</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30,762,161</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31,399,811</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32,472,216</w:t>
            </w: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Severance indemnity deposits</w:t>
            </w:r>
          </w:p>
        </w:tc>
        <w:tc>
          <w:tcPr>
            <w:tcW w:w="900" w:type="dxa"/>
            <w:vAlign w:val="bottom"/>
          </w:tcPr>
          <w:p>
            <w:pPr>
              <w:jc w:val="right"/>
              <w:spacing w:after="0"/>
              <w:rPr>
                <w:sz w:val="20"/>
                <w:szCs w:val="20"/>
                <w:color w:val="auto"/>
              </w:rPr>
            </w:pPr>
            <w:r>
              <w:rPr>
                <w:rFonts w:ascii="Arial" w:cs="Arial" w:eastAsia="Arial" w:hAnsi="Arial"/>
                <w:sz w:val="18"/>
                <w:szCs w:val="18"/>
                <w:color w:val="auto"/>
              </w:rPr>
              <w:t>7,275,824</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7,074,344</w:t>
            </w:r>
          </w:p>
        </w:tc>
        <w:tc>
          <w:tcPr>
            <w:tcW w:w="1000" w:type="dxa"/>
            <w:vAlign w:val="bottom"/>
          </w:tcPr>
          <w:p>
            <w:pPr>
              <w:jc w:val="right"/>
              <w:spacing w:after="0"/>
              <w:rPr>
                <w:sz w:val="20"/>
                <w:szCs w:val="20"/>
                <w:color w:val="auto"/>
              </w:rPr>
            </w:pPr>
            <w:r>
              <w:rPr>
                <w:rFonts w:ascii="Arial" w:cs="Arial" w:eastAsia="Arial" w:hAnsi="Arial"/>
                <w:sz w:val="18"/>
                <w:szCs w:val="18"/>
                <w:color w:val="auto"/>
              </w:rPr>
              <w:t>7,609,448</w:t>
            </w:r>
          </w:p>
        </w:tc>
        <w:tc>
          <w:tcPr>
            <w:tcW w:w="18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513,568</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589,397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607,736</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10"/>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97,544,235</w:t>
            </w:r>
          </w:p>
        </w:tc>
        <w:tc>
          <w:tcPr>
            <w:tcW w:w="1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103,727,257</w:t>
            </w:r>
          </w:p>
        </w:tc>
        <w:tc>
          <w:tcPr>
            <w:tcW w:w="2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103,157,044</w:t>
            </w:r>
          </w:p>
        </w:tc>
        <w:tc>
          <w:tcPr>
            <w:tcW w:w="1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-0.5</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Deposits and obligations </w:t>
      </w:r>
      <w:r>
        <w:rPr>
          <w:rFonts w:ascii="Arial" w:cs="Arial" w:eastAsia="Arial" w:hAnsi="Arial"/>
          <w:sz w:val="18"/>
          <w:szCs w:val="18"/>
          <w:color w:val="auto"/>
        </w:rPr>
        <w:t>registered a slight decline of -0.5% QoQ. The QoQ evolution of the deposit mix shows:</w:t>
      </w:r>
    </w:p>
    <w:p>
      <w:pPr>
        <w:spacing w:after="0" w:line="225" w:lineRule="exact"/>
        <w:rPr>
          <w:sz w:val="20"/>
          <w:szCs w:val="20"/>
          <w:color w:val="auto"/>
        </w:rPr>
      </w:pPr>
    </w:p>
    <w:p>
      <w:pPr>
        <w:ind w:left="980" w:hanging="648"/>
        <w:spacing w:after="0" w:line="282"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contraction of </w:t>
      </w:r>
      <w:r>
        <w:rPr>
          <w:rFonts w:ascii="Arial" w:cs="Arial" w:eastAsia="Arial" w:hAnsi="Arial"/>
          <w:sz w:val="18"/>
          <w:szCs w:val="18"/>
          <w:b w:val="1"/>
          <w:bCs w:val="1"/>
          <w:color w:val="auto"/>
        </w:rPr>
        <w:t>demand deposits</w:t>
      </w:r>
      <w:r>
        <w:rPr>
          <w:rFonts w:ascii="Arial" w:cs="Arial" w:eastAsia="Arial" w:hAnsi="Arial"/>
          <w:sz w:val="18"/>
          <w:szCs w:val="18"/>
          <w:color w:val="auto"/>
        </w:rPr>
        <w:t>, mainly at BCP Stand-alone due to a drop in the balances of current accounts for Wholesale Banking clients. It is important to note that this decline was seen primarily in non-interest bearing demand deposits</w:t>
      </w:r>
    </w:p>
    <w:p>
      <w:pPr>
        <w:spacing w:after="0" w:line="161" w:lineRule="exact"/>
        <w:rPr>
          <w:rFonts w:ascii="Arial" w:cs="Arial" w:eastAsia="Arial" w:hAnsi="Arial"/>
          <w:sz w:val="18"/>
          <w:szCs w:val="18"/>
          <w:color w:val="auto"/>
        </w:rPr>
      </w:pPr>
    </w:p>
    <w:p>
      <w:pPr>
        <w:ind w:left="980" w:hanging="648"/>
        <w:spacing w:after="0" w:line="282"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 slight decline in </w:t>
      </w:r>
      <w:r>
        <w:rPr>
          <w:rFonts w:ascii="Arial" w:cs="Arial" w:eastAsia="Arial" w:hAnsi="Arial"/>
          <w:sz w:val="18"/>
          <w:szCs w:val="18"/>
          <w:b w:val="1"/>
          <w:bCs w:val="1"/>
          <w:color w:val="auto"/>
        </w:rPr>
        <w:t>savings deposits</w:t>
      </w:r>
      <w:r>
        <w:rPr>
          <w:rFonts w:ascii="Arial" w:cs="Arial" w:eastAsia="Arial" w:hAnsi="Arial"/>
          <w:sz w:val="18"/>
          <w:szCs w:val="18"/>
          <w:color w:val="auto"/>
        </w:rPr>
        <w:t xml:space="preserve"> at BCP Stand-alone, which was primarily due to a drop in balances in savings accounts held by natural persons and companies in the financial system and to a lesser degree, at BCP Bolivia.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attenuated by the QoQ increase in:</w:t>
      </w:r>
    </w:p>
    <w:p>
      <w:pPr>
        <w:spacing w:after="0" w:line="221" w:lineRule="exact"/>
        <w:rPr>
          <w:sz w:val="20"/>
          <w:szCs w:val="20"/>
          <w:color w:val="auto"/>
        </w:rPr>
      </w:pPr>
    </w:p>
    <w:p>
      <w:pPr>
        <w:jc w:val="both"/>
        <w:ind w:left="980" w:hanging="648"/>
        <w:spacing w:after="0" w:line="266"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Time deposits</w:t>
      </w:r>
      <w:r>
        <w:rPr>
          <w:rFonts w:ascii="Arial" w:cs="Arial" w:eastAsia="Arial" w:hAnsi="Arial"/>
          <w:sz w:val="18"/>
          <w:szCs w:val="18"/>
          <w:color w:val="auto"/>
        </w:rPr>
        <w:t>, the increase was generated primarily by deposits in BCP Stand-alone through an increase in Middle Market account balances</w:t>
      </w:r>
      <w:r>
        <w:rPr>
          <w:rFonts w:ascii="Arial" w:cs="Arial" w:eastAsia="Arial" w:hAnsi="Arial"/>
          <w:sz w:val="18"/>
          <w:szCs w:val="18"/>
          <w:b w:val="1"/>
          <w:bCs w:val="1"/>
          <w:color w:val="auto"/>
        </w:rPr>
        <w:t xml:space="preserve"> </w:t>
      </w:r>
      <w:r>
        <w:rPr>
          <w:rFonts w:ascii="Arial" w:cs="Arial" w:eastAsia="Arial" w:hAnsi="Arial"/>
          <w:sz w:val="18"/>
          <w:szCs w:val="18"/>
          <w:color w:val="auto"/>
        </w:rPr>
        <w:t>and, to a lesser extent, in ASB deposits. It is important to note that growth in time deposits was mainly in FC, which offset a slight drop in time deposits in LC.</w:t>
      </w:r>
    </w:p>
    <w:p>
      <w:pPr>
        <w:spacing w:after="0" w:line="176" w:lineRule="exact"/>
        <w:rPr>
          <w:rFonts w:ascii="Arial" w:cs="Arial" w:eastAsia="Arial" w:hAnsi="Arial"/>
          <w:sz w:val="18"/>
          <w:szCs w:val="18"/>
          <w:color w:val="auto"/>
        </w:rPr>
      </w:pPr>
    </w:p>
    <w:p>
      <w:pPr>
        <w:ind w:left="980" w:hanging="648"/>
        <w:spacing w:after="0" w:line="28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Severance Indemnity deposits</w:t>
      </w:r>
      <w:r>
        <w:rPr>
          <w:rFonts w:ascii="Arial" w:cs="Arial" w:eastAsia="Arial" w:hAnsi="Arial"/>
          <w:sz w:val="18"/>
          <w:szCs w:val="18"/>
          <w:color w:val="auto"/>
        </w:rPr>
        <w:t>, after employers deposited, in May 2019, the first of two severance payments that must be made by law every</w:t>
      </w:r>
      <w:r>
        <w:rPr>
          <w:rFonts w:ascii="Arial" w:cs="Arial" w:eastAsia="Arial" w:hAnsi="Arial"/>
          <w:sz w:val="18"/>
          <w:szCs w:val="18"/>
          <w:b w:val="1"/>
          <w:bCs w:val="1"/>
          <w:color w:val="auto"/>
        </w:rPr>
        <w:t xml:space="preserve"> </w:t>
      </w:r>
      <w:r>
        <w:rPr>
          <w:rFonts w:ascii="Arial" w:cs="Arial" w:eastAsia="Arial" w:hAnsi="Arial"/>
          <w:sz w:val="18"/>
          <w:szCs w:val="18"/>
          <w:color w:val="auto"/>
        </w:rPr>
        <w:t>year.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YoY terms</w:t>
      </w:r>
      <w:r>
        <w:rPr>
          <w:rFonts w:ascii="Arial" w:cs="Arial" w:eastAsia="Arial" w:hAnsi="Arial"/>
          <w:sz w:val="18"/>
          <w:szCs w:val="18"/>
          <w:color w:val="auto"/>
        </w:rPr>
        <w:t xml:space="preserve">, the total of </w:t>
      </w:r>
      <w:r>
        <w:rPr>
          <w:rFonts w:ascii="Arial" w:cs="Arial" w:eastAsia="Arial" w:hAnsi="Arial"/>
          <w:sz w:val="18"/>
          <w:szCs w:val="18"/>
          <w:b w:val="1"/>
          <w:bCs w:val="1"/>
          <w:color w:val="auto"/>
        </w:rPr>
        <w:t>deposits and obligations</w:t>
      </w:r>
      <w:r>
        <w:rPr>
          <w:rFonts w:ascii="Arial" w:cs="Arial" w:eastAsia="Arial" w:hAnsi="Arial"/>
          <w:sz w:val="18"/>
          <w:szCs w:val="18"/>
          <w:color w:val="auto"/>
        </w:rPr>
        <w:t xml:space="preserve"> increased +5.8%, mainly due to:</w:t>
      </w:r>
    </w:p>
    <w:p>
      <w:pPr>
        <w:spacing w:after="0" w:line="229" w:lineRule="exact"/>
        <w:rPr>
          <w:sz w:val="20"/>
          <w:szCs w:val="20"/>
          <w:color w:val="auto"/>
        </w:rPr>
      </w:pPr>
    </w:p>
    <w:p>
      <w:pPr>
        <w:jc w:val="both"/>
        <w:ind w:left="980" w:hanging="648"/>
        <w:spacing w:after="0" w:line="259"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Growth in savings deposits; this was generated by campaigns to capture deposits, mainly through digital channels, which have good acceptance and use levels among BCP Stand-alone’s clients. One of the digital venues that tops client preferences is Yape, which permits transfers among its one million users (milestone hit in 2Q19) and interbank transfers. Additionally, clients continue to open more savings accounts through Kiosks.</w:t>
      </w:r>
    </w:p>
    <w:p>
      <w:pPr>
        <w:spacing w:after="0" w:line="186" w:lineRule="exact"/>
        <w:rPr>
          <w:rFonts w:ascii="Arial" w:cs="Arial" w:eastAsia="Arial" w:hAnsi="Arial"/>
          <w:sz w:val="18"/>
          <w:szCs w:val="18"/>
          <w:color w:val="auto"/>
        </w:rPr>
      </w:pPr>
    </w:p>
    <w:p>
      <w:pPr>
        <w:ind w:left="980" w:right="20" w:hanging="648"/>
        <w:spacing w:after="0" w:line="308"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increase in time deposits due to an increase in deposits by Corporate Banking clients, mainly in LC. Time deposits at Mibanco also grew, although to a lesser extent. This growth was associated with an increase in retail deposits following a campaign to capture funding.</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2.2.1. Deposits: dollarization level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Dollarization Level of Deposits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BAP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 Q-end balances.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 Deposit Dollarization 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746115" cy="1252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46115"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dollarization level of Credicorp’s deposits increased </w:t>
      </w:r>
      <w:r>
        <w:rPr>
          <w:rFonts w:ascii="Arial" w:cs="Arial" w:eastAsia="Arial" w:hAnsi="Arial"/>
          <w:sz w:val="18"/>
          <w:szCs w:val="18"/>
          <w:b w:val="1"/>
          <w:bCs w:val="1"/>
          <w:color w:val="auto"/>
        </w:rPr>
        <w:t>QoQ</w:t>
      </w:r>
      <w:r>
        <w:rPr>
          <w:rFonts w:ascii="Arial" w:cs="Arial" w:eastAsia="Arial" w:hAnsi="Arial"/>
          <w:sz w:val="18"/>
          <w:szCs w:val="18"/>
          <w:color w:val="auto"/>
        </w:rPr>
        <w:t xml:space="preserve"> due to growth in FC volumes and a drop in LC volumes.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Growth in the FC volume was associated primarily with time deposits. The drop in LC deposits was associated with a decrease in the level of demand deposits and, to a lesser extent, with a drop in time deposits.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 evolution</w:t>
      </w:r>
      <w:r>
        <w:rPr>
          <w:rFonts w:ascii="Arial" w:cs="Arial" w:eastAsia="Arial" w:hAnsi="Arial"/>
          <w:sz w:val="18"/>
          <w:szCs w:val="18"/>
          <w:color w:val="auto"/>
        </w:rPr>
        <w:t xml:space="preserve"> registered an opposite trend to that seen QoQ given that dollarization fell across deposits in the year-to-year comparison. This was attributable to the fact that all deposit types in LC increased, led by savings deposits and time deposits. On the other hand, the volume of deposits in FC contracted in all types of deposits, except for savings deposits. The aforementioned scenario reflects Credicorp’s focus on maintaining an adequate asset and liability match by currency that is aligned with Credicorp’s appetite for risk.</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2.2.2. Market share in Deposits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154940</wp:posOffset>
            </wp:positionV>
            <wp:extent cx="5746115" cy="2675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46115"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Source: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Peruvian Financial System</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the end of May 2019, the banking subsidiaries of Credicorp in Peru, BCP and Mibanco, registered an MS of 29.3% and 2.8% (compared to 29.5% and 2.9% in March 2019, respectively). Credicorp maintained leadership in total deposits while its closest competitor trailed with an MS of 19.0%.</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YoY analysis, the MS of BCP Stand-alone at the end of June 2019 decreased slightly in comparison to the figure reported at the end of June 2018. This was primarily due to a decrease in the MS for demand deposits and severance indemnity deposits. The MS at Mibanco decreased YoY (2.8% May 19 vs 3.0% Jun 18) due to a contraction in the MS of time deposits, which fell from 6.4% in June 18 to 6.1% in May 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Bolivian Financial System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Bolivia continued to rank fifth in the Bolivian financial system with an MS of 9.6% at the end of May 2019 versus 9.9% at the end of March 2019. In the YoY analysis, the MS fell in comparison to June 2018 (10.0%).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2.3. Other funding sources</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Other funding sources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 of</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w w:val="90"/>
              </w:rPr>
              <w:t>% change</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Jun 18</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Mar 19</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Jun 19</w:t>
            </w:r>
          </w:p>
        </w:tc>
        <w:tc>
          <w:tcPr>
            <w:tcW w:w="1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8,057,222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7,219,120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9,222,278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27.7%</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900" w:type="dxa"/>
            <w:vAlign w:val="bottom"/>
          </w:tcPr>
          <w:p>
            <w:pPr>
              <w:jc w:val="right"/>
              <w:spacing w:after="0"/>
              <w:rPr>
                <w:sz w:val="20"/>
                <w:szCs w:val="20"/>
                <w:color w:val="auto"/>
              </w:rPr>
            </w:pPr>
            <w:r>
              <w:rPr>
                <w:rFonts w:ascii="Arial" w:cs="Arial" w:eastAsia="Arial" w:hAnsi="Arial"/>
                <w:sz w:val="18"/>
                <w:szCs w:val="18"/>
                <w:color w:val="auto"/>
              </w:rPr>
              <w:t>4,652,218</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4,984,192</w:t>
            </w:r>
          </w:p>
        </w:tc>
        <w:tc>
          <w:tcPr>
            <w:tcW w:w="900" w:type="dxa"/>
            <w:vAlign w:val="bottom"/>
          </w:tcPr>
          <w:p>
            <w:pPr>
              <w:jc w:val="right"/>
              <w:spacing w:after="0"/>
              <w:rPr>
                <w:sz w:val="20"/>
                <w:szCs w:val="20"/>
                <w:color w:val="auto"/>
              </w:rPr>
            </w:pPr>
            <w:r>
              <w:rPr>
                <w:rFonts w:ascii="Arial" w:cs="Arial" w:eastAsia="Arial" w:hAnsi="Arial"/>
                <w:sz w:val="18"/>
                <w:szCs w:val="18"/>
                <w:color w:val="auto"/>
              </w:rPr>
              <w:t>6,304,186</w:t>
            </w:r>
          </w:p>
        </w:tc>
        <w:tc>
          <w:tcPr>
            <w:tcW w:w="18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35.5%</w:t>
            </w: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agreements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2,637,361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2,324,385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2,455,665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Bonds and notes issued</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15,283,893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15,472,882</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15,058,760</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4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funding sources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30,630,694</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30,000,579</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33,040,889</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19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Total of other funding sources</w:t>
      </w:r>
      <w:r>
        <w:rPr>
          <w:rFonts w:ascii="Arial" w:cs="Arial" w:eastAsia="Arial" w:hAnsi="Arial"/>
          <w:sz w:val="18"/>
          <w:szCs w:val="18"/>
          <w:color w:val="auto"/>
        </w:rPr>
        <w:t xml:space="preserve"> increased +10.1% QoQ, which was mainly attributable to an increase in the level of Due to banks and correspondents and BCRP Instruments.</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The level of </w:t>
      </w:r>
      <w:r>
        <w:rPr>
          <w:rFonts w:ascii="Arial" w:cs="Arial" w:eastAsia="Arial" w:hAnsi="Arial"/>
          <w:sz w:val="18"/>
          <w:szCs w:val="18"/>
          <w:b w:val="1"/>
          <w:bCs w:val="1"/>
          <w:color w:val="auto"/>
        </w:rPr>
        <w:t>Due to banks and correspondents</w:t>
      </w:r>
      <w:r>
        <w:rPr>
          <w:rFonts w:ascii="Arial" w:cs="Arial" w:eastAsia="Arial" w:hAnsi="Arial"/>
          <w:sz w:val="18"/>
          <w:szCs w:val="18"/>
          <w:color w:val="auto"/>
        </w:rPr>
        <w:t xml:space="preserve"> rose due to an increase in debt held with foreign financial institutions, which was mainly attributable to BCP Stand-alone and in FC.</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ind w:right="5700"/>
        <w:spacing w:after="0" w:line="266" w:lineRule="auto"/>
        <w:rPr>
          <w:sz w:val="20"/>
          <w:szCs w:val="20"/>
          <w:color w:val="auto"/>
        </w:rPr>
      </w:pPr>
      <w:r>
        <w:rPr>
          <w:rFonts w:ascii="Arial" w:cs="Arial" w:eastAsia="Arial" w:hAnsi="Arial"/>
          <w:sz w:val="18"/>
          <w:szCs w:val="18"/>
          <w:b w:val="1"/>
          <w:bCs w:val="1"/>
          <w:color w:val="auto"/>
        </w:rPr>
        <w:t xml:space="preserve">BCRP Instruments </w:t>
      </w:r>
      <w:r>
        <w:rPr>
          <w:rFonts w:ascii="Arial" w:cs="Arial" w:eastAsia="Arial" w:hAnsi="Arial"/>
          <w:sz w:val="18"/>
          <w:szCs w:val="18"/>
          <w:color w:val="auto"/>
        </w:rPr>
        <w:t>grew QoQ due to an increase in the level of regular repos</w:t>
      </w:r>
      <w:r>
        <w:rPr>
          <w:rFonts w:ascii="Arial" w:cs="Arial" w:eastAsia="Arial" w:hAnsi="Arial"/>
          <w:sz w:val="18"/>
          <w:szCs w:val="18"/>
          <w:b w:val="1"/>
          <w:bCs w:val="1"/>
          <w:color w:val="auto"/>
        </w:rPr>
        <w:t xml:space="preserve"> </w:t>
      </w:r>
      <w:r>
        <w:rPr>
          <w:rFonts w:ascii="Arial" w:cs="Arial" w:eastAsia="Arial" w:hAnsi="Arial"/>
          <w:sz w:val="18"/>
          <w:szCs w:val="18"/>
          <w:color w:val="auto"/>
        </w:rPr>
        <w:t>with BCRP, which offset the drop in substitution and expansion repos following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-424815</wp:posOffset>
            </wp:positionV>
            <wp:extent cx="2538730" cy="1612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38730"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Repurchase agreements </w:t>
      </w:r>
      <w:r>
        <w:rPr>
          <w:rFonts w:ascii="Arial" w:cs="Arial" w:eastAsia="Arial" w:hAnsi="Arial"/>
          <w:sz w:val="18"/>
          <w:szCs w:val="18"/>
          <w:color w:val="auto"/>
        </w:rPr>
        <w:t>increased QoQ due to new agreements for certificate of deposits (CDs) and regular repos.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Bonds and subordinated debt </w:t>
      </w:r>
      <w:r>
        <w:rPr>
          <w:rFonts w:ascii="Arial" w:cs="Arial" w:eastAsia="Arial" w:hAnsi="Arial"/>
          <w:sz w:val="18"/>
          <w:szCs w:val="18"/>
          <w:color w:val="auto"/>
        </w:rPr>
        <w:t>reported a slight contraction QoQ due to a decrease in the volume of corporate bonds at BCP Stand-alone. The reduction is</w:t>
      </w:r>
      <w:r>
        <w:rPr>
          <w:rFonts w:ascii="Arial" w:cs="Arial" w:eastAsia="Arial" w:hAnsi="Arial"/>
          <w:sz w:val="18"/>
          <w:szCs w:val="18"/>
          <w:b w:val="1"/>
          <w:bCs w:val="1"/>
          <w:color w:val="auto"/>
        </w:rPr>
        <w:t xml:space="preserve"> </w:t>
      </w:r>
      <w:r>
        <w:rPr>
          <w:rFonts w:ascii="Arial" w:cs="Arial" w:eastAsia="Arial" w:hAnsi="Arial"/>
          <w:sz w:val="18"/>
          <w:szCs w:val="18"/>
          <w:color w:val="auto"/>
        </w:rPr>
        <w:t>also associated with a decrease in the bond value in FC (re-expressed in soles) after the negative effect of the exchange rate.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evolution</w:t>
      </w:r>
      <w:r>
        <w:rPr>
          <w:rFonts w:ascii="Arial" w:cs="Arial" w:eastAsia="Arial" w:hAnsi="Arial"/>
          <w:sz w:val="18"/>
          <w:szCs w:val="18"/>
          <w:color w:val="auto"/>
        </w:rPr>
        <w:t xml:space="preserve"> other funding sources grew +7.9%, following the same trend found in the QoQ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Loan / Deposit (L/D)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 Deposit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154940</wp:posOffset>
            </wp:positionV>
            <wp:extent cx="3747770" cy="14490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4777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L/D ratio at Credicorp increased QoQ to situate at 106.0% given that loan growth outpaced the drop in deposits.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analysis by subsidiary, the same trend is visible for BCP Stand-alone and Mibanco. The QoQ increase in the L/D at BCP Stand-alone was due to a drop in the volume of demand deposits and QoQ growth in loans (+1.0%), mainly in Retail Banking. In the case of Mibanco, QoQ growth in L/D was attributable to a reduction in the level of deposits- mainly time deposits- and to the QoQ increase in the loan portfolio (+0.6%).</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YoY analysis, there was a slight increase in the L/D ratio at Credicorp and Mibanco, which was associated with the fact that on-going growth in loans outpaced the increase posted for deposits (7.7% vs. 5.8% respectively in Credicorp).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BCP Stand-alone registered a drop in its L/D ratio after growth in deposits, particularly in savings and time deposits, outpaced loan growth.</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Loan / Deposit Ratio by Currency</w:t>
      </w:r>
    </w:p>
    <w:p>
      <w:pPr>
        <w:spacing w:after="0" w:line="27" w:lineRule="exact"/>
        <w:rPr>
          <w:sz w:val="20"/>
          <w:szCs w:val="20"/>
          <w:color w:val="auto"/>
        </w:rPr>
      </w:pPr>
    </w:p>
    <w:p>
      <w:pPr>
        <w:ind w:left="2200"/>
        <w:spacing w:after="0"/>
        <w:tabs>
          <w:tab w:leader="none" w:pos="7920" w:val="left"/>
        </w:tabs>
        <w:rPr>
          <w:sz w:val="20"/>
          <w:szCs w:val="20"/>
          <w:color w:val="auto"/>
        </w:rPr>
      </w:pPr>
      <w:r>
        <w:rPr>
          <w:rFonts w:ascii="Arial" w:cs="Arial" w:eastAsia="Arial" w:hAnsi="Arial"/>
          <w:sz w:val="18"/>
          <w:szCs w:val="18"/>
          <w:b w:val="1"/>
          <w:bCs w:val="1"/>
          <w:color w:val="auto"/>
        </w:rPr>
        <w:t>Local Currency</w:t>
      </w:r>
      <w:r>
        <w:rPr>
          <w:sz w:val="20"/>
          <w:szCs w:val="20"/>
          <w:color w:val="auto"/>
        </w:rPr>
        <w:tab/>
      </w:r>
      <w:r>
        <w:rPr>
          <w:rFonts w:ascii="Arial" w:cs="Arial" w:eastAsia="Arial" w:hAnsi="Arial"/>
          <w:sz w:val="16"/>
          <w:szCs w:val="16"/>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612255" cy="14236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QoQ analysis by currency, the L/D ratio in LC at Credicorp rose, which was attributable to a drop in deposits in LC, mainly at BCP Stand-alone and to a lesser extent, at Mibanco. The aforementioned was accentuated by growth in LC loans. The L/D in FC registered a slight decline QoQ, reflected by an increase in FC deposits and a contraction in FC loans at both BCP Stand-alone and Mibanco.</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YoY analysis, a drop in the L/D ratio in FC at Credicorp is evident. This decline was mainly attributable an increase in the deposit level in FC. The L/D ratio in FC posted a slight increase that reflected a drop in the volume of deposits on one hand and loan growth on the other.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Funding Cost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Funding Cost – Credicorp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90170</wp:posOffset>
            </wp:positionV>
            <wp:extent cx="4168140" cy="22212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6814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260" w:firstLine="1285"/>
        <w:spacing w:after="0" w:line="501" w:lineRule="auto"/>
        <w:tabs>
          <w:tab w:leader="none" w:pos="1532"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funding cost by currency is calculated with the average of period-beginning and period-end balances. The funding cost at Credicorp increased QoQ and YoY. The QoQ evolution shows:</w:t>
      </w:r>
    </w:p>
    <w:p>
      <w:pPr>
        <w:ind w:left="980" w:right="20" w:hanging="648"/>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Growth in the cost of funding in FC (+12 bps) due to growth in volumes and rates for time deposits and to higher expenses on bonds, particularly at BCP Stand-alone.</w:t>
      </w:r>
    </w:p>
    <w:p>
      <w:pPr>
        <w:spacing w:after="0" w:line="170"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Slight growth in the total funding cost (+4 bps) was due primarily to higher expenses for deposits, which was generated mainly by the volume effect and deposit mix and to higher spending for debt service due to the volume effect. The reduction in the volume of demand deposits, which represent one of the main sources of lower-cost funding, also had a negative impact on the funding cost.</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both"/>
        <w:ind w:left="980" w:hanging="648"/>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reduction in the cost of funding in LC (-5 bps), which was primarily due to a decrease in interest expenses on bonds and notes issued due to a drop in the volume of corporate bonds. This attenuated the effect of higher expenses for Severance Indemnity deposits (volume effect due to payments in May).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there was an increase in the funding cost due to:</w:t>
      </w:r>
    </w:p>
    <w:p>
      <w:pPr>
        <w:spacing w:after="0" w:line="225" w:lineRule="exact"/>
        <w:rPr>
          <w:sz w:val="20"/>
          <w:szCs w:val="20"/>
          <w:color w:val="auto"/>
        </w:rPr>
      </w:pPr>
    </w:p>
    <w:p>
      <w:pPr>
        <w:ind w:left="980" w:hanging="648"/>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in the volume of other sources of higher-cost funding such as BCRP Instruments and Due to banks and correspondents, which offset the drop in Bonds and notes issued and in Repurchase agreements.</w:t>
      </w:r>
    </w:p>
    <w:p>
      <w:pPr>
        <w:spacing w:after="0" w:line="170"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recomposition of the funding mix, which reflected an increase in the share of Due to banks and correspondents in total funding (from 6.3% Jun 18 to 6.8% Jun 19), which led to a reduction in the share of deposits (from 76.1% Jun 18 to 75.7% Jun 19).</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increase in the volume of time deposits of 5.6% YoY.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funding cost per subsidiary is depicted in the following figure: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Funding Cost by subsidiary–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154940</wp:posOffset>
            </wp:positionV>
            <wp:extent cx="4493895" cy="17411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93895"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80" w:hanging="648"/>
        <w:spacing w:after="0" w:line="282"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trend reported for the funding cost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mirrored that of Credicorp, posting higher volumes of time deposits and Severance Indemnity deposits as well an increase in debt with foreign institutions and in BCRP Instruments.</w:t>
      </w:r>
    </w:p>
    <w:p>
      <w:pPr>
        <w:spacing w:after="0" w:line="161" w:lineRule="exact"/>
        <w:rPr>
          <w:rFonts w:ascii="Arial" w:cs="Arial" w:eastAsia="Arial" w:hAnsi="Arial"/>
          <w:sz w:val="18"/>
          <w:szCs w:val="18"/>
          <w:color w:val="auto"/>
        </w:rPr>
      </w:pPr>
    </w:p>
    <w:p>
      <w:pPr>
        <w:ind w:left="980" w:right="20" w:hanging="648"/>
        <w:spacing w:after="0" w:line="282"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Mibanco’s </w:t>
      </w:r>
      <w:r>
        <w:rPr>
          <w:rFonts w:ascii="Arial" w:cs="Arial" w:eastAsia="Arial" w:hAnsi="Arial"/>
          <w:sz w:val="18"/>
          <w:szCs w:val="18"/>
          <w:color w:val="auto"/>
        </w:rPr>
        <w:t>funding cost reported growth QoQ and YoY in line with its strategy to capture more funding from natural persons by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competitive rates.</w:t>
      </w:r>
    </w:p>
    <w:p>
      <w:pPr>
        <w:spacing w:after="0" w:line="161" w:lineRule="exact"/>
        <w:rPr>
          <w:rFonts w:ascii="Arial" w:cs="Arial" w:eastAsia="Arial" w:hAnsi="Arial"/>
          <w:sz w:val="18"/>
          <w:szCs w:val="18"/>
          <w:color w:val="auto"/>
        </w:rPr>
      </w:pPr>
    </w:p>
    <w:p>
      <w:pPr>
        <w:ind w:left="980" w:hanging="648"/>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The cost of funding at </w:t>
      </w:r>
      <w:r>
        <w:rPr>
          <w:rFonts w:ascii="Arial" w:cs="Arial" w:eastAsia="Arial" w:hAnsi="Arial"/>
          <w:sz w:val="16"/>
          <w:szCs w:val="16"/>
          <w:b w:val="1"/>
          <w:bCs w:val="1"/>
          <w:color w:val="auto"/>
        </w:rPr>
        <w:t>BCP Bolivia</w:t>
      </w:r>
      <w:r>
        <w:rPr>
          <w:rFonts w:ascii="Arial" w:cs="Arial" w:eastAsia="Arial" w:hAnsi="Arial"/>
          <w:sz w:val="16"/>
          <w:szCs w:val="16"/>
          <w:color w:val="auto"/>
        </w:rPr>
        <w:t xml:space="preserve"> increased QoQ and YoY, which was primarily associated with higher expenses for interest on time deposits.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Portfolio quality and Provisions for loan losses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CofR at Credicorp increased 23 bps QoQ and 42 bps YoY. This was due primarily to an increase in provision requirements for Retail Banking and, to a lesser extent, for Mibanco. Delinquency ratios deteriorated slightly QoQ but YoY, they remained stable. In accumulated terms, the CofR at Credicorp rose alongside growth in provisions requirements in Retail Banking and, to a lesser extent, at Mibanco.</w:t>
      </w:r>
    </w:p>
    <w:p>
      <w:pPr>
        <w:sectPr>
          <w:pgSz w:w="11900" w:h="16838" w:orient="portrait"/>
          <w:cols w:equalWidth="0" w:num="1">
            <w:col w:w="11420"/>
          </w:cols>
          <w:pgMar w:left="240" w:top="904" w:right="239" w:bottom="1440" w:gutter="0" w:footer="0" w:header="0"/>
        </w:sectPr>
      </w:pPr>
    </w:p>
    <w:p>
      <w:pPr>
        <w:spacing w:after="0" w:line="177"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Quarterly evolution of</w:t>
      </w:r>
    </w:p>
    <w:p>
      <w:pPr>
        <w:spacing w:after="0" w:line="50" w:lineRule="exact"/>
        <w:rPr>
          <w:sz w:val="20"/>
          <w:szCs w:val="20"/>
          <w:color w:val="auto"/>
        </w:rPr>
      </w:pPr>
    </w:p>
    <w:p>
      <w:pPr>
        <w:ind w:left="1980"/>
        <w:spacing w:after="0"/>
        <w:rPr>
          <w:sz w:val="20"/>
          <w:szCs w:val="20"/>
          <w:color w:val="auto"/>
        </w:rPr>
      </w:pPr>
      <w:r>
        <w:rPr>
          <w:rFonts w:ascii="Arial" w:cs="Arial" w:eastAsia="Arial" w:hAnsi="Arial"/>
          <w:sz w:val="16"/>
          <w:szCs w:val="16"/>
          <w:b w:val="1"/>
          <w:bCs w:val="1"/>
          <w:color w:val="auto"/>
        </w:rPr>
        <w:t>the Cost of Risk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157480</wp:posOffset>
            </wp:positionV>
            <wp:extent cx="3001645" cy="11233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01645" cy="1123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1840"/>
        <w:spacing w:after="0"/>
        <w:rPr>
          <w:sz w:val="20"/>
          <w:szCs w:val="20"/>
          <w:color w:val="auto"/>
        </w:rPr>
      </w:pPr>
      <w:r>
        <w:rPr>
          <w:rFonts w:ascii="Arial" w:cs="Arial" w:eastAsia="Arial" w:hAnsi="Arial"/>
          <w:sz w:val="16"/>
          <w:szCs w:val="16"/>
          <w:b w:val="1"/>
          <w:bCs w:val="1"/>
          <w:color w:val="auto"/>
        </w:rPr>
        <w:t>Year-to-date evolution of</w:t>
      </w:r>
    </w:p>
    <w:p>
      <w:pPr>
        <w:spacing w:after="0" w:line="50" w:lineRule="exact"/>
        <w:rPr>
          <w:sz w:val="20"/>
          <w:szCs w:val="20"/>
          <w:color w:val="auto"/>
        </w:rPr>
      </w:pPr>
    </w:p>
    <w:p>
      <w:pPr>
        <w:jc w:val="center"/>
        <w:ind w:right="1840"/>
        <w:spacing w:after="0"/>
        <w:rPr>
          <w:sz w:val="20"/>
          <w:szCs w:val="20"/>
          <w:color w:val="auto"/>
        </w:rPr>
      </w:pPr>
      <w:r>
        <w:rPr>
          <w:rFonts w:ascii="Arial" w:cs="Arial" w:eastAsia="Arial" w:hAnsi="Arial"/>
          <w:sz w:val="18"/>
          <w:szCs w:val="18"/>
          <w:b w:val="1"/>
          <w:bCs w:val="1"/>
          <w:color w:val="auto"/>
        </w:rPr>
        <w:t>the Cost of Risk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-848995</wp:posOffset>
            </wp:positionH>
            <wp:positionV relativeFrom="paragraph">
              <wp:posOffset>142875</wp:posOffset>
            </wp:positionV>
            <wp:extent cx="2864485" cy="9347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64485" cy="9347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60" w:space="720"/>
            <w:col w:w="374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(1) Includes BCP Bolivia, ASB and eliminations for consolidation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Provisions for loan losses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w w:val="99"/>
              </w:rPr>
              <w:t>Provision for credit losses on loan portfolio, net of recoveries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ind w:left="480"/>
              <w:spacing w:after="0"/>
              <w:rPr>
                <w:sz w:val="20"/>
                <w:szCs w:val="20"/>
                <w:color w:val="auto"/>
              </w:rPr>
            </w:pPr>
            <w:r>
              <w:rPr>
                <w:rFonts w:ascii="Arial" w:cs="Arial" w:eastAsia="Arial" w:hAnsi="Arial"/>
                <w:sz w:val="14"/>
                <w:szCs w:val="14"/>
                <w:b w:val="1"/>
                <w:bCs w:val="1"/>
                <w:color w:val="auto"/>
                <w:w w:val="91"/>
              </w:rPr>
              <w:t>% change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ind w:left="620"/>
              <w:spacing w:after="0"/>
              <w:rPr>
                <w:sz w:val="20"/>
                <w:szCs w:val="20"/>
                <w:color w:val="auto"/>
              </w:rPr>
            </w:pPr>
            <w:r>
              <w:rPr>
                <w:rFonts w:ascii="Arial" w:cs="Arial" w:eastAsia="Arial" w:hAnsi="Arial"/>
                <w:sz w:val="14"/>
                <w:szCs w:val="14"/>
                <w:b w:val="1"/>
                <w:bCs w:val="1"/>
                <w:color w:val="auto"/>
              </w:rPr>
              <w:t>YTD</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 change</w:t>
            </w:r>
          </w:p>
        </w:tc>
      </w:tr>
      <w:tr>
        <w:trPr>
          <w:trHeight w:val="171"/>
        </w:trPr>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2Q18</w:t>
            </w: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1Q19</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2Q19</w:t>
            </w: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Jun 18</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9"/>
              </w:rPr>
              <w:t>Jun 19</w:t>
            </w:r>
          </w:p>
        </w:tc>
        <w:tc>
          <w:tcPr>
            <w:tcW w:w="2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Jun 19 / Jun 18</w:t>
            </w:r>
          </w:p>
        </w:tc>
        <w:tc>
          <w:tcPr>
            <w:tcW w:w="140" w:type="dxa"/>
            <w:vAlign w:val="bottom"/>
            <w:tcBorders>
              <w:bottom w:val="single" w:sz="8" w:color="CCEEFF"/>
            </w:tcBorders>
          </w:tcPr>
          <w:p>
            <w:pPr>
              <w:spacing w:after="0"/>
              <w:rPr>
                <w:sz w:val="14"/>
                <w:szCs w:val="14"/>
                <w:color w:val="auto"/>
              </w:rPr>
            </w:pPr>
          </w:p>
        </w:tc>
      </w:tr>
      <w:tr>
        <w:trPr>
          <w:trHeight w:val="142"/>
        </w:trPr>
        <w:tc>
          <w:tcPr>
            <w:tcW w:w="4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Gross provision for credit losses on loan portfolio</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(385,130)</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(453,285)</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(510,045)</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12.5%</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32.4%</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(824,003)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(963,330)</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16.9%</w:t>
            </w:r>
          </w:p>
        </w:tc>
      </w:tr>
      <w:tr>
        <w:trPr>
          <w:trHeight w:val="149"/>
        </w:trPr>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Recoveries of written-off loans</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71,959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70,074</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61,751</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-11.9%</w:t>
            </w:r>
          </w:p>
        </w:tc>
        <w:tc>
          <w:tcPr>
            <w:tcW w:w="1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-14.2%</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139,808</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131,825</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w:t>
            </w:r>
          </w:p>
        </w:tc>
      </w:tr>
      <w:tr>
        <w:trPr>
          <w:trHeight w:val="162"/>
        </w:trPr>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9"/>
              </w:rPr>
              <w:t>Provision for credit losses on loan portfolio, net of recoveries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(313,171)</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(383,211)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(448,294)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17.0%</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43.1%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(684,195)</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(831,505)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21.5%</w:t>
            </w:r>
          </w:p>
        </w:tc>
      </w:tr>
      <w:tr>
        <w:trPr>
          <w:trHeight w:val="20"/>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Provisions for credit losses on loan portfolio net recoveries posted growth of 12.5%, 32.4% and 16.9% QoQ, YoY and YTD respectively. The aforementioned was mainly due to the evolution of provisions in the following segments:</w:t>
      </w:r>
    </w:p>
    <w:p>
      <w:pPr>
        <w:spacing w:after="0" w:line="170" w:lineRule="exact"/>
        <w:rPr>
          <w:sz w:val="20"/>
          <w:szCs w:val="20"/>
          <w:color w:val="auto"/>
        </w:rPr>
      </w:pPr>
    </w:p>
    <w:p>
      <w:pPr>
        <w:jc w:val="both"/>
        <w:ind w:left="980" w:hanging="648"/>
        <w:spacing w:after="0" w:line="264"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Retail Banking: There was an increase in provisions as a result of consumer banking growth that has been accompanied by formal job market improvement or economic acceleration. We have already taken origination and collections adjustment to prevent further deterioration on the portfolio.</w:t>
      </w:r>
    </w:p>
    <w:p>
      <w:pPr>
        <w:spacing w:after="0" w:line="181"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Mibanco: The Microlending business at Mibanco also presented a deterioration as a result of the economic deceleration. We are already taking origination and collections measures to adjust risk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risk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Quarter</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ind w:left="480"/>
              <w:spacing w:after="0"/>
              <w:rPr>
                <w:sz w:val="20"/>
                <w:szCs w:val="20"/>
                <w:color w:val="auto"/>
              </w:rPr>
            </w:pPr>
            <w:r>
              <w:rPr>
                <w:rFonts w:ascii="Arial" w:cs="Arial" w:eastAsia="Arial" w:hAnsi="Arial"/>
                <w:sz w:val="14"/>
                <w:szCs w:val="14"/>
                <w:b w:val="1"/>
                <w:bCs w:val="1"/>
                <w:color w:val="auto"/>
                <w:w w:val="91"/>
              </w:rPr>
              <w:t>% change</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ind w:left="620"/>
              <w:spacing w:after="0"/>
              <w:rPr>
                <w:sz w:val="20"/>
                <w:szCs w:val="20"/>
                <w:color w:val="auto"/>
              </w:rPr>
            </w:pPr>
            <w:r>
              <w:rPr>
                <w:rFonts w:ascii="Arial" w:cs="Arial" w:eastAsia="Arial" w:hAnsi="Arial"/>
                <w:sz w:val="14"/>
                <w:szCs w:val="14"/>
                <w:b w:val="1"/>
                <w:bCs w:val="1"/>
                <w:color w:val="auto"/>
              </w:rPr>
              <w:t>YTD</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r>
      <w:tr>
        <w:trPr>
          <w:trHeight w:val="171"/>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Cost of risk and Provisions</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2Q18</w:t>
            </w: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1Q19</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2Q19</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QoQ</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87"/>
              </w:rPr>
              <w:t>YoY</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Jun 18</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 19</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Jun 19 / Jun 18</w:t>
            </w:r>
          </w:p>
        </w:tc>
        <w:tc>
          <w:tcPr>
            <w:tcW w:w="80" w:type="dxa"/>
            <w:vAlign w:val="bottom"/>
            <w:tcBorders>
              <w:bottom w:val="single" w:sz="8" w:color="CCEEFF"/>
            </w:tcBorders>
          </w:tcPr>
          <w:p>
            <w:pPr>
              <w:spacing w:after="0"/>
              <w:rPr>
                <w:sz w:val="14"/>
                <w:szCs w:val="14"/>
                <w:color w:val="auto"/>
              </w:rPr>
            </w:pPr>
          </w:p>
        </w:tc>
      </w:tr>
      <w:tr>
        <w:trPr>
          <w:trHeight w:val="183"/>
        </w:trPr>
        <w:tc>
          <w:tcPr>
            <w:tcW w:w="398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1.64%</w:t>
            </w: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23 bps</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 bps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1.33%</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1.52%</w:t>
            </w:r>
          </w:p>
        </w:tc>
        <w:tc>
          <w:tcPr>
            <w:tcW w:w="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 bps</w:t>
            </w:r>
          </w:p>
        </w:tc>
      </w:tr>
      <w:tr>
        <w:trPr>
          <w:trHeight w:val="126"/>
        </w:trPr>
        <w:tc>
          <w:tcPr>
            <w:tcW w:w="408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97"/>
              </w:rPr>
              <w:t>Provision for credit losses on loan portfolio, net of recoveries /</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85"/>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15.2%</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17.5%</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19.9%</w:t>
            </w:r>
          </w:p>
        </w:tc>
        <w:tc>
          <w:tcPr>
            <w:tcW w:w="1100" w:type="dxa"/>
            <w:vAlign w:val="bottom"/>
            <w:gridSpan w:val="3"/>
          </w:tcPr>
          <w:p>
            <w:pPr>
              <w:jc w:val="right"/>
              <w:ind w:right="420"/>
              <w:spacing w:after="0"/>
              <w:rPr>
                <w:sz w:val="20"/>
                <w:szCs w:val="20"/>
                <w:color w:val="auto"/>
              </w:rPr>
            </w:pPr>
            <w:r>
              <w:rPr>
                <w:rFonts w:ascii="Arial" w:cs="Arial" w:eastAsia="Arial" w:hAnsi="Arial"/>
                <w:sz w:val="14"/>
                <w:szCs w:val="14"/>
                <w:color w:val="auto"/>
              </w:rPr>
              <w:t>240 bps</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92"/>
              </w:rPr>
              <w:t>470 bps</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18.7%</w:t>
            </w:r>
          </w:p>
        </w:tc>
        <w:tc>
          <w:tcPr>
            <w:tcW w:w="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130 bps</w:t>
            </w:r>
          </w:p>
        </w:tc>
      </w:tr>
      <w:tr>
        <w:trPr>
          <w:trHeight w:val="20"/>
        </w:trPr>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Annualized Provision for credit losses on loan portfolio, net of recoveries / Total loans.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this scenario, the CofR at Credicorp fell QoQ, YoY and in accumulated terms given that the increase in provisions was not offset by the increase in loans.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3.2. Portfolio Quality: Delinquency ratios</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Portfolio quality and Delinquency ratios</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3"/>
          </w:tcPr>
          <w:p>
            <w:pPr>
              <w:ind w:left="740"/>
              <w:spacing w:after="0"/>
              <w:rPr>
                <w:sz w:val="20"/>
                <w:szCs w:val="20"/>
                <w:color w:val="auto"/>
              </w:rPr>
            </w:pPr>
            <w:r>
              <w:rPr>
                <w:rFonts w:ascii="Arial" w:cs="Arial" w:eastAsia="Arial" w:hAnsi="Arial"/>
                <w:sz w:val="18"/>
                <w:szCs w:val="18"/>
                <w:b w:val="1"/>
                <w:bCs w:val="1"/>
                <w:color w:val="auto"/>
                <w:w w:val="95"/>
              </w:rPr>
              <w:t>% change</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S/ 000</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2Q18</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1Q19</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2Q19</w:t>
            </w:r>
          </w:p>
        </w:tc>
        <w:tc>
          <w:tcPr>
            <w:tcW w:w="156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23"/>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loans (Quarter-end balance)</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102,766,633</w:t>
            </w:r>
          </w:p>
        </w:tc>
        <w:tc>
          <w:tcPr>
            <w:tcW w:w="2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108,350,384</w:t>
            </w:r>
          </w:p>
        </w:tc>
        <w:tc>
          <w:tcPr>
            <w:tcW w:w="3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109,381,123</w:t>
            </w:r>
          </w:p>
        </w:tc>
        <w:tc>
          <w:tcPr>
            <w:tcW w:w="2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Allowance for loan losses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4,819,704</w:t>
            </w:r>
          </w:p>
        </w:tc>
        <w:tc>
          <w:tcPr>
            <w:tcW w:w="2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4,862,801</w:t>
            </w:r>
          </w:p>
        </w:tc>
        <w:tc>
          <w:tcPr>
            <w:tcW w:w="3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4,878,150</w:t>
            </w:r>
          </w:p>
        </w:tc>
        <w:tc>
          <w:tcPr>
            <w:tcW w:w="2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345,253</w:t>
            </w:r>
          </w:p>
        </w:tc>
        <w:tc>
          <w:tcPr>
            <w:tcW w:w="2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433,231</w:t>
            </w:r>
          </w:p>
        </w:tc>
        <w:tc>
          <w:tcPr>
            <w:tcW w:w="3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407,348</w:t>
            </w:r>
          </w:p>
        </w:tc>
        <w:tc>
          <w:tcPr>
            <w:tcW w:w="2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6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Internal overdue loans (IOLs) </w:t>
            </w:r>
            <w:r>
              <w:rPr>
                <w:rFonts w:ascii="Arial" w:cs="Arial" w:eastAsia="Arial" w:hAnsi="Arial"/>
                <w:sz w:val="27"/>
                <w:szCs w:val="27"/>
                <w:color w:val="auto"/>
                <w:vertAlign w:val="superscript"/>
              </w:rPr>
              <w:t>(1)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3,113,014</w:t>
            </w:r>
          </w:p>
        </w:tc>
        <w:tc>
          <w:tcPr>
            <w:tcW w:w="1000" w:type="dxa"/>
            <w:vAlign w:val="bottom"/>
          </w:tcPr>
          <w:p>
            <w:pPr>
              <w:jc w:val="right"/>
              <w:spacing w:after="0"/>
              <w:rPr>
                <w:sz w:val="20"/>
                <w:szCs w:val="20"/>
                <w:color w:val="auto"/>
              </w:rPr>
            </w:pPr>
            <w:r>
              <w:rPr>
                <w:rFonts w:ascii="Arial" w:cs="Arial" w:eastAsia="Arial" w:hAnsi="Arial"/>
                <w:sz w:val="18"/>
                <w:szCs w:val="18"/>
                <w:color w:val="auto"/>
              </w:rPr>
              <w:t>3,153,187</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3,285,279</w:t>
            </w:r>
          </w:p>
        </w:tc>
        <w:tc>
          <w:tcPr>
            <w:tcW w:w="280" w:type="dxa"/>
            <w:vAlign w:val="bottom"/>
          </w:tcPr>
          <w:p>
            <w:pPr>
              <w:spacing w:after="0"/>
              <w:rPr>
                <w:sz w:val="20"/>
                <w:szCs w:val="20"/>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Internal overdue loans over 90-days </w:t>
            </w:r>
            <w:r>
              <w:rPr>
                <w:rFonts w:ascii="Arial" w:cs="Arial" w:eastAsia="Arial" w:hAnsi="Arial"/>
                <w:sz w:val="29"/>
                <w:szCs w:val="29"/>
                <w:color w:val="auto"/>
                <w:vertAlign w:val="superscript"/>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2,309,322</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2,263,777</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2,423,771</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Refinanced loans</w:t>
            </w:r>
          </w:p>
        </w:tc>
        <w:tc>
          <w:tcPr>
            <w:tcW w:w="1000" w:type="dxa"/>
            <w:vAlign w:val="bottom"/>
          </w:tcPr>
          <w:p>
            <w:pPr>
              <w:jc w:val="right"/>
              <w:spacing w:after="0"/>
              <w:rPr>
                <w:sz w:val="20"/>
                <w:szCs w:val="20"/>
                <w:color w:val="auto"/>
              </w:rPr>
            </w:pPr>
            <w:r>
              <w:rPr>
                <w:rFonts w:ascii="Arial" w:cs="Arial" w:eastAsia="Arial" w:hAnsi="Arial"/>
                <w:sz w:val="18"/>
                <w:szCs w:val="18"/>
                <w:color w:val="auto"/>
              </w:rPr>
              <w:t>1,086,135</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1,278,459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1,212,669</w:t>
            </w:r>
          </w:p>
        </w:tc>
        <w:tc>
          <w:tcPr>
            <w:tcW w:w="28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loans (NPLs) (2)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4,199,149</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4,431,646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4,497,948</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IOL ratio</w:t>
            </w: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3.03%</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3.00%</w:t>
            </w:r>
          </w:p>
        </w:tc>
        <w:tc>
          <w:tcPr>
            <w:tcW w:w="1000" w:type="dxa"/>
            <w:vAlign w:val="bottom"/>
          </w:tcPr>
          <w:p>
            <w:pPr>
              <w:jc w:val="right"/>
              <w:spacing w:after="0"/>
              <w:rPr>
                <w:sz w:val="20"/>
                <w:szCs w:val="20"/>
                <w:color w:val="auto"/>
              </w:rPr>
            </w:pPr>
            <w:r>
              <w:rPr>
                <w:rFonts w:ascii="Arial" w:cs="Arial" w:eastAsia="Arial" w:hAnsi="Arial"/>
                <w:sz w:val="18"/>
                <w:szCs w:val="18"/>
                <w:color w:val="auto"/>
              </w:rPr>
              <w:t>9 bps</w:t>
            </w:r>
          </w:p>
        </w:tc>
        <w:tc>
          <w:tcPr>
            <w:tcW w:w="2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 bps</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IOL over 90-days ratio </w:t>
            </w:r>
            <w:r>
              <w:rPr>
                <w:rFonts w:ascii="Arial" w:cs="Arial" w:eastAsia="Arial" w:hAnsi="Arial"/>
                <w:sz w:val="29"/>
                <w:szCs w:val="29"/>
                <w:b w:val="1"/>
                <w:bCs w:val="1"/>
                <w:color w:val="auto"/>
                <w:vertAlign w:val="superscript"/>
              </w:rPr>
              <w:t>(3)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2.25%</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2.09%</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2.22%</w:t>
            </w: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13 bps</w:t>
            </w:r>
          </w:p>
        </w:tc>
        <w:tc>
          <w:tcPr>
            <w:tcW w:w="9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 bps</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NPL ratio</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4.09%</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4.09%</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4.11%</w:t>
            </w: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2 bps</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2 bps</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ratio of IOLs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154.8%</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148.5%</w:t>
            </w: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-573 bps</w:t>
            </w:r>
          </w:p>
        </w:tc>
        <w:tc>
          <w:tcPr>
            <w:tcW w:w="9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7"/>
              </w:rPr>
              <w:t>-630 bps</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Coverage ratio of IOL 90-days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208.7%</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214.8%</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201.3%</w:t>
            </w: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-1355 bps</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w w:val="97"/>
              </w:rPr>
              <w:t>-740 bps</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ratio of NPLs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114.8%</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109.7%</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108.5%</w:t>
            </w: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-120 bps</w:t>
            </w:r>
          </w:p>
        </w:tc>
        <w:tc>
          <w:tcPr>
            <w:tcW w:w="9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7"/>
              </w:rPr>
              <w:t>-630 bps</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overdue loans and loans under legal collection. (Quarter-end balances)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Non-performing loans include internal overdue loans and refinanced loans. (Quarter-end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in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terms of portfolio delinquency, it is important to note that:</w:t>
      </w:r>
    </w:p>
    <w:p>
      <w:pPr>
        <w:spacing w:after="0" w:line="225" w:lineRule="exact"/>
        <w:rPr>
          <w:sz w:val="20"/>
          <w:szCs w:val="20"/>
          <w:color w:val="auto"/>
        </w:rPr>
      </w:pPr>
    </w:p>
    <w:p>
      <w:pPr>
        <w:ind w:left="980" w:hanging="648"/>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total IOL Portfolio reported moderate growth QoQ and YoY, in line with the favorable evolution of the portfolio’s risk profile over the past few years. Within this portfolio, IOL over 90 days increased 7.1% QoQ and 5.0% YoY.</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NPL Portfolio posted more significant growth solely in the YoY evolution, which was due primarily to refinancing for loans of a small number of clients from different sectors of Wholesale Banking in 3Q18 and 4Q18.</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coverage ratios deteriorated slightly due to the increase posted in the IOL portfolio and given that the total balance of refinanced loans was greater than the growth posted in the balance of net provisions for loan losses.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Prior to analyzing the evolution of delinquency ratios, it is important to consider that:</w:t>
      </w:r>
    </w:p>
    <w:p>
      <w:pPr>
        <w:spacing w:after="0" w:line="225" w:lineRule="exact"/>
        <w:rPr>
          <w:sz w:val="20"/>
          <w:szCs w:val="20"/>
          <w:color w:val="auto"/>
        </w:rPr>
      </w:pPr>
    </w:p>
    <w:p>
      <w:pPr>
        <w:jc w:val="both"/>
        <w:ind w:left="980" w:hanging="648"/>
        <w:spacing w:after="0" w:line="312"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Traditional delinquency ratios (IOL and NPL ratios) continue to be distorted by the presence of loans with real estate collateral (commercial and residential properties). This means that a significant portion of loans that are more than 150 days past due cannot be written-off (despite the fact that provisions have been set aside) given that a judicial process must be initiated to liquidate the collateral, which takes five years on average.</w:t>
      </w:r>
    </w:p>
    <w:p>
      <w:pPr>
        <w:spacing w:after="0" w:line="146" w:lineRule="exact"/>
        <w:rPr>
          <w:rFonts w:ascii="Arial" w:cs="Arial" w:eastAsia="Arial" w:hAnsi="Arial"/>
          <w:sz w:val="16"/>
          <w:szCs w:val="16"/>
          <w:color w:val="auto"/>
        </w:rPr>
      </w:pPr>
    </w:p>
    <w:p>
      <w:pPr>
        <w:jc w:val="both"/>
        <w:ind w:left="980" w:hanging="648"/>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second half (2H) of every year, loans are more dynamic, particularly in the SME-Pyme and Mibanco segments given that the main campaigns (Christmas and year-end campaigns) are held in the second semester (2H) and these short-term loans are paid off in 1H of the following year.</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154940</wp:posOffset>
            </wp:positionV>
            <wp:extent cx="4922520" cy="1818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22520"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020" w:hanging="246"/>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Adjusted NPL ratio = (Non-performing loans+ Write-offs) / (Total loans + Write-offs).</w:t>
      </w:r>
    </w:p>
    <w:p>
      <w:pPr>
        <w:spacing w:after="0" w:line="23" w:lineRule="exact"/>
        <w:rPr>
          <w:rFonts w:ascii="Arial" w:cs="Arial" w:eastAsia="Arial" w:hAnsi="Arial"/>
          <w:sz w:val="18"/>
          <w:szCs w:val="18"/>
          <w:color w:val="auto"/>
        </w:rPr>
      </w:pPr>
    </w:p>
    <w:p>
      <w:pPr>
        <w:ind w:left="1020" w:hanging="246"/>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 of risk = Annualized provisions for loan losses net of recoveries / Total loans.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 Delinquency indicators by business line</w:t>
      </w:r>
    </w:p>
    <w:p>
      <w:pPr>
        <w:spacing w:after="0" w:line="225"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Wholesale Banking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154940</wp:posOffset>
            </wp:positionV>
            <wp:extent cx="5746115" cy="2066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4611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980" w:right="20" w:hanging="648"/>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QoQ and YoY analysis shows an increase in the IOL and NPL ratio of Wholesale Banking. Internal overdue loans increased after some current loans migrated to the IOL portfolio. The latter also explained the increase in the NPL portfolio. It is important to mention that the new IOL loans were already fully covered by provisions or sufficient collateral.</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center"/>
        <w:ind w:right="312"/>
        <w:spacing w:after="0"/>
        <w:rPr>
          <w:sz w:val="20"/>
          <w:szCs w:val="20"/>
          <w:color w:val="auto"/>
        </w:rPr>
      </w:pPr>
      <w:r>
        <w:rPr>
          <w:rFonts w:ascii="Arial" w:cs="Arial" w:eastAsia="Arial" w:hAnsi="Arial"/>
          <w:sz w:val="18"/>
          <w:szCs w:val="18"/>
          <w:b w:val="1"/>
          <w:bCs w:val="1"/>
          <w:color w:val="auto"/>
        </w:rPr>
        <w:t>SME-Business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154940</wp:posOffset>
            </wp:positionV>
            <wp:extent cx="5746115" cy="2049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4611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648" w:hanging="648"/>
        <w:spacing w:after="0" w:line="255"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Given that the loan origination in the SME-Business segment is affected by seasonality, it is important to focus on the YoY analysis. In this context, traditional delinquency indicators for the IOL portfolio and the NPL portfolio grew +135 pbs and +95 bps respectively. This growth was mainly attributable to expansion in the IOL portfolio, which was associated with a deterioration in the situation of a small number clients whose debt was already fully provisioned or backed by sufficient collateral. It is important to note that this segment’s credit risk quality indicators are within the appetite for risk that has been set where the objective is to maximize the portfolio’s profitability by striking an adequate balance between risk quality and growth.</w:t>
      </w:r>
    </w:p>
    <w:p>
      <w:pPr>
        <w:spacing w:after="0" w:line="189"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SME - Pyme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154940</wp:posOffset>
            </wp:positionV>
            <wp:extent cx="5746115" cy="2143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4611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648" w:hanging="648"/>
        <w:spacing w:after="0" w:line="312" w:lineRule="auto"/>
        <w:tabs>
          <w:tab w:leader="none" w:pos="648"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the SME-Pyme loan book, it is important to analyze the early delinquency ratio, which excludes loans that are overdue less than 60 days (volatile loans whose percentage of recovery is very high) and those overdue more than 150 days (loans that have been provisioned but which cannot be written off due to the existence of real estate collateral- commercial properties - that take five years on average to liquidate).</w:t>
      </w:r>
    </w:p>
    <w:p>
      <w:pPr>
        <w:spacing w:after="0" w:line="146" w:lineRule="exact"/>
        <w:rPr>
          <w:rFonts w:ascii="Arial" w:cs="Arial" w:eastAsia="Arial" w:hAnsi="Arial"/>
          <w:sz w:val="16"/>
          <w:szCs w:val="16"/>
          <w:color w:val="auto"/>
        </w:rPr>
      </w:pPr>
    </w:p>
    <w:p>
      <w:pPr>
        <w:ind w:left="648"/>
        <w:spacing w:after="0" w:line="277" w:lineRule="auto"/>
        <w:rPr>
          <w:rFonts w:ascii="Arial" w:cs="Arial" w:eastAsia="Arial" w:hAnsi="Arial"/>
          <w:sz w:val="16"/>
          <w:szCs w:val="16"/>
          <w:color w:val="auto"/>
        </w:rPr>
      </w:pPr>
      <w:r>
        <w:rPr>
          <w:rFonts w:ascii="Arial" w:cs="Arial" w:eastAsia="Arial" w:hAnsi="Arial"/>
          <w:sz w:val="18"/>
          <w:szCs w:val="18"/>
          <w:color w:val="auto"/>
        </w:rPr>
        <w:t>In 2Q19, loan growth YoY outpaced the expansion reported in the IOL portfolio, leading to a drop in the traditional delinquency indicators for the SME-Pyme segment.</w:t>
      </w:r>
    </w:p>
    <w:p>
      <w:pPr>
        <w:spacing w:after="0" w:line="170" w:lineRule="exact"/>
        <w:rPr>
          <w:rFonts w:ascii="Arial" w:cs="Arial" w:eastAsia="Arial" w:hAnsi="Arial"/>
          <w:sz w:val="16"/>
          <w:szCs w:val="16"/>
          <w:color w:val="auto"/>
        </w:rPr>
      </w:pPr>
    </w:p>
    <w:p>
      <w:pPr>
        <w:jc w:val="both"/>
        <w:ind w:left="648" w:right="20"/>
        <w:spacing w:after="0" w:line="264" w:lineRule="auto"/>
        <w:rPr>
          <w:rFonts w:ascii="Arial" w:cs="Arial" w:eastAsia="Arial" w:hAnsi="Arial"/>
          <w:sz w:val="16"/>
          <w:szCs w:val="16"/>
          <w:color w:val="auto"/>
        </w:rPr>
      </w:pPr>
      <w:r>
        <w:rPr>
          <w:rFonts w:ascii="Arial" w:cs="Arial" w:eastAsia="Arial" w:hAnsi="Arial"/>
          <w:sz w:val="18"/>
          <w:szCs w:val="18"/>
          <w:color w:val="auto"/>
        </w:rPr>
        <w:t>It is important to note that since 2017, this segment has situated comfortably within the risk appetite levels set for the segment, where the objective is to maximize the portfolio’s profitability while striking an adequate balance between risk quality and portfolio growth that is in accordance with the organization’s risk framework.</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4" w:right="239" w:bottom="1440" w:gutter="0" w:footer="0" w:header="0"/>
        </w:sectPr>
      </w:pPr>
    </w:p>
    <w:bookmarkStart w:id="24" w:name="page25"/>
    <w:bookmarkEnd w:id="24"/>
    <w:p>
      <w:pPr>
        <w:jc w:val="center"/>
        <w:ind w:right="-187"/>
        <w:spacing w:after="0"/>
        <w:rPr>
          <w:sz w:val="20"/>
          <w:szCs w:val="20"/>
          <w:color w:val="auto"/>
        </w:rPr>
      </w:pPr>
      <w:r>
        <w:rPr>
          <w:rFonts w:ascii="Arial" w:cs="Arial" w:eastAsia="Arial" w:hAnsi="Arial"/>
          <w:sz w:val="18"/>
          <w:szCs w:val="18"/>
          <w:b w:val="1"/>
          <w:bCs w:val="1"/>
          <w:color w:val="auto"/>
        </w:rPr>
        <w:t>Mortgage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154940</wp:posOffset>
            </wp:positionV>
            <wp:extent cx="5746115" cy="2126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4611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48" w:hanging="648"/>
        <w:spacing w:after="0" w:line="277"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terms of Mortgage loans, it is important to note that these ratios are also affected by the existence of real estate collateral and foreclosure takes around 5 years. During this period, these loans cannot be written-off, even when they are fully provisioned.</w:t>
      </w:r>
    </w:p>
    <w:p>
      <w:pPr>
        <w:spacing w:after="0" w:line="170" w:lineRule="exact"/>
        <w:rPr>
          <w:rFonts w:ascii="Arial" w:cs="Arial" w:eastAsia="Arial" w:hAnsi="Arial"/>
          <w:sz w:val="18"/>
          <w:szCs w:val="18"/>
          <w:color w:val="auto"/>
        </w:rPr>
      </w:pPr>
    </w:p>
    <w:p>
      <w:pPr>
        <w:ind w:left="648" w:right="20"/>
        <w:spacing w:after="0" w:line="277" w:lineRule="auto"/>
        <w:rPr>
          <w:rFonts w:ascii="Arial" w:cs="Arial" w:eastAsia="Arial" w:hAnsi="Arial"/>
          <w:sz w:val="18"/>
          <w:szCs w:val="18"/>
          <w:color w:val="auto"/>
        </w:rPr>
      </w:pPr>
      <w:r>
        <w:rPr>
          <w:rFonts w:ascii="Arial" w:cs="Arial" w:eastAsia="Arial" w:hAnsi="Arial"/>
          <w:sz w:val="18"/>
          <w:szCs w:val="18"/>
          <w:color w:val="auto"/>
        </w:rPr>
        <w:t>Traditional delinquency ratios remained relatively stable QoQ and fell YoY given that the pace of growth of total loans increased after mortgage loan origination accelerated.</w:t>
      </w:r>
    </w:p>
    <w:p>
      <w:pPr>
        <w:spacing w:after="0" w:line="170" w:lineRule="exact"/>
        <w:rPr>
          <w:sz w:val="20"/>
          <w:szCs w:val="20"/>
          <w:color w:val="auto"/>
        </w:rPr>
      </w:pPr>
    </w:p>
    <w:p>
      <w:pPr>
        <w:ind w:left="648"/>
        <w:spacing w:after="0" w:line="342" w:lineRule="auto"/>
        <w:rPr>
          <w:sz w:val="20"/>
          <w:szCs w:val="20"/>
          <w:color w:val="auto"/>
        </w:rPr>
      </w:pPr>
      <w:r>
        <w:rPr>
          <w:rFonts w:ascii="Arial" w:cs="Arial" w:eastAsia="Arial" w:hAnsi="Arial"/>
          <w:sz w:val="16"/>
          <w:szCs w:val="16"/>
          <w:color w:val="auto"/>
        </w:rPr>
        <w:t>The early delinquency ratio, which excludes the effect of loans that are over 150 days overdue, was relatively stable QoQ and YoY. It is important to note that this indicator is situated within both the averages observed for the last two years and the organization’s appetite for risk.</w:t>
      </w:r>
    </w:p>
    <w:p>
      <w:pPr>
        <w:spacing w:after="0" w:line="120"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Consumer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154940</wp:posOffset>
            </wp:positionV>
            <wp:extent cx="5746115" cy="2143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4611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648" w:hanging="648"/>
        <w:spacing w:after="0" w:line="312" w:lineRule="auto"/>
        <w:tabs>
          <w:tab w:leader="none" w:pos="648"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the Consumer portfolio, the portfolio’s risk profile continues to improve in comparison to the level posted by vintages from 2015 or before, which led to the delinquency problem. This improvement has been achieved due to the different initiatives for risk management and collections that are in place. The portfolio’s new composition reflects the calibrated profile generated by the change in the risk policy for admissions.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4" w:right="239" w:bottom="1440" w:gutter="0" w:footer="0" w:header="0"/>
        </w:sectPr>
      </w:pPr>
    </w:p>
    <w:bookmarkStart w:id="25" w:name="page26"/>
    <w:bookmarkEnd w:id="25"/>
    <w:p>
      <w:pPr>
        <w:jc w:val="both"/>
        <w:ind w:left="648"/>
        <w:spacing w:after="0" w:line="312" w:lineRule="auto"/>
        <w:rPr>
          <w:sz w:val="20"/>
          <w:szCs w:val="20"/>
          <w:color w:val="auto"/>
        </w:rPr>
      </w:pPr>
      <w:r>
        <w:rPr>
          <w:rFonts w:ascii="Arial" w:cs="Arial" w:eastAsia="Arial" w:hAnsi="Arial"/>
          <w:sz w:val="16"/>
          <w:szCs w:val="16"/>
          <w:color w:val="auto"/>
        </w:rPr>
        <w:t>Early delinquency increased 10 bps QoQ and fell -19 bps YoY. If we look at the historic level of this indicator, we see on-going improvement since 2013. As such, it is evident that although this portfolio has registered an increase in its pace of expansion in 2018, there is still room to accelerate growth further to fulfill the organization’s objective of maximizing the portfolio’s profitability within the group’s appetite for risk.</w:t>
      </w:r>
    </w:p>
    <w:p>
      <w:pPr>
        <w:spacing w:after="0" w:line="147" w:lineRule="exact"/>
        <w:rPr>
          <w:sz w:val="20"/>
          <w:szCs w:val="20"/>
          <w:color w:val="auto"/>
        </w:rPr>
      </w:pPr>
    </w:p>
    <w:p>
      <w:pPr>
        <w:jc w:val="both"/>
        <w:ind w:left="648"/>
        <w:spacing w:after="0" w:line="302" w:lineRule="auto"/>
        <w:rPr>
          <w:sz w:val="20"/>
          <w:szCs w:val="20"/>
          <w:color w:val="auto"/>
        </w:rPr>
      </w:pPr>
      <w:r>
        <w:rPr>
          <w:rFonts w:ascii="Arial" w:cs="Arial" w:eastAsia="Arial" w:hAnsi="Arial"/>
          <w:sz w:val="16"/>
          <w:szCs w:val="16"/>
          <w:color w:val="auto"/>
        </w:rPr>
        <w:t>Traditional delinquency indicators posted a drop both QoQ and YoY. This was mainly attributable to a decrease in IOL loans, which was due primarily to on-going improvements in the risk quality of new vintages and to a lesser extent, to an increase in the speed of growth of total loans after adjustments were made in origination guidelines and campaigns were rolled out to offer more advantages to clients. All of these efforts focus on accelerating growth in this segment. It is important to note that the portfolio is within the organization’s appetite for risk.</w:t>
      </w:r>
    </w:p>
    <w:p>
      <w:pPr>
        <w:spacing w:after="0" w:line="150"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Credit Card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154940</wp:posOffset>
            </wp:positionV>
            <wp:extent cx="5746115" cy="20923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46115"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48" w:hanging="648"/>
        <w:spacing w:after="0" w:line="277"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Credit Card portfolio registered a QoQ increase in early delinquency and in traditional delinquency indicators. This was attributable to the deterioration related with the increase in the indebtedness by client in the Peruvian system.</w:t>
      </w:r>
    </w:p>
    <w:p>
      <w:pPr>
        <w:spacing w:after="0" w:line="170" w:lineRule="exact"/>
        <w:rPr>
          <w:rFonts w:ascii="Arial" w:cs="Arial" w:eastAsia="Arial" w:hAnsi="Arial"/>
          <w:sz w:val="18"/>
          <w:szCs w:val="18"/>
          <w:color w:val="auto"/>
        </w:rPr>
      </w:pPr>
    </w:p>
    <w:p>
      <w:pPr>
        <w:ind w:left="648"/>
        <w:spacing w:after="0" w:line="277" w:lineRule="auto"/>
        <w:rPr>
          <w:rFonts w:ascii="Arial" w:cs="Arial" w:eastAsia="Arial" w:hAnsi="Arial"/>
          <w:sz w:val="18"/>
          <w:szCs w:val="18"/>
          <w:color w:val="auto"/>
        </w:rPr>
      </w:pPr>
      <w:r>
        <w:rPr>
          <w:rFonts w:ascii="Arial" w:cs="Arial" w:eastAsia="Arial" w:hAnsi="Arial"/>
          <w:sz w:val="18"/>
          <w:szCs w:val="18"/>
          <w:color w:val="auto"/>
        </w:rPr>
        <w:t>In the YoY analysis, early delinquency and traditional indicators have improved in a context in which loan growth outpaced the pace of expansion of IOL and NPL loans.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26" w:name="page27"/>
    <w:bookmarkEnd w:id="26"/>
    <w:p>
      <w:pPr>
        <w:jc w:val="center"/>
        <w:ind w:right="312"/>
        <w:spacing w:after="0"/>
        <w:rPr>
          <w:sz w:val="20"/>
          <w:szCs w:val="20"/>
          <w:color w:val="auto"/>
        </w:rPr>
      </w:pPr>
      <w:r>
        <w:rPr>
          <w:rFonts w:ascii="Arial" w:cs="Arial" w:eastAsia="Arial" w:hAnsi="Arial"/>
          <w:sz w:val="18"/>
          <w:szCs w:val="18"/>
          <w:b w:val="1"/>
          <w:bCs w:val="1"/>
          <w:color w:val="auto"/>
        </w:rPr>
        <w:t>Mibanco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154940</wp:posOffset>
            </wp:positionV>
            <wp:extent cx="5746115" cy="21012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4611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648" w:hanging="648"/>
        <w:spacing w:after="0" w:line="264"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IOL and NPL ratios remained relatively stable QoQ. In the YoY analysis, the IOL and NPL ratios fell -6 bps and -23 bps after the adjustments needed to fine-tune the balance of loan origination and collections were made following the deterioration detected in portfolio quality in 1H18.</w:t>
      </w:r>
    </w:p>
    <w:p>
      <w:pPr>
        <w:spacing w:after="0" w:line="181" w:lineRule="exact"/>
        <w:rPr>
          <w:sz w:val="20"/>
          <w:szCs w:val="20"/>
          <w:color w:val="auto"/>
        </w:rPr>
      </w:pPr>
    </w:p>
    <w:p>
      <w:pPr>
        <w:ind w:left="648"/>
        <w:spacing w:after="0" w:line="277" w:lineRule="auto"/>
        <w:rPr>
          <w:sz w:val="20"/>
          <w:szCs w:val="20"/>
          <w:color w:val="auto"/>
        </w:rPr>
      </w:pPr>
      <w:r>
        <w:rPr>
          <w:rFonts w:ascii="Arial" w:cs="Arial" w:eastAsia="Arial" w:hAnsi="Arial"/>
          <w:sz w:val="18"/>
          <w:szCs w:val="18"/>
          <w:color w:val="auto"/>
        </w:rPr>
        <w:t>The cost of risk deteriorated QoQ, since the increase in net provisions was not compensated by the lower growth of loans. In the YoY analysis, there is an improvement, mainly due to the strong increase in loans during the 2H18.</w:t>
      </w:r>
    </w:p>
    <w:p>
      <w:pPr>
        <w:spacing w:after="0" w:line="166"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BCP Bolivia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154940</wp:posOffset>
            </wp:positionV>
            <wp:extent cx="5746115" cy="2126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4611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648" w:hanging="648"/>
        <w:spacing w:after="0" w:line="264"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BCP Bolivia reported an improvement QoQ in traditional delinquency ratios after having registered deterioration in its mortgage and consumer portfolios in the last quarter. In the YoY analysis the ratios were stable given that the pace of loan growth was similar to the pace of expansion registered by the IOL and NPL portfolio.</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4" w:right="239" w:bottom="1440" w:gutter="0" w:footer="0" w:header="0"/>
        </w:sectPr>
      </w:pPr>
    </w:p>
    <w:bookmarkStart w:id="27" w:name="page28"/>
    <w:bookmarkEnd w:id="27"/>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Net Interest Income (NII)</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 2Q19, NII, our main source of income, posted an increase of +3.1% QoQ and +9.4% YoY, which represents an improvement with regard to the evolution reported in 1Q19 (-2.5% QoQ and +7.1% YoY). This was mainly attributable to growth in average daily loan balances, which offset higher expenses for interest on deposits. At the accumulated level, a similar trend was evident, registering an +8.3% increase in NII. The aforementioned translated into growth in NIM of +11bps QoQ, +20bps YoY and +15bps at the accumulated level. Nevertheless, due to an increase in the cost of risk, the risk-adjusted NIM contracted by -4pbs QoQ and -9pbs YoY and remained stable in the YTD analysis.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 change</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YTD</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2Q18</w:t>
            </w:r>
          </w:p>
        </w:tc>
        <w:tc>
          <w:tcPr>
            <w:tcW w:w="2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1Q19</w:t>
            </w: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2Q19</w:t>
            </w:r>
          </w:p>
        </w:tc>
        <w:tc>
          <w:tcPr>
            <w:tcW w:w="2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Jun 18</w:t>
            </w:r>
          </w:p>
        </w:tc>
        <w:tc>
          <w:tcPr>
            <w:tcW w:w="3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Jun 19</w:t>
            </w:r>
          </w:p>
        </w:tc>
        <w:tc>
          <w:tcPr>
            <w:tcW w:w="2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Jun 19 / Jun 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2,812,623</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3,001,674</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3,083,623</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2.7%</w:t>
            </w:r>
          </w:p>
        </w:tc>
        <w:tc>
          <w:tcPr>
            <w:tcW w:w="88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9.6%</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5,601,764</w:t>
            </w:r>
          </w:p>
        </w:tc>
        <w:tc>
          <w:tcPr>
            <w:tcW w:w="3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6,085,297</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149"/>
        </w:trPr>
        <w:tc>
          <w:tcPr>
            <w:tcW w:w="3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loans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2,462,973</w:t>
            </w:r>
          </w:p>
        </w:tc>
        <w:tc>
          <w:tcPr>
            <w:tcW w:w="24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2,562,286</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2,632,649</w:t>
            </w:r>
          </w:p>
        </w:tc>
        <w:tc>
          <w:tcPr>
            <w:tcW w:w="240" w:type="dxa"/>
            <w:vAlign w:val="bottom"/>
          </w:tcPr>
          <w:p>
            <w:pPr>
              <w:spacing w:after="0"/>
              <w:rPr>
                <w:sz w:val="12"/>
                <w:szCs w:val="12"/>
                <w:color w:val="auto"/>
              </w:rPr>
            </w:pPr>
          </w:p>
        </w:tc>
        <w:tc>
          <w:tcPr>
            <w:tcW w:w="8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2.7%</w:t>
            </w:r>
          </w:p>
        </w:tc>
        <w:tc>
          <w:tcPr>
            <w:tcW w:w="8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6.9%</w:t>
            </w: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4,877,325</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5,194,935</w:t>
            </w:r>
          </w:p>
        </w:tc>
        <w:tc>
          <w:tcPr>
            <w:tcW w:w="24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3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Dividends on investments</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7,483</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9,667</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8,914</w:t>
            </w:r>
          </w:p>
        </w:tc>
        <w:tc>
          <w:tcPr>
            <w:tcW w:w="8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-7.8%</w:t>
            </w:r>
          </w:p>
        </w:tc>
        <w:tc>
          <w:tcPr>
            <w:tcW w:w="8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19.1%</w:t>
            </w:r>
          </w:p>
        </w:tc>
        <w:tc>
          <w:tcPr>
            <w:tcW w:w="1140" w:type="dxa"/>
            <w:vAlign w:val="bottom"/>
            <w:tcBorders>
              <w:right w:val="single" w:sz="8" w:color="CCEEFF"/>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15,293</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18,581</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9"/>
        </w:trPr>
        <w:tc>
          <w:tcPr>
            <w:tcW w:w="3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deposits with banks</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30,875</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86,699</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85,477</w:t>
            </w:r>
          </w:p>
        </w:tc>
        <w:tc>
          <w:tcPr>
            <w:tcW w:w="8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-1.4%</w:t>
            </w:r>
          </w:p>
        </w:tc>
        <w:tc>
          <w:tcPr>
            <w:tcW w:w="8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176.8%</w:t>
            </w: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59,224</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172,176</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190.7%</w:t>
            </w:r>
          </w:p>
        </w:tc>
        <w:tc>
          <w:tcPr>
            <w:tcW w:w="0" w:type="dxa"/>
            <w:vAlign w:val="bottom"/>
          </w:tcPr>
          <w:p>
            <w:pPr>
              <w:spacing w:after="0"/>
              <w:rPr>
                <w:sz w:val="1"/>
                <w:szCs w:val="1"/>
                <w:color w:val="auto"/>
              </w:rPr>
            </w:pPr>
          </w:p>
        </w:tc>
      </w:tr>
      <w:tr>
        <w:trPr>
          <w:trHeight w:val="149"/>
        </w:trPr>
        <w:tc>
          <w:tcPr>
            <w:tcW w:w="3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on securities</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296,995</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332,788</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341,930</w:t>
            </w:r>
          </w:p>
        </w:tc>
        <w:tc>
          <w:tcPr>
            <w:tcW w:w="8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2.7%</w:t>
            </w:r>
          </w:p>
        </w:tc>
        <w:tc>
          <w:tcPr>
            <w:tcW w:w="8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15.1%</w:t>
            </w:r>
          </w:p>
        </w:tc>
        <w:tc>
          <w:tcPr>
            <w:tcW w:w="1140" w:type="dxa"/>
            <w:vAlign w:val="bottom"/>
            <w:tcBorders>
              <w:right w:val="single" w:sz="8" w:color="CCEEFF"/>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621,063</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674,718</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3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Other interest income</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14,297</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10,234</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14,653</w:t>
            </w:r>
          </w:p>
        </w:tc>
        <w:tc>
          <w:tcPr>
            <w:tcW w:w="8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43.2%</w:t>
            </w:r>
          </w:p>
        </w:tc>
        <w:tc>
          <w:tcPr>
            <w:tcW w:w="8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2.5%</w:t>
            </w: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28,859</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24,887</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49"/>
        </w:trPr>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749,805</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812,756</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826,866</w:t>
            </w:r>
          </w:p>
        </w:tc>
        <w:tc>
          <w:tcPr>
            <w:tcW w:w="8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1.7%</w:t>
            </w:r>
          </w:p>
        </w:tc>
        <w:tc>
          <w:tcPr>
            <w:tcW w:w="8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10.3%</w:t>
            </w:r>
          </w:p>
        </w:tc>
        <w:tc>
          <w:tcPr>
            <w:tcW w:w="1140" w:type="dxa"/>
            <w:vAlign w:val="bottom"/>
            <w:tcBorders>
              <w:right w:val="single" w:sz="8" w:color="CCEEFF"/>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1,496,045</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1,639,622</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9.6%</w:t>
            </w:r>
          </w:p>
        </w:tc>
        <w:tc>
          <w:tcPr>
            <w:tcW w:w="0" w:type="dxa"/>
            <w:vAlign w:val="bottom"/>
          </w:tcPr>
          <w:p>
            <w:pPr>
              <w:spacing w:after="0"/>
              <w:rPr>
                <w:sz w:val="1"/>
                <w:szCs w:val="1"/>
                <w:color w:val="auto"/>
              </w:rPr>
            </w:pPr>
          </w:p>
        </w:tc>
      </w:tr>
      <w:tr>
        <w:trPr>
          <w:trHeight w:val="149"/>
        </w:trPr>
        <w:tc>
          <w:tcPr>
            <w:tcW w:w="3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deposits</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295,582</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353,834</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364,997</w:t>
            </w:r>
          </w:p>
        </w:tc>
        <w:tc>
          <w:tcPr>
            <w:tcW w:w="8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3.2%</w:t>
            </w:r>
          </w:p>
        </w:tc>
        <w:tc>
          <w:tcPr>
            <w:tcW w:w="8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23.5%</w:t>
            </w: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583,891</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718,831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49"/>
        </w:trPr>
        <w:tc>
          <w:tcPr>
            <w:tcW w:w="3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on borrowed funds</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149,799</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145,303</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152,832</w:t>
            </w:r>
          </w:p>
        </w:tc>
        <w:tc>
          <w:tcPr>
            <w:tcW w:w="8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5.2%</w:t>
            </w:r>
          </w:p>
        </w:tc>
        <w:tc>
          <w:tcPr>
            <w:tcW w:w="8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2.0%</w:t>
            </w:r>
          </w:p>
        </w:tc>
        <w:tc>
          <w:tcPr>
            <w:tcW w:w="1140" w:type="dxa"/>
            <w:vAlign w:val="bottom"/>
            <w:tcBorders>
              <w:right w:val="single" w:sz="8" w:color="CCEEFF"/>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317,231</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298,135</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3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bonds and subordinated notes</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230,561</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226,498</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227,869</w:t>
            </w:r>
          </w:p>
        </w:tc>
        <w:tc>
          <w:tcPr>
            <w:tcW w:w="8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0.6%</w:t>
            </w:r>
          </w:p>
        </w:tc>
        <w:tc>
          <w:tcPr>
            <w:tcW w:w="8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-1.2%</w:t>
            </w: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446,644</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454,367</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4"/>
                <w:szCs w:val="14"/>
                <w:color w:val="auto"/>
              </w:rPr>
              <w:t xml:space="preserve">Other interest expense </w:t>
            </w:r>
            <w:r>
              <w:rPr>
                <w:rFonts w:ascii="Arial" w:cs="Arial" w:eastAsia="Arial" w:hAnsi="Arial"/>
                <w:sz w:val="23"/>
                <w:szCs w:val="23"/>
                <w:color w:val="auto"/>
                <w:vertAlign w:val="superscript"/>
              </w:rPr>
              <w:t>(1)</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73,863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87,121</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81,168</w:t>
            </w:r>
          </w:p>
        </w:tc>
        <w:tc>
          <w:tcPr>
            <w:tcW w:w="8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w:t>
            </w:r>
          </w:p>
        </w:tc>
        <w:tc>
          <w:tcPr>
            <w:tcW w:w="8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w:t>
            </w:r>
          </w:p>
        </w:tc>
        <w:tc>
          <w:tcPr>
            <w:tcW w:w="11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148,279</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168,289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line="202" w:lineRule="exact"/>
              <w:rPr>
                <w:sz w:val="20"/>
                <w:szCs w:val="20"/>
                <w:color w:val="auto"/>
              </w:rPr>
            </w:pPr>
            <w:r>
              <w:rPr>
                <w:rFonts w:ascii="Arial" w:cs="Arial" w:eastAsia="Arial" w:hAnsi="Arial"/>
                <w:sz w:val="14"/>
                <w:szCs w:val="14"/>
                <w:b w:val="1"/>
                <w:bCs w:val="1"/>
                <w:color w:val="auto"/>
              </w:rPr>
              <w:t xml:space="preserve">Net interest income </w:t>
            </w:r>
            <w:r>
              <w:rPr>
                <w:rFonts w:ascii="Arial" w:cs="Arial" w:eastAsia="Arial" w:hAnsi="Arial"/>
                <w:sz w:val="23"/>
                <w:szCs w:val="23"/>
                <w:b w:val="1"/>
                <w:bCs w:val="1"/>
                <w:color w:val="auto"/>
                <w:vertAlign w:val="superscript"/>
              </w:rPr>
              <w:t>(1)</w:t>
            </w: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60" w:type="dxa"/>
            <w:vAlign w:val="bottom"/>
            <w:gridSpan w:val="2"/>
            <w:vMerge w:val="continue"/>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2,062,818</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2,188,918</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2,256,757</w:t>
            </w:r>
          </w:p>
        </w:tc>
        <w:tc>
          <w:tcPr>
            <w:tcW w:w="240" w:type="dxa"/>
            <w:vAlign w:val="bottom"/>
          </w:tcPr>
          <w:p>
            <w:pPr>
              <w:spacing w:after="0"/>
              <w:rPr>
                <w:sz w:val="15"/>
                <w:szCs w:val="15"/>
                <w:color w:val="auto"/>
              </w:rPr>
            </w:pPr>
          </w:p>
        </w:tc>
        <w:tc>
          <w:tcPr>
            <w:tcW w:w="8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3.1%</w:t>
            </w:r>
          </w:p>
        </w:tc>
        <w:tc>
          <w:tcPr>
            <w:tcW w:w="8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9.4%</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4,105,719</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4,445,675</w:t>
            </w:r>
          </w:p>
        </w:tc>
        <w:tc>
          <w:tcPr>
            <w:tcW w:w="24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8.3%</w:t>
            </w:r>
          </w:p>
        </w:tc>
        <w:tc>
          <w:tcPr>
            <w:tcW w:w="0" w:type="dxa"/>
            <w:vAlign w:val="bottom"/>
          </w:tcPr>
          <w:p>
            <w:pPr>
              <w:spacing w:after="0"/>
              <w:rPr>
                <w:sz w:val="1"/>
                <w:szCs w:val="1"/>
                <w:color w:val="auto"/>
              </w:rPr>
            </w:pPr>
          </w:p>
        </w:tc>
      </w:tr>
      <w:tr>
        <w:trPr>
          <w:trHeight w:val="20"/>
        </w:trPr>
        <w:tc>
          <w:tcPr>
            <w:tcW w:w="3260" w:type="dxa"/>
            <w:vAlign w:val="bottom"/>
            <w:gridSpan w:val="2"/>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Risk-adjusted Net interest income </w:t>
            </w:r>
            <w:r>
              <w:rPr>
                <w:rFonts w:ascii="Arial" w:cs="Arial" w:eastAsia="Arial" w:hAnsi="Arial"/>
                <w:sz w:val="23"/>
                <w:szCs w:val="23"/>
                <w:b w:val="1"/>
                <w:bCs w:val="1"/>
                <w:color w:val="auto"/>
                <w:vertAlign w:val="superscript"/>
              </w:rPr>
              <w:t>(1)</w:t>
            </w: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6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1,749,647</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1,805,707</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1,808,463</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0.2%</w:t>
            </w:r>
          </w:p>
        </w:tc>
        <w:tc>
          <w:tcPr>
            <w:tcW w:w="8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w:t>
            </w:r>
          </w:p>
        </w:tc>
        <w:tc>
          <w:tcPr>
            <w:tcW w:w="11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3,421,524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3,614,170</w:t>
            </w:r>
          </w:p>
        </w:tc>
        <w:tc>
          <w:tcPr>
            <w:tcW w:w="2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142"/>
        </w:trPr>
        <w:tc>
          <w:tcPr>
            <w:tcW w:w="32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Average interest earning assets</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156,338,409</w:t>
            </w:r>
          </w:p>
        </w:tc>
        <w:tc>
          <w:tcPr>
            <w:tcW w:w="2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162,988,746</w:t>
            </w:r>
          </w:p>
        </w:tc>
        <w:tc>
          <w:tcPr>
            <w:tcW w:w="2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164,668,086</w:t>
            </w:r>
          </w:p>
        </w:tc>
        <w:tc>
          <w:tcPr>
            <w:tcW w:w="2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w:t>
            </w:r>
          </w:p>
        </w:tc>
        <w:tc>
          <w:tcPr>
            <w:tcW w:w="240" w:type="dxa"/>
            <w:vAlign w:val="bottom"/>
            <w:tcBorders>
              <w:bottom w:val="single" w:sz="8" w:color="CCEEFF"/>
            </w:tcBorders>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w:t>
            </w:r>
          </w:p>
        </w:tc>
        <w:tc>
          <w:tcPr>
            <w:tcW w:w="240" w:type="dxa"/>
            <w:vAlign w:val="bottom"/>
            <w:tcBorders>
              <w:bottom w:val="single" w:sz="8" w:color="CCEEFF"/>
            </w:tcBorders>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156,471,600</w:t>
            </w:r>
          </w:p>
        </w:tc>
        <w:tc>
          <w:tcPr>
            <w:tcW w:w="3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164,638,684</w:t>
            </w:r>
          </w:p>
        </w:tc>
        <w:tc>
          <w:tcPr>
            <w:tcW w:w="2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w:t>
            </w:r>
          </w:p>
        </w:tc>
        <w:tc>
          <w:tcPr>
            <w:tcW w:w="1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9"/>
        </w:trPr>
        <w:tc>
          <w:tcPr>
            <w:tcW w:w="3260" w:type="dxa"/>
            <w:vAlign w:val="bottom"/>
            <w:gridSpan w:val="2"/>
            <w:shd w:val="clear" w:color="auto" w:fill="CCEEFF"/>
          </w:tcPr>
          <w:p>
            <w:pPr>
              <w:spacing w:after="0" w:line="169" w:lineRule="exact"/>
              <w:rPr>
                <w:sz w:val="20"/>
                <w:szCs w:val="20"/>
                <w:color w:val="auto"/>
              </w:rPr>
            </w:pPr>
            <w:r>
              <w:rPr>
                <w:rFonts w:ascii="Arial" w:cs="Arial" w:eastAsia="Arial" w:hAnsi="Arial"/>
                <w:sz w:val="12"/>
                <w:szCs w:val="12"/>
                <w:b w:val="1"/>
                <w:bCs w:val="1"/>
                <w:color w:val="auto"/>
              </w:rPr>
              <w:t xml:space="preserve">Net interest margin </w:t>
            </w:r>
            <w:r>
              <w:rPr>
                <w:rFonts w:ascii="Arial" w:cs="Arial" w:eastAsia="Arial" w:hAnsi="Arial"/>
                <w:sz w:val="19"/>
                <w:szCs w:val="19"/>
                <w:b w:val="1"/>
                <w:bCs w:val="1"/>
                <w:color w:val="auto"/>
                <w:vertAlign w:val="superscript"/>
              </w:rPr>
              <w:t>(1)(2)</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5.28%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5.37%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5.48%</w:t>
            </w:r>
          </w:p>
        </w:tc>
        <w:tc>
          <w:tcPr>
            <w:tcW w:w="8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11bps</w:t>
            </w: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20bps</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5.25%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5.40%</w:t>
            </w:r>
          </w:p>
        </w:tc>
        <w:tc>
          <w:tcPr>
            <w:tcW w:w="10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15bps</w:t>
            </w:r>
          </w:p>
        </w:tc>
        <w:tc>
          <w:tcPr>
            <w:tcW w:w="0" w:type="dxa"/>
            <w:vAlign w:val="bottom"/>
          </w:tcPr>
          <w:p>
            <w:pPr>
              <w:spacing w:after="0"/>
              <w:rPr>
                <w:sz w:val="1"/>
                <w:szCs w:val="1"/>
                <w:color w:val="auto"/>
              </w:rPr>
            </w:pPr>
          </w:p>
        </w:tc>
      </w:tr>
      <w:tr>
        <w:trPr>
          <w:trHeight w:val="189"/>
        </w:trPr>
        <w:tc>
          <w:tcPr>
            <w:tcW w:w="3260" w:type="dxa"/>
            <w:vAlign w:val="bottom"/>
            <w:gridSpan w:val="2"/>
          </w:tcPr>
          <w:p>
            <w:pPr>
              <w:spacing w:after="0" w:line="189" w:lineRule="exact"/>
              <w:rPr>
                <w:sz w:val="20"/>
                <w:szCs w:val="20"/>
                <w:color w:val="auto"/>
              </w:rPr>
            </w:pPr>
            <w:r>
              <w:rPr>
                <w:rFonts w:ascii="Arial" w:cs="Arial" w:eastAsia="Arial" w:hAnsi="Arial"/>
                <w:sz w:val="13"/>
                <w:szCs w:val="13"/>
                <w:b w:val="1"/>
                <w:bCs w:val="1"/>
                <w:color w:val="auto"/>
              </w:rPr>
              <w:t xml:space="preserve">NIM on loans </w:t>
            </w:r>
            <w:r>
              <w:rPr>
                <w:rFonts w:ascii="Arial" w:cs="Arial" w:eastAsia="Arial" w:hAnsi="Arial"/>
                <w:sz w:val="21"/>
                <w:szCs w:val="21"/>
                <w:b w:val="1"/>
                <w:bCs w:val="1"/>
                <w:color w:val="auto"/>
                <w:vertAlign w:val="superscript"/>
              </w:rPr>
              <w:t>(1)(2)</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7.77%</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7.36%</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7.36%</w:t>
            </w:r>
          </w:p>
        </w:tc>
        <w:tc>
          <w:tcPr>
            <w:tcW w:w="8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0bps</w:t>
            </w:r>
          </w:p>
        </w:tc>
        <w:tc>
          <w:tcPr>
            <w:tcW w:w="8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-41bps</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8.01%</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7.72%</w:t>
            </w:r>
          </w:p>
        </w:tc>
        <w:tc>
          <w:tcPr>
            <w:tcW w:w="10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-29bps</w:t>
            </w:r>
          </w:p>
        </w:tc>
        <w:tc>
          <w:tcPr>
            <w:tcW w:w="0" w:type="dxa"/>
            <w:vAlign w:val="bottom"/>
          </w:tcPr>
          <w:p>
            <w:pPr>
              <w:spacing w:after="0"/>
              <w:rPr>
                <w:sz w:val="1"/>
                <w:szCs w:val="1"/>
                <w:color w:val="auto"/>
              </w:rPr>
            </w:pPr>
          </w:p>
        </w:tc>
      </w:tr>
      <w:tr>
        <w:trPr>
          <w:trHeight w:val="189"/>
        </w:trPr>
        <w:tc>
          <w:tcPr>
            <w:tcW w:w="32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 xml:space="preserve">Risk-adjusted Net interest margin </w:t>
            </w:r>
            <w:r>
              <w:rPr>
                <w:rFonts w:ascii="Arial" w:cs="Arial" w:eastAsia="Arial" w:hAnsi="Arial"/>
                <w:sz w:val="21"/>
                <w:szCs w:val="21"/>
                <w:b w:val="1"/>
                <w:bCs w:val="1"/>
                <w:color w:val="auto"/>
                <w:vertAlign w:val="superscript"/>
              </w:rPr>
              <w:t>(1)(2)</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4.48%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4.43%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4.39%</w:t>
            </w:r>
          </w:p>
        </w:tc>
        <w:tc>
          <w:tcPr>
            <w:tcW w:w="8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-4bps</w:t>
            </w: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-9bps</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4.37%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4.39%</w:t>
            </w:r>
          </w:p>
        </w:tc>
        <w:tc>
          <w:tcPr>
            <w:tcW w:w="10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2bps</w:t>
            </w:r>
          </w:p>
        </w:tc>
        <w:tc>
          <w:tcPr>
            <w:tcW w:w="0" w:type="dxa"/>
            <w:vAlign w:val="bottom"/>
          </w:tcPr>
          <w:p>
            <w:pPr>
              <w:spacing w:after="0"/>
              <w:rPr>
                <w:sz w:val="1"/>
                <w:szCs w:val="1"/>
                <w:color w:val="auto"/>
              </w:rPr>
            </w:pPr>
          </w:p>
        </w:tc>
      </w:tr>
      <w:tr>
        <w:trPr>
          <w:trHeight w:val="136"/>
        </w:trPr>
        <w:tc>
          <w:tcPr>
            <w:tcW w:w="326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w w:val="94"/>
              </w:rPr>
              <w:t>Net provisions for loan losses / Net interest income</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20"/>
                <w:szCs w:val="20"/>
                <w:color w:val="auto"/>
              </w:rPr>
            </w:pPr>
            <w:r>
              <w:rPr>
                <w:rFonts w:ascii="Arial" w:cs="Arial" w:eastAsia="Arial" w:hAnsi="Arial"/>
                <w:sz w:val="12"/>
                <w:szCs w:val="12"/>
                <w:b w:val="1"/>
                <w:bCs w:val="1"/>
                <w:color w:val="auto"/>
              </w:rPr>
              <w:t>(1)(2)</w:t>
            </w:r>
          </w:p>
        </w:tc>
        <w:tc>
          <w:tcPr>
            <w:tcW w:w="10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15.18%</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17.51%</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19.86%</w:t>
            </w:r>
          </w:p>
        </w:tc>
        <w:tc>
          <w:tcPr>
            <w:tcW w:w="8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235bps</w:t>
            </w:r>
          </w:p>
        </w:tc>
        <w:tc>
          <w:tcPr>
            <w:tcW w:w="8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468bps</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16.66%</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18.70%</w:t>
            </w:r>
          </w:p>
        </w:tc>
        <w:tc>
          <w:tcPr>
            <w:tcW w:w="10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204bps</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Interest Income</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jc w:val="center"/>
        <w:ind w:right="4100"/>
        <w:spacing w:after="0"/>
        <w:rPr>
          <w:sz w:val="20"/>
          <w:szCs w:val="20"/>
          <w:color w:val="auto"/>
        </w:rPr>
      </w:pPr>
      <w:r>
        <w:rPr>
          <w:rFonts w:ascii="Arial" w:cs="Arial" w:eastAsia="Arial" w:hAnsi="Arial"/>
          <w:sz w:val="16"/>
          <w:szCs w:val="16"/>
          <w:b w:val="1"/>
          <w:bCs w:val="1"/>
          <w:color w:val="auto"/>
        </w:rPr>
        <w:t>Interest Income - LC</w:t>
      </w:r>
    </w:p>
    <w:p>
      <w:pPr>
        <w:spacing w:after="0" w:line="50" w:lineRule="exact"/>
        <w:rPr>
          <w:sz w:val="20"/>
          <w:szCs w:val="20"/>
          <w:color w:val="auto"/>
        </w:rPr>
      </w:pPr>
    </w:p>
    <w:p>
      <w:pPr>
        <w:jc w:val="center"/>
        <w:ind w:right="410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142875</wp:posOffset>
            </wp:positionV>
            <wp:extent cx="5746115" cy="22212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46115" cy="2221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060"/>
        <w:spacing w:after="0"/>
        <w:rPr>
          <w:sz w:val="20"/>
          <w:szCs w:val="20"/>
          <w:color w:val="auto"/>
        </w:rPr>
      </w:pPr>
      <w:r>
        <w:rPr>
          <w:rFonts w:ascii="Arial" w:cs="Arial" w:eastAsia="Arial" w:hAnsi="Arial"/>
          <w:sz w:val="16"/>
          <w:szCs w:val="16"/>
          <w:b w:val="1"/>
          <w:bCs w:val="1"/>
          <w:color w:val="auto"/>
        </w:rPr>
        <w:t>Interest Income – FC</w:t>
      </w:r>
    </w:p>
    <w:p>
      <w:pPr>
        <w:spacing w:after="0" w:line="50"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(S/ millions)</w:t>
      </w:r>
    </w:p>
    <w:p>
      <w:pPr>
        <w:spacing w:after="0" w:line="200" w:lineRule="exact"/>
        <w:rPr>
          <w:sz w:val="20"/>
          <w:szCs w:val="20"/>
          <w:color w:val="auto"/>
        </w:rPr>
      </w:pPr>
    </w:p>
    <w:p>
      <w:pPr>
        <w:sectPr>
          <w:pgSz w:w="11900" w:h="16838" w:orient="portrait"/>
          <w:cols w:equalWidth="0" w:num="2">
            <w:col w:w="8000" w:space="720"/>
            <w:col w:w="270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el QoQ analysis, the increase of +2.7% in Interest Income is mainly attributable to growth in interest income on loans, which was in turn associated with:</w:t>
      </w:r>
    </w:p>
    <w:p>
      <w:pPr>
        <w:spacing w:after="0" w:line="170" w:lineRule="exact"/>
        <w:rPr>
          <w:sz w:val="20"/>
          <w:szCs w:val="20"/>
          <w:color w:val="auto"/>
        </w:rPr>
      </w:pPr>
    </w:p>
    <w:p>
      <w:pPr>
        <w:ind w:left="980" w:hanging="648"/>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slight acceleration in the growth of average daily balances (+1.8% QoQ), led by Retail Banking.</w:t>
      </w:r>
    </w:p>
    <w:p>
      <w:pPr>
        <w:spacing w:after="0" w:line="225" w:lineRule="exact"/>
        <w:rPr>
          <w:rFonts w:ascii="Arial" w:cs="Arial" w:eastAsia="Arial" w:hAnsi="Arial"/>
          <w:sz w:val="18"/>
          <w:szCs w:val="18"/>
          <w:color w:val="auto"/>
        </w:rPr>
      </w:pPr>
    </w:p>
    <w:p>
      <w:pPr>
        <w:jc w:val="both"/>
        <w:ind w:left="980" w:hanging="648"/>
        <w:spacing w:after="0" w:line="279" w:lineRule="auto"/>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terms of the mix by segment, Wholesale Banking continues to represent the highest share on loans with 41.9% of the total, followed in close succession by Retail Banking, which has increased its share on total loans from 39.8% in 1Q19 to 40.0% in 2Q19. In comparison to the evolution of growth in previous quarters, which was led by strong expansion in mortgage loans, this quarter, other segments with higher margins within Retail Banking, such as Consumer and Credit Cards, have registered significant growth in volumes.</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8" w:name="page29"/>
    <w:bookmarkEnd w:id="28"/>
    <w:p>
      <w:pPr>
        <w:ind w:left="980" w:hanging="648"/>
        <w:spacing w:after="0" w:line="342" w:lineRule="auto"/>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Loan expansion, measured in average daily balances, was generated mostly in LC, unlike in previous quarters where growth was led by loans in FC, where margins tend to be lower. In this scenario, the effect of the currency mix also favored growth in interest income on loans.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interest income on securities grew +2.7% QoQ. This increase was generated by the expiration of certificate of deposits with the Central Bank of Peru in the month of May and charges for corresponding interest by BCP Stand Alone.</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interest income expanded +9.6%, which represented an increase with regard to 1Q19’s figure. The clear recovery of growth in interest income was due primarily to an expansion in interest income on loans (+6.9%).</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At the </w:t>
      </w:r>
      <w:r>
        <w:rPr>
          <w:rFonts w:ascii="Arial" w:cs="Arial" w:eastAsia="Arial" w:hAnsi="Arial"/>
          <w:sz w:val="16"/>
          <w:szCs w:val="16"/>
          <w:b w:val="1"/>
          <w:bCs w:val="1"/>
          <w:color w:val="auto"/>
        </w:rPr>
        <w:t>accumulated level</w:t>
      </w:r>
      <w:r>
        <w:rPr>
          <w:rFonts w:ascii="Arial" w:cs="Arial" w:eastAsia="Arial" w:hAnsi="Arial"/>
          <w:sz w:val="16"/>
          <w:szCs w:val="16"/>
          <w:color w:val="auto"/>
        </w:rPr>
        <w:t>, interest income expanded +8.6%, which was due primarily to growth in interest income on loans. This was in turn generated by:</w:t>
      </w:r>
    </w:p>
    <w:p>
      <w:pPr>
        <w:spacing w:after="0" w:line="252" w:lineRule="exact"/>
        <w:rPr>
          <w:sz w:val="20"/>
          <w:szCs w:val="20"/>
          <w:color w:val="auto"/>
        </w:rPr>
      </w:pPr>
    </w:p>
    <w:p>
      <w:pPr>
        <w:ind w:left="980" w:hanging="648"/>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volume effect due to an acceleration in the growth of average daily loan balances in all segments with the exception of ASB. This increase was driven primarily by Retail Banking, which posted growth of +11.6% in average daily loan balances YoY.</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terms of the mix by segment, Retail Banking now represents 40% of total loans.</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currency mix was also favorable given that expansion in average daily balance was due primarily to portfolio growth in LC of +9.6% YoY vs an increase of +0.1% YoY in FC.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also increased, although to a lesser extent, due to:</w:t>
      </w:r>
    </w:p>
    <w:p>
      <w:pPr>
        <w:spacing w:after="0" w:line="225" w:lineRule="exact"/>
        <w:rPr>
          <w:sz w:val="20"/>
          <w:szCs w:val="20"/>
          <w:color w:val="auto"/>
        </w:rPr>
      </w:pPr>
    </w:p>
    <w:p>
      <w:pPr>
        <w:ind w:left="980" w:hanging="648"/>
        <w:spacing w:after="0" w:line="342" w:lineRule="auto"/>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Expansion in interest on deposits in other banks, which was reflected in an increase in the volume of funds held in BCRP. It is important to note that the majority of the funds that are held in BCRP are in FC given that the reserve requirement in FC is significantly higher than in LC.</w:t>
      </w:r>
    </w:p>
    <w:p>
      <w:pPr>
        <w:spacing w:after="0" w:line="123" w:lineRule="exact"/>
        <w:rPr>
          <w:rFonts w:ascii="Arial" w:cs="Arial" w:eastAsia="Arial" w:hAnsi="Arial"/>
          <w:sz w:val="16"/>
          <w:szCs w:val="16"/>
          <w:color w:val="auto"/>
        </w:rPr>
      </w:pPr>
    </w:p>
    <w:p>
      <w:pPr>
        <w:jc w:val="both"/>
        <w:ind w:left="980" w:hanging="648"/>
        <w:spacing w:after="0" w:line="264"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Growth in interest on securities, which corresponds to an increase of 15.1% YoY in the fair value through other comprehensive income investments. The increase of Credicorp portfolio is explained by the rise on investments at BCP Stand Alone and Pacifico portfolios, which grew 29% and 18% respectively.</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color w:val="auto"/>
        </w:rPr>
        <w:t>4.2. Interest Expenses</w:t>
      </w:r>
    </w:p>
    <w:p>
      <w:pPr>
        <w:sectPr>
          <w:pgSz w:w="11900" w:h="16838" w:orient="portrait"/>
          <w:cols w:equalWidth="0" w:num="1">
            <w:col w:w="11420"/>
          </w:cols>
          <w:pgMar w:left="240" w:top="904" w:right="239" w:bottom="1440" w:gutter="0" w:footer="0" w:header="0"/>
        </w:sectPr>
      </w:pPr>
    </w:p>
    <w:p>
      <w:pPr>
        <w:spacing w:after="0" w:line="260"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Interest Expenses – LC</w:t>
      </w:r>
    </w:p>
    <w:p>
      <w:pPr>
        <w:spacing w:after="0" w:line="50"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jc w:val="center"/>
        <w:ind w:right="1960"/>
        <w:spacing w:after="0"/>
        <w:rPr>
          <w:sz w:val="20"/>
          <w:szCs w:val="20"/>
          <w:color w:val="auto"/>
        </w:rPr>
      </w:pPr>
      <w:r>
        <w:rPr>
          <w:rFonts w:ascii="Arial" w:cs="Arial" w:eastAsia="Arial" w:hAnsi="Arial"/>
          <w:sz w:val="16"/>
          <w:szCs w:val="16"/>
          <w:b w:val="1"/>
          <w:bCs w:val="1"/>
          <w:color w:val="auto"/>
        </w:rPr>
        <w:t>Interest Expenses – FC</w:t>
      </w:r>
    </w:p>
    <w:p>
      <w:pPr>
        <w:spacing w:after="0" w:line="50" w:lineRule="exact"/>
        <w:rPr>
          <w:sz w:val="20"/>
          <w:szCs w:val="20"/>
          <w:color w:val="auto"/>
        </w:rPr>
      </w:pPr>
    </w:p>
    <w:p>
      <w:pPr>
        <w:jc w:val="center"/>
        <w:ind w:right="1960"/>
        <w:spacing w:after="0"/>
        <w:rPr>
          <w:sz w:val="20"/>
          <w:szCs w:val="20"/>
          <w:color w:val="auto"/>
        </w:rPr>
      </w:pPr>
      <w:r>
        <w:rPr>
          <w:rFonts w:ascii="Arial" w:cs="Arial" w:eastAsia="Arial" w:hAnsi="Arial"/>
          <w:sz w:val="18"/>
          <w:szCs w:val="18"/>
          <w:color w:val="auto"/>
        </w:rPr>
        <w:t>(S/ millions)</w:t>
      </w:r>
    </w:p>
    <w:p>
      <w:pPr>
        <w:spacing w:after="0" w:line="200" w:lineRule="exact"/>
        <w:rPr>
          <w:sz w:val="20"/>
          <w:szCs w:val="20"/>
          <w:color w:val="auto"/>
        </w:rPr>
      </w:pPr>
    </w:p>
    <w:p>
      <w:pPr>
        <w:sectPr>
          <w:pgSz w:w="11900" w:h="16838" w:orient="portrait"/>
          <w:cols w:equalWidth="0" w:num="2">
            <w:col w:w="6960" w:space="720"/>
            <w:col w:w="374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interest expenses reported an increase of +1.7% QoQ, which was primarily attributable to an increase in interest on deposits. The main factors that led to the 3.2% QoQ increase in interest expenses on deposits were:</w:t>
      </w:r>
    </w:p>
    <w:p>
      <w:pPr>
        <w:spacing w:after="0" w:line="166" w:lineRule="exact"/>
        <w:rPr>
          <w:sz w:val="20"/>
          <w:szCs w:val="20"/>
          <w:color w:val="auto"/>
        </w:rPr>
      </w:pPr>
    </w:p>
    <w:p>
      <w:pPr>
        <w:ind w:left="980" w:hanging="648"/>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Expenses on deposits increased- despite a drop in total deposits QoQ- due to growth in time and severance indemnity deposits, which constitute the most expensive deposits.</w:t>
      </w:r>
    </w:p>
    <w:p>
      <w:pPr>
        <w:spacing w:after="0" w:line="170"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rate effect, both in LC and in FC, where rates have followed in upward trend over the last few quarters leading to a subsequent increase in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Additionally, interest paid on loans increased +5.2% due to +27.7% growth in due to banks and correspondents.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YoY analysis</w:t>
      </w:r>
      <w:r>
        <w:rPr>
          <w:rFonts w:ascii="Arial" w:cs="Arial" w:eastAsia="Arial" w:hAnsi="Arial"/>
          <w:sz w:val="16"/>
          <w:szCs w:val="16"/>
          <w:color w:val="auto"/>
        </w:rPr>
        <w:t>, interest expenses grew +10.3%. Growth in this component was primarily attributable to +23.5% growth YoY in interest on deposits.</w:t>
      </w:r>
    </w:p>
    <w:p>
      <w:pPr>
        <w:spacing w:after="0" w:line="24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b w:val="1"/>
          <w:bCs w:val="1"/>
          <w:color w:val="auto"/>
        </w:rPr>
        <w:t>the accumulated level</w:t>
      </w:r>
      <w:r>
        <w:rPr>
          <w:rFonts w:ascii="Arial" w:cs="Arial" w:eastAsia="Arial" w:hAnsi="Arial"/>
          <w:sz w:val="18"/>
          <w:szCs w:val="18"/>
          <w:color w:val="auto"/>
        </w:rPr>
        <w:t>, interest expenses grew +9.6%. This growth was due primarily to growth of +23.1% in interest expenses on deposits, which was in turn attributable to:</w:t>
      </w:r>
    </w:p>
    <w:p>
      <w:pPr>
        <w:spacing w:after="0" w:line="166" w:lineRule="exact"/>
        <w:rPr>
          <w:sz w:val="20"/>
          <w:szCs w:val="20"/>
          <w:color w:val="auto"/>
        </w:rPr>
      </w:pPr>
    </w:p>
    <w:p>
      <w:pPr>
        <w:ind w:left="980" w:hanging="648"/>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volume effect given that all types of deposits grew YoY.</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effect of the deposit mix given that after savings deposits, the deposits that posted the largest increase in volume were time deposits.</w:t>
      </w:r>
    </w:p>
    <w:p>
      <w:pPr>
        <w:spacing w:after="0" w:line="236" w:lineRule="exact"/>
        <w:rPr>
          <w:rFonts w:ascii="Arial" w:cs="Arial" w:eastAsia="Arial" w:hAnsi="Arial"/>
          <w:sz w:val="17"/>
          <w:szCs w:val="17"/>
          <w:color w:val="auto"/>
        </w:rPr>
      </w:pPr>
    </w:p>
    <w:p>
      <w:pPr>
        <w:ind w:left="980" w:hanging="648"/>
        <w:spacing w:after="0"/>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currency mix, given that the increase in the deposit volume was attributable to an increase in LC deposits and a decline in FC deposits.</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aforementioned was partially offset by a decrease interest expenses on loans, mainly in FC, due to the lower rates for borrowed funds incurred this year in FC and in line with the trend in market rates.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4.3. Net Interest Margin (NIM) and Risk-Adjusted NIM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Credicorp’s NIM and Risk-Adjusted NIM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90170</wp:posOffset>
            </wp:positionV>
            <wp:extent cx="5746115" cy="21526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4611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40" w:firstLine="8"/>
        <w:spacing w:after="0" w:line="277"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Starting on 1Q17, we exclude derivatives from the NII result. For comparative purposes, figures starting from 1Q16 have been recalculated with the new methodology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NIM </w:t>
      </w:r>
      <w:r>
        <w:rPr>
          <w:rFonts w:ascii="Arial" w:cs="Arial" w:eastAsia="Arial" w:hAnsi="Arial"/>
          <w:sz w:val="18"/>
          <w:szCs w:val="18"/>
          <w:color w:val="auto"/>
        </w:rPr>
        <w:t>posted a positive evolution QoQ and YoY and at the accumulated level, which was attributable to:</w:t>
      </w:r>
    </w:p>
    <w:p>
      <w:pPr>
        <w:spacing w:after="0" w:line="229" w:lineRule="exact"/>
        <w:rPr>
          <w:sz w:val="20"/>
          <w:szCs w:val="20"/>
          <w:color w:val="auto"/>
        </w:rPr>
      </w:pPr>
    </w:p>
    <w:p>
      <w:pPr>
        <w:ind w:left="980" w:hanging="648"/>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in NII, which was attributable to more dynamic loan growth.</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slight increase in average IEAs, which was primarily due to growth in loans coupled with an increase in the fair value through other comprehensive income investments (formerly securities available for sale).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risk-adjusted NIM</w:t>
      </w:r>
      <w:r>
        <w:rPr>
          <w:rFonts w:ascii="Arial" w:cs="Arial" w:eastAsia="Arial" w:hAnsi="Arial"/>
          <w:sz w:val="18"/>
          <w:szCs w:val="18"/>
          <w:color w:val="auto"/>
        </w:rPr>
        <w:t xml:space="preserve"> fell QoQ by -4 bps and -9bps YoY due to growth in provisions, as explained in the previous section. Growth in loans was driven mainly by Retail Banking, which offers higher margins but also implies higher risk. At the accumulated level, NIM remained relatively stable given that growth in NII after provisions was similar to the expansion registered by average IEAs.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6980" w:type="dxa"/>
            <w:vAlign w:val="bottom"/>
          </w:tcPr>
          <w:p>
            <w:pPr>
              <w:spacing w:after="0"/>
              <w:rPr>
                <w:sz w:val="20"/>
                <w:szCs w:val="20"/>
                <w:color w:val="auto"/>
              </w:rPr>
            </w:pPr>
            <w:r>
              <w:rPr>
                <w:rFonts w:ascii="Arial" w:cs="Arial" w:eastAsia="Arial" w:hAnsi="Arial"/>
                <w:sz w:val="18"/>
                <w:szCs w:val="18"/>
                <w:color w:val="auto"/>
              </w:rPr>
              <w:t>NIM on loans recovered QoQ. This was due primarily to growth in NII at BCP</w:t>
            </w:r>
          </w:p>
        </w:tc>
        <w:tc>
          <w:tcPr>
            <w:tcW w:w="2320" w:type="dxa"/>
            <w:vAlign w:val="bottom"/>
          </w:tcPr>
          <w:p>
            <w:pPr>
              <w:ind w:left="1040"/>
              <w:spacing w:after="0"/>
              <w:rPr>
                <w:sz w:val="20"/>
                <w:szCs w:val="20"/>
                <w:color w:val="auto"/>
              </w:rPr>
            </w:pPr>
            <w:r>
              <w:rPr>
                <w:rFonts w:ascii="Arial" w:cs="Arial" w:eastAsia="Arial" w:hAnsi="Arial"/>
                <w:sz w:val="18"/>
                <w:szCs w:val="18"/>
                <w:b w:val="1"/>
                <w:bCs w:val="1"/>
                <w:color w:val="auto"/>
                <w:w w:val="89"/>
              </w:rPr>
              <w:t xml:space="preserve">NIM on loans </w:t>
            </w:r>
            <w:r>
              <w:rPr>
                <w:rFonts w:ascii="Arial" w:cs="Arial" w:eastAsia="Arial" w:hAnsi="Arial"/>
                <w:sz w:val="30"/>
                <w:szCs w:val="30"/>
                <w:b w:val="1"/>
                <w:bCs w:val="1"/>
                <w:color w:val="auto"/>
                <w:w w:val="89"/>
                <w:vertAlign w:val="superscript"/>
              </w:rPr>
              <w:t>(2)</w:t>
            </w:r>
          </w:p>
        </w:tc>
      </w:tr>
      <w:tr>
        <w:trPr>
          <w:trHeight w:val="215"/>
        </w:trPr>
        <w:tc>
          <w:tcPr>
            <w:tcW w:w="6980" w:type="dxa"/>
            <w:vAlign w:val="bottom"/>
          </w:tcPr>
          <w:p>
            <w:pPr>
              <w:spacing w:after="0"/>
              <w:rPr>
                <w:sz w:val="20"/>
                <w:szCs w:val="20"/>
                <w:color w:val="auto"/>
              </w:rPr>
            </w:pPr>
            <w:r>
              <w:rPr>
                <w:rFonts w:ascii="Arial" w:cs="Arial" w:eastAsia="Arial" w:hAnsi="Arial"/>
                <w:sz w:val="18"/>
                <w:szCs w:val="18"/>
                <w:color w:val="auto"/>
              </w:rPr>
              <w:t>Stand-alone, where expansion was situated in Retail Banking, whose segments</w:t>
            </w:r>
          </w:p>
        </w:tc>
        <w:tc>
          <w:tcPr>
            <w:tcW w:w="232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offer higher margins. This growth neutralized the slight drop in NIM on loans at</w:t>
            </w:r>
          </w:p>
        </w:tc>
        <w:tc>
          <w:tcPr>
            <w:tcW w:w="232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Mibanco. At the accumulated level, NIM on loans increased +7bps; this was</w:t>
            </w:r>
          </w:p>
        </w:tc>
        <w:tc>
          <w:tcPr>
            <w:tcW w:w="232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mainly attributable to an improvement in margins at BCP Stand-alone, which was</w:t>
            </w:r>
          </w:p>
        </w:tc>
        <w:tc>
          <w:tcPr>
            <w:tcW w:w="2320" w:type="dxa"/>
            <w:vAlign w:val="bottom"/>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driven by growth in the Retail Banking segments and in LC.</w:t>
            </w:r>
          </w:p>
        </w:tc>
        <w:tc>
          <w:tcPr>
            <w:tcW w:w="2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-659765</wp:posOffset>
            </wp:positionV>
            <wp:extent cx="2452370" cy="15951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52370"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It is also important to analyze NIM by subsidiary. The table below shows the interest margins for each of Credicorp’s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4"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26"/>
          <w:szCs w:val="26"/>
          <w:color w:val="auto"/>
          <w:vertAlign w:val="superscript"/>
        </w:rPr>
      </w:pPr>
      <w:r>
        <w:rPr>
          <w:rFonts w:ascii="Arial" w:cs="Arial" w:eastAsia="Arial" w:hAnsi="Arial"/>
          <w:sz w:val="16"/>
          <w:szCs w:val="16"/>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137160</wp:posOffset>
            </wp:positionV>
            <wp:extent cx="4142105"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14210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0"/>
        </w:trPr>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BCP</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BCP</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620" w:type="dxa"/>
            <w:vAlign w:val="bottom"/>
          </w:tcPr>
          <w:p>
            <w:pPr>
              <w:spacing w:after="0"/>
              <w:rPr>
                <w:sz w:val="20"/>
                <w:szCs w:val="20"/>
                <w:color w:val="auto"/>
              </w:rPr>
            </w:pPr>
            <w:r>
              <w:rPr>
                <w:rFonts w:ascii="Arial" w:cs="Arial" w:eastAsia="Arial" w:hAnsi="Arial"/>
                <w:sz w:val="18"/>
                <w:szCs w:val="18"/>
                <w:b w:val="1"/>
                <w:bCs w:val="1"/>
                <w:color w:val="auto"/>
              </w:rPr>
              <w:t>NIM Breakdown</w:t>
            </w:r>
          </w:p>
        </w:tc>
        <w:tc>
          <w:tcPr>
            <w:tcW w:w="8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Stand-alone</w:t>
            </w:r>
          </w:p>
        </w:tc>
        <w:tc>
          <w:tcPr>
            <w:tcW w:w="240" w:type="dxa"/>
            <w:vAlign w:val="bottom"/>
          </w:tcPr>
          <w:p>
            <w:pPr>
              <w:spacing w:after="0"/>
              <w:rPr>
                <w:sz w:val="23"/>
                <w:szCs w:val="23"/>
                <w:color w:val="auto"/>
              </w:rPr>
            </w:pPr>
          </w:p>
        </w:tc>
        <w:tc>
          <w:tcPr>
            <w:tcW w:w="800" w:type="dxa"/>
            <w:vAlign w:val="bottom"/>
          </w:tcPr>
          <w:p>
            <w:pPr>
              <w:ind w:left="60"/>
              <w:spacing w:after="0"/>
              <w:rPr>
                <w:sz w:val="20"/>
                <w:szCs w:val="20"/>
                <w:color w:val="auto"/>
              </w:rPr>
            </w:pPr>
            <w:r>
              <w:rPr>
                <w:rFonts w:ascii="Arial" w:cs="Arial" w:eastAsia="Arial" w:hAnsi="Arial"/>
                <w:sz w:val="18"/>
                <w:szCs w:val="18"/>
                <w:b w:val="1"/>
                <w:bCs w:val="1"/>
                <w:color w:val="auto"/>
                <w:w w:val="98"/>
              </w:rPr>
              <w:t>Mibanco</w:t>
            </w:r>
          </w:p>
        </w:tc>
        <w:tc>
          <w:tcPr>
            <w:tcW w:w="240" w:type="dxa"/>
            <w:vAlign w:val="bottom"/>
          </w:tcPr>
          <w:p>
            <w:pPr>
              <w:spacing w:after="0"/>
              <w:rPr>
                <w:sz w:val="23"/>
                <w:szCs w:val="23"/>
                <w:color w:val="auto"/>
              </w:rPr>
            </w:pPr>
          </w:p>
        </w:tc>
        <w:tc>
          <w:tcPr>
            <w:tcW w:w="80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5"/>
              </w:rPr>
              <w:t xml:space="preserve">Bolivia </w:t>
            </w:r>
            <w:r>
              <w:rPr>
                <w:rFonts w:ascii="Arial" w:cs="Arial" w:eastAsia="Arial" w:hAnsi="Arial"/>
                <w:sz w:val="30"/>
                <w:szCs w:val="30"/>
                <w:b w:val="1"/>
                <w:bCs w:val="1"/>
                <w:color w:val="auto"/>
                <w:w w:val="85"/>
                <w:vertAlign w:val="superscript"/>
              </w:rPr>
              <w:t>(1)</w:t>
            </w:r>
          </w:p>
        </w:tc>
        <w:tc>
          <w:tcPr>
            <w:tcW w:w="240" w:type="dxa"/>
            <w:vAlign w:val="bottom"/>
          </w:tcPr>
          <w:p>
            <w:pPr>
              <w:spacing w:after="0"/>
              <w:rPr>
                <w:sz w:val="23"/>
                <w:szCs w:val="23"/>
                <w:color w:val="auto"/>
              </w:rPr>
            </w:pPr>
          </w:p>
        </w:tc>
        <w:tc>
          <w:tcPr>
            <w:tcW w:w="1200" w:type="dxa"/>
            <w:vAlign w:val="bottom"/>
            <w:gridSpan w:val="2"/>
          </w:tcPr>
          <w:p>
            <w:pPr>
              <w:jc w:val="right"/>
              <w:ind w:right="180"/>
              <w:spacing w:after="0" w:line="271" w:lineRule="exact"/>
              <w:rPr>
                <w:sz w:val="20"/>
                <w:szCs w:val="20"/>
                <w:color w:val="auto"/>
              </w:rPr>
            </w:pPr>
            <w:r>
              <w:rPr>
                <w:rFonts w:ascii="Arial" w:cs="Arial" w:eastAsia="Arial" w:hAnsi="Arial"/>
                <w:sz w:val="18"/>
                <w:szCs w:val="18"/>
                <w:b w:val="1"/>
                <w:bCs w:val="1"/>
                <w:color w:val="auto"/>
                <w:w w:val="87"/>
              </w:rPr>
              <w:t xml:space="preserve">Credicorp </w:t>
            </w:r>
            <w:r>
              <w:rPr>
                <w:rFonts w:ascii="Arial" w:cs="Arial" w:eastAsia="Arial" w:hAnsi="Arial"/>
                <w:sz w:val="30"/>
                <w:szCs w:val="30"/>
                <w:b w:val="1"/>
                <w:bCs w:val="1"/>
                <w:color w:val="auto"/>
                <w:w w:val="87"/>
                <w:vertAlign w:val="superscript"/>
              </w:rPr>
              <w:t>(2)</w:t>
            </w:r>
          </w:p>
        </w:tc>
        <w:tc>
          <w:tcPr>
            <w:tcW w:w="0" w:type="dxa"/>
            <w:vAlign w:val="bottom"/>
          </w:tcPr>
          <w:p>
            <w:pPr>
              <w:spacing w:after="0"/>
              <w:rPr>
                <w:sz w:val="1"/>
                <w:szCs w:val="1"/>
                <w:color w:val="auto"/>
              </w:rPr>
            </w:pPr>
          </w:p>
        </w:tc>
      </w:tr>
      <w:tr>
        <w:trPr>
          <w:trHeight w:val="20"/>
        </w:trPr>
        <w:tc>
          <w:tcPr>
            <w:tcW w:w="46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2Q18</w:t>
            </w:r>
          </w:p>
        </w:tc>
        <w:tc>
          <w:tcPr>
            <w:tcW w:w="8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5.28%</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1Q19</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14.67%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3.52%</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5.37%</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2Q19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5.48%</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2018 YTD</w:t>
            </w: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2"/>
            <w:vMerge w:val="continue"/>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16.08%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5.25%</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2019 YTD</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NIM: Annualized Net interest income / Average period end and period beginning interest earning assets.</w:t>
      </w:r>
    </w:p>
    <w:p>
      <w:pPr>
        <w:spacing w:after="0" w:line="23" w:lineRule="exact"/>
        <w:rPr>
          <w:sz w:val="20"/>
          <w:szCs w:val="20"/>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Credicorp also includes Credicorp Capital, Prima, Grupo Credito and Eliminations for consolidation purposes.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QoQ, YoY and Accumulated</w:t>
      </w:r>
      <w:r>
        <w:rPr>
          <w:rFonts w:ascii="Arial" w:cs="Arial" w:eastAsia="Arial" w:hAnsi="Arial"/>
          <w:sz w:val="18"/>
          <w:szCs w:val="18"/>
          <w:color w:val="auto"/>
        </w:rPr>
        <w:t xml:space="preserve"> evolution of global NIM by subsidiary shows a clear recovery in Credicorp’s margin, which was primarily attributable to </w:t>
      </w:r>
      <w:r>
        <w:rPr>
          <w:rFonts w:ascii="Arial" w:cs="Arial" w:eastAsia="Arial" w:hAnsi="Arial"/>
          <w:sz w:val="18"/>
          <w:szCs w:val="18"/>
          <w:b w:val="1"/>
          <w:bCs w:val="1"/>
          <w:color w:val="auto"/>
        </w:rPr>
        <w:t xml:space="preserve">BCP Stand-alone, </w:t>
      </w:r>
      <w:r>
        <w:rPr>
          <w:rFonts w:ascii="Arial" w:cs="Arial" w:eastAsia="Arial" w:hAnsi="Arial"/>
          <w:sz w:val="18"/>
          <w:szCs w:val="18"/>
          <w:color w:val="auto"/>
        </w:rPr>
        <w:t>which represents 68% of net interest income. The improvement in the margin was attributable to loan growth, primarily in higher-margin</w:t>
      </w:r>
      <w:r>
        <w:rPr>
          <w:rFonts w:ascii="Arial" w:cs="Arial" w:eastAsia="Arial" w:hAnsi="Arial"/>
          <w:sz w:val="18"/>
          <w:szCs w:val="18"/>
          <w:b w:val="1"/>
          <w:bCs w:val="1"/>
          <w:color w:val="auto"/>
        </w:rPr>
        <w:t xml:space="preserve"> </w:t>
      </w:r>
      <w:r>
        <w:rPr>
          <w:rFonts w:ascii="Arial" w:cs="Arial" w:eastAsia="Arial" w:hAnsi="Arial"/>
          <w:sz w:val="18"/>
          <w:szCs w:val="18"/>
          <w:color w:val="auto"/>
        </w:rPr>
        <w:t>segments in Retail Banking and in LC.</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Within </w:t>
      </w:r>
      <w:r>
        <w:rPr>
          <w:rFonts w:ascii="Arial" w:cs="Arial" w:eastAsia="Arial" w:hAnsi="Arial"/>
          <w:sz w:val="18"/>
          <w:szCs w:val="18"/>
          <w:b w:val="1"/>
          <w:bCs w:val="1"/>
          <w:color w:val="auto"/>
        </w:rPr>
        <w:t>Mibanco</w:t>
      </w:r>
      <w:r>
        <w:rPr>
          <w:rFonts w:ascii="Arial" w:cs="Arial" w:eastAsia="Arial" w:hAnsi="Arial"/>
          <w:sz w:val="18"/>
          <w:szCs w:val="18"/>
          <w:color w:val="auto"/>
        </w:rPr>
        <w:t>, which represents around 21% of net interest income. It is important to note the QoQ recovery in NIM, which was attributable to an improvement in asset and liabilities management that allowed to obtain cheaper funding (deposits) and pay off a portion of its professional funding, which has higher costs. Nevertheless, YoY and YTD, Mibanco’s NIM deteriorated. This was primarily due to a decrease in rates in LC in a highly competitive environment, which affected interest income generation.</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ind w:left="340" w:hanging="332"/>
        <w:spacing w:after="0"/>
        <w:tabs>
          <w:tab w:leader="none" w:pos="3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Non-Financial Income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2Q19, non-financial income registered growth QoQ, YoY and at the accumulated level. The QoQ increase was due primarily to gains on Other non-financial income, which was attributable to the sale of a property at BCP Bolivia. In the YoY analysis and YTD, growth was associated with an increase in the Net gain on sales of securities due to growth at BCP Stand-alone and, to a lesser extent, in the core items of non-financial income, Fee income and Net gain on foreign exchange transactions, mainly at BCP Stand-alone.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Non-financial income</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Quarter</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4"/>
          </w:tcPr>
          <w:p>
            <w:pPr>
              <w:ind w:left="340"/>
              <w:spacing w:after="0"/>
              <w:rPr>
                <w:sz w:val="20"/>
                <w:szCs w:val="20"/>
                <w:color w:val="auto"/>
              </w:rPr>
            </w:pPr>
            <w:r>
              <w:rPr>
                <w:rFonts w:ascii="Arial" w:cs="Arial" w:eastAsia="Arial" w:hAnsi="Arial"/>
                <w:sz w:val="18"/>
                <w:szCs w:val="18"/>
                <w:b w:val="1"/>
                <w:bCs w:val="1"/>
                <w:color w:val="auto"/>
              </w:rPr>
              <w:t>% change</w:t>
            </w:r>
          </w:p>
        </w:tc>
        <w:tc>
          <w:tcPr>
            <w:tcW w:w="198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YTD</w:t>
            </w: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2Q18</w:t>
            </w:r>
          </w:p>
        </w:tc>
        <w:tc>
          <w:tcPr>
            <w:tcW w:w="1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1Q19</w:t>
            </w:r>
          </w:p>
        </w:tc>
        <w:tc>
          <w:tcPr>
            <w:tcW w:w="1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2Q19</w:t>
            </w:r>
          </w:p>
        </w:tc>
        <w:tc>
          <w:tcPr>
            <w:tcW w:w="1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YoY</w:t>
            </w:r>
          </w:p>
        </w:tc>
        <w:tc>
          <w:tcPr>
            <w:tcW w:w="2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Jun 18</w:t>
            </w:r>
          </w:p>
        </w:tc>
        <w:tc>
          <w:tcPr>
            <w:tcW w:w="1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Jun 19</w:t>
            </w:r>
          </w:p>
        </w:tc>
        <w:tc>
          <w:tcPr>
            <w:tcW w:w="18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Jun 19 / Jun 18</w:t>
            </w:r>
          </w:p>
        </w:tc>
        <w:tc>
          <w:tcPr>
            <w:tcW w:w="160" w:type="dxa"/>
            <w:vAlign w:val="bottom"/>
            <w:tcBorders>
              <w:bottom w:val="single" w:sz="8" w:color="CCEEFF"/>
            </w:tcBorders>
          </w:tcPr>
          <w:p>
            <w:pPr>
              <w:spacing w:after="0"/>
              <w:rPr>
                <w:sz w:val="20"/>
                <w:szCs w:val="20"/>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Fee income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766,994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782,922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787,250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1,516,686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1,570,172</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2"/>
        </w:trPr>
        <w:tc>
          <w:tcPr>
            <w:tcW w:w="2820" w:type="dxa"/>
            <w:vAlign w:val="bottom"/>
            <w:gridSpan w:val="2"/>
          </w:tcPr>
          <w:p>
            <w:pPr>
              <w:spacing w:after="0" w:line="201" w:lineRule="exact"/>
              <w:rPr>
                <w:sz w:val="20"/>
                <w:szCs w:val="20"/>
                <w:color w:val="auto"/>
              </w:rPr>
            </w:pPr>
            <w:r>
              <w:rPr>
                <w:rFonts w:ascii="Arial" w:cs="Arial" w:eastAsia="Arial" w:hAnsi="Arial"/>
                <w:sz w:val="18"/>
                <w:szCs w:val="18"/>
                <w:color w:val="auto"/>
              </w:rPr>
              <w:t>Net gain on foreign exchange</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transactions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180,669</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178,423</w:t>
            </w:r>
          </w:p>
        </w:tc>
        <w:tc>
          <w:tcPr>
            <w:tcW w:w="820" w:type="dxa"/>
            <w:vAlign w:val="bottom"/>
          </w:tcPr>
          <w:p>
            <w:pPr>
              <w:jc w:val="right"/>
              <w:spacing w:after="0"/>
              <w:rPr>
                <w:sz w:val="20"/>
                <w:szCs w:val="20"/>
                <w:color w:val="auto"/>
              </w:rPr>
            </w:pPr>
            <w:r>
              <w:rPr>
                <w:rFonts w:ascii="Arial" w:cs="Arial" w:eastAsia="Arial" w:hAnsi="Arial"/>
                <w:sz w:val="18"/>
                <w:szCs w:val="18"/>
                <w:color w:val="auto"/>
              </w:rPr>
              <w:t>188,358</w:t>
            </w:r>
          </w:p>
        </w:tc>
        <w:tc>
          <w:tcPr>
            <w:tcW w:w="180" w:type="dxa"/>
            <w:vAlign w:val="bottom"/>
          </w:tcPr>
          <w:p>
            <w:pPr>
              <w:spacing w:after="0"/>
              <w:rPr>
                <w:sz w:val="20"/>
                <w:szCs w:val="20"/>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5.6%</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4.3%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342,964</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366,781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57"/>
        </w:trPr>
        <w:tc>
          <w:tcPr>
            <w:tcW w:w="28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gain on securities </w:t>
            </w:r>
            <w:r>
              <w:rPr>
                <w:rFonts w:ascii="Arial" w:cs="Arial" w:eastAsia="Arial" w:hAnsi="Arial"/>
                <w:sz w:val="29"/>
                <w:szCs w:val="29"/>
                <w:color w:val="auto"/>
                <w:vertAlign w:val="superscript"/>
              </w:rPr>
              <w:t>(1)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(16,680)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113,545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100,987</w:t>
            </w:r>
          </w:p>
        </w:tc>
        <w:tc>
          <w:tcPr>
            <w:tcW w:w="1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-705.4%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73,244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214,532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192.9%</w:t>
            </w:r>
          </w:p>
        </w:tc>
      </w:tr>
      <w:tr>
        <w:trPr>
          <w:trHeight w:val="257"/>
        </w:trPr>
        <w:tc>
          <w:tcPr>
            <w:tcW w:w="28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Net gain from associates </w:t>
            </w:r>
            <w:r>
              <w:rPr>
                <w:rFonts w:ascii="Arial" w:cs="Arial" w:eastAsia="Arial" w:hAnsi="Arial"/>
                <w:sz w:val="29"/>
                <w:szCs w:val="29"/>
                <w:color w:val="auto"/>
                <w:vertAlign w:val="superscript"/>
              </w:rPr>
              <w:t>(1) (2)</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21,219</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14,786</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20,478</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38.5%</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-3.5%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37,712</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35,264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02"/>
        </w:trPr>
        <w:tc>
          <w:tcPr>
            <w:tcW w:w="2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gain on derivatives held for</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14,597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-70.3%</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-105.0%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14,285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w w:val="98"/>
              </w:rPr>
              <w:t>Net gain from exchange differences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1,031</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7,660</w:t>
            </w:r>
          </w:p>
        </w:tc>
        <w:tc>
          <w:tcPr>
            <w:tcW w:w="2720" w:type="dxa"/>
            <w:vAlign w:val="bottom"/>
            <w:gridSpan w:val="6"/>
          </w:tcPr>
          <w:p>
            <w:pPr>
              <w:jc w:val="right"/>
              <w:ind w:right="30"/>
              <w:spacing w:after="0"/>
              <w:rPr>
                <w:sz w:val="20"/>
                <w:szCs w:val="20"/>
                <w:color w:val="auto"/>
              </w:rPr>
            </w:pPr>
            <w:r>
              <w:rPr>
                <w:rFonts w:ascii="Arial" w:cs="Arial" w:eastAsia="Arial" w:hAnsi="Arial"/>
                <w:sz w:val="18"/>
                <w:szCs w:val="18"/>
                <w:color w:val="auto"/>
              </w:rPr>
              <w:t>(3,603)   -147.0%   -449.5%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6,920</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4,057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-41.4%</w:t>
            </w:r>
          </w:p>
        </w:tc>
      </w:tr>
      <w:tr>
        <w:trPr>
          <w:trHeight w:val="23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non-financial income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84,009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75,605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98,703</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166,885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174,308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Total non-financial income, net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1,051,840</w:t>
            </w:r>
          </w:p>
        </w:tc>
        <w:tc>
          <w:tcPr>
            <w:tcW w:w="1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1,170,507</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1,191,449</w:t>
            </w:r>
          </w:p>
        </w:tc>
        <w:tc>
          <w:tcPr>
            <w:tcW w:w="180" w:type="dxa"/>
            <w:vAlign w:val="bottom"/>
          </w:tcPr>
          <w:p>
            <w:pPr>
              <w:spacing w:after="0"/>
              <w:rPr>
                <w:sz w:val="18"/>
                <w:szCs w:val="18"/>
                <w:color w:val="auto"/>
              </w:rPr>
            </w:pPr>
          </w:p>
        </w:tc>
        <w:tc>
          <w:tcPr>
            <w:tcW w:w="58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w w:val="79"/>
              </w:rPr>
              <w:t>1.8</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2,158,697</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2,361,956</w:t>
            </w:r>
          </w:p>
        </w:tc>
        <w:tc>
          <w:tcPr>
            <w:tcW w:w="18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8"/>
        <w:spacing w:after="0" w:line="258" w:lineRule="auto"/>
        <w:tabs>
          <w:tab w:leader="none" w:pos="2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gain from other investments in related companies has been included in the item "Net gain from associates"; which previously was presented in the item "Net gain on sales of securities".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gains on other investments, mainly made up of the profit of Banmedica.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Quarter</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4"/>
          </w:tcPr>
          <w:p>
            <w:pPr>
              <w:ind w:left="400"/>
              <w:spacing w:after="0"/>
              <w:rPr>
                <w:sz w:val="20"/>
                <w:szCs w:val="20"/>
                <w:color w:val="auto"/>
              </w:rPr>
            </w:pPr>
            <w:r>
              <w:rPr>
                <w:rFonts w:ascii="Arial" w:cs="Arial" w:eastAsia="Arial" w:hAnsi="Arial"/>
                <w:sz w:val="18"/>
                <w:szCs w:val="18"/>
                <w:b w:val="1"/>
                <w:bCs w:val="1"/>
                <w:color w:val="auto"/>
              </w:rPr>
              <w:t>% change</w:t>
            </w:r>
          </w:p>
        </w:tc>
        <w:tc>
          <w:tcPr>
            <w:tcW w:w="172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YTD</w:t>
            </w: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 change</w:t>
            </w:r>
          </w:p>
        </w:tc>
      </w:tr>
      <w:tr>
        <w:trPr>
          <w:trHeight w:val="234"/>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millions)</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2Q18</w:t>
            </w:r>
          </w:p>
        </w:tc>
        <w:tc>
          <w:tcPr>
            <w:tcW w:w="2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1Q19</w:t>
            </w:r>
          </w:p>
        </w:tc>
        <w:tc>
          <w:tcPr>
            <w:tcW w:w="2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2Q19</w:t>
            </w:r>
          </w:p>
        </w:tc>
        <w:tc>
          <w:tcPr>
            <w:tcW w:w="2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Jun 18</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Jun 19</w:t>
            </w:r>
          </w:p>
        </w:tc>
        <w:tc>
          <w:tcPr>
            <w:tcW w:w="2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Jun 19 / Jun 18</w:t>
            </w:r>
          </w:p>
        </w:tc>
        <w:tc>
          <w:tcPr>
            <w:tcW w:w="180" w:type="dxa"/>
            <w:vAlign w:val="bottom"/>
            <w:tcBorders>
              <w:bottom w:val="single" w:sz="8" w:color="CCEEFF"/>
            </w:tcBorders>
          </w:tcPr>
          <w:p>
            <w:pPr>
              <w:spacing w:after="0"/>
              <w:rPr>
                <w:sz w:val="20"/>
                <w:szCs w:val="20"/>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 EPS contribution (50%)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43.1%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26,537</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4"/>
              </w:rPr>
              <w:t>-18.3%</w:t>
            </w: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w w:val="94"/>
              </w:rPr>
              <w:t>(-) Private health insurance deduction (50%)</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(3,789)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(2,736)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(4,746)</w:t>
            </w: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73.5%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(8,644)</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(7,482)</w:t>
            </w:r>
          </w:p>
        </w:tc>
        <w:tc>
          <w:tcPr>
            <w:tcW w:w="1360" w:type="dxa"/>
            <w:vAlign w:val="bottom"/>
            <w:gridSpan w:val="2"/>
          </w:tcPr>
          <w:p>
            <w:pPr>
              <w:ind w:left="800"/>
              <w:spacing w:after="0"/>
              <w:rPr>
                <w:sz w:val="20"/>
                <w:szCs w:val="20"/>
                <w:color w:val="auto"/>
              </w:rPr>
            </w:pPr>
            <w:r>
              <w:rPr>
                <w:rFonts w:ascii="Arial" w:cs="Arial" w:eastAsia="Arial" w:hAnsi="Arial"/>
                <w:sz w:val="18"/>
                <w:szCs w:val="18"/>
                <w:color w:val="auto"/>
                <w:w w:val="94"/>
              </w:rPr>
              <w:t>-13.4%</w:t>
            </w:r>
          </w:p>
        </w:tc>
      </w:tr>
      <w:tr>
        <w:trPr>
          <w:trHeight w:val="178"/>
        </w:trPr>
        <w:tc>
          <w:tcPr>
            <w:tcW w:w="334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 Net gain from association with</w:t>
            </w: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248"/>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Banmedica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9,506</w:t>
            </w: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6,182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8,012</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29.6%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17,893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14,194</w:t>
            </w:r>
          </w:p>
        </w:tc>
        <w:tc>
          <w:tcPr>
            <w:tcW w:w="1360" w:type="dxa"/>
            <w:vAlign w:val="bottom"/>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w w:val="94"/>
              </w:rPr>
              <w:t>-20.7%</w:t>
            </w: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QoQ evolution</w:t>
      </w:r>
      <w:r>
        <w:rPr>
          <w:rFonts w:ascii="Arial" w:cs="Arial" w:eastAsia="Arial" w:hAnsi="Arial"/>
          <w:sz w:val="18"/>
          <w:szCs w:val="18"/>
          <w:color w:val="auto"/>
        </w:rPr>
        <w:t xml:space="preserve"> reflects 1.8% growth in non-financial income, which was attributable to:</w:t>
      </w:r>
    </w:p>
    <w:p>
      <w:pPr>
        <w:spacing w:after="0" w:line="225" w:lineRule="exact"/>
        <w:rPr>
          <w:sz w:val="20"/>
          <w:szCs w:val="20"/>
          <w:color w:val="auto"/>
        </w:rPr>
      </w:pPr>
    </w:p>
    <w:p>
      <w:pPr>
        <w:ind w:left="980" w:hanging="648"/>
        <w:spacing w:after="0" w:line="282"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increase in the </w:t>
      </w:r>
      <w:r>
        <w:rPr>
          <w:rFonts w:ascii="Arial" w:cs="Arial" w:eastAsia="Arial" w:hAnsi="Arial"/>
          <w:sz w:val="18"/>
          <w:szCs w:val="18"/>
          <w:b w:val="1"/>
          <w:bCs w:val="1"/>
          <w:color w:val="auto"/>
        </w:rPr>
        <w:t>Net gain on foreign exchange transactions</w:t>
      </w:r>
      <w:r>
        <w:rPr>
          <w:rFonts w:ascii="Arial" w:cs="Arial" w:eastAsia="Arial" w:hAnsi="Arial"/>
          <w:sz w:val="18"/>
          <w:szCs w:val="18"/>
          <w:color w:val="auto"/>
        </w:rPr>
        <w:t xml:space="preserve"> at BCP Stand-alone, which was generated by an increase in the volumes and margins obtained for transactions with Retail Banking clients</w:t>
      </w:r>
    </w:p>
    <w:p>
      <w:pPr>
        <w:spacing w:after="0" w:line="161" w:lineRule="exact"/>
        <w:rPr>
          <w:rFonts w:ascii="Arial" w:cs="Arial" w:eastAsia="Arial" w:hAnsi="Arial"/>
          <w:sz w:val="18"/>
          <w:szCs w:val="18"/>
          <w:color w:val="auto"/>
        </w:rPr>
      </w:pPr>
    </w:p>
    <w:p>
      <w:pPr>
        <w:ind w:left="980" w:hanging="648"/>
        <w:spacing w:after="0" w:line="282"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Growth in the </w:t>
      </w:r>
      <w:r>
        <w:rPr>
          <w:rFonts w:ascii="Arial" w:cs="Arial" w:eastAsia="Arial" w:hAnsi="Arial"/>
          <w:sz w:val="18"/>
          <w:szCs w:val="18"/>
          <w:b w:val="1"/>
          <w:bCs w:val="1"/>
          <w:color w:val="auto"/>
        </w:rPr>
        <w:t>Net gain from associates</w:t>
      </w:r>
      <w:r>
        <w:rPr>
          <w:rFonts w:ascii="Arial" w:cs="Arial" w:eastAsia="Arial" w:hAnsi="Arial"/>
          <w:sz w:val="18"/>
          <w:szCs w:val="18"/>
          <w:color w:val="auto"/>
        </w:rPr>
        <w:t xml:space="preserve"> due to higher income from the association between Pacifico and Banmedica, which reported an improvement in the EPS business.</w:t>
      </w:r>
    </w:p>
    <w:p>
      <w:pPr>
        <w:spacing w:after="0" w:line="161" w:lineRule="exact"/>
        <w:rPr>
          <w:rFonts w:ascii="Arial" w:cs="Arial" w:eastAsia="Arial" w:hAnsi="Arial"/>
          <w:sz w:val="18"/>
          <w:szCs w:val="18"/>
          <w:color w:val="auto"/>
        </w:rPr>
      </w:pPr>
    </w:p>
    <w:p>
      <w:pPr>
        <w:ind w:left="980" w:hanging="648"/>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Expansion in </w:t>
      </w:r>
      <w:r>
        <w:rPr>
          <w:rFonts w:ascii="Arial" w:cs="Arial" w:eastAsia="Arial" w:hAnsi="Arial"/>
          <w:sz w:val="18"/>
          <w:szCs w:val="18"/>
          <w:b w:val="1"/>
          <w:bCs w:val="1"/>
          <w:color w:val="auto"/>
        </w:rPr>
        <w:t>Other income</w:t>
      </w:r>
      <w:r>
        <w:rPr>
          <w:rFonts w:ascii="Arial" w:cs="Arial" w:eastAsia="Arial" w:hAnsi="Arial"/>
          <w:sz w:val="18"/>
          <w:szCs w:val="18"/>
          <w:color w:val="auto"/>
        </w:rPr>
        <w:t>, which was attributable to a gain at BCP Bolivia for a property sale in the month of May.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of the aforementioned was offset by:</w:t>
      </w:r>
    </w:p>
    <w:p>
      <w:pPr>
        <w:spacing w:after="0" w:line="221" w:lineRule="exact"/>
        <w:rPr>
          <w:sz w:val="20"/>
          <w:szCs w:val="20"/>
          <w:color w:val="auto"/>
        </w:rPr>
      </w:pPr>
    </w:p>
    <w:p>
      <w:pPr>
        <w:ind w:left="980" w:hanging="648"/>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 drop in the </w:t>
      </w:r>
      <w:r>
        <w:rPr>
          <w:rFonts w:ascii="Arial" w:cs="Arial" w:eastAsia="Arial" w:hAnsi="Arial"/>
          <w:sz w:val="18"/>
          <w:szCs w:val="18"/>
          <w:b w:val="1"/>
          <w:bCs w:val="1"/>
          <w:color w:val="auto"/>
        </w:rPr>
        <w:t>Net gain on securities</w:t>
      </w:r>
      <w:r>
        <w:rPr>
          <w:rFonts w:ascii="Arial" w:cs="Arial" w:eastAsia="Arial" w:hAnsi="Arial"/>
          <w:sz w:val="18"/>
          <w:szCs w:val="18"/>
          <w:color w:val="auto"/>
        </w:rPr>
        <w:t>, mainly at Prima AFP and due to a decline in the profitability of the legal reserve account.</w:t>
      </w:r>
    </w:p>
    <w:p>
      <w:pPr>
        <w:spacing w:after="0" w:line="225" w:lineRule="exact"/>
        <w:rPr>
          <w:rFonts w:ascii="Arial" w:cs="Arial" w:eastAsia="Arial" w:hAnsi="Arial"/>
          <w:sz w:val="18"/>
          <w:szCs w:val="18"/>
          <w:color w:val="auto"/>
        </w:rPr>
      </w:pPr>
    </w:p>
    <w:p>
      <w:pPr>
        <w:ind w:left="980" w:hanging="648"/>
        <w:spacing w:after="0" w:line="282"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 contraction in the </w:t>
      </w:r>
      <w:r>
        <w:rPr>
          <w:rFonts w:ascii="Arial" w:cs="Arial" w:eastAsia="Arial" w:hAnsi="Arial"/>
          <w:sz w:val="18"/>
          <w:szCs w:val="18"/>
          <w:b w:val="1"/>
          <w:bCs w:val="1"/>
          <w:color w:val="auto"/>
        </w:rPr>
        <w:t>Net gain from exchange differences</w:t>
      </w:r>
      <w:r>
        <w:rPr>
          <w:rFonts w:ascii="Arial" w:cs="Arial" w:eastAsia="Arial" w:hAnsi="Arial"/>
          <w:sz w:val="18"/>
          <w:szCs w:val="18"/>
          <w:color w:val="auto"/>
        </w:rPr>
        <w:t>, mainly at BCP Stand-alone and Credicorp Capital due to a variation in the exchange rate (USD/PEN), which impacted negatively.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a significant increase of 13.3% in Non-financial income is evident, which was associated with:</w:t>
      </w:r>
    </w:p>
    <w:p>
      <w:pPr>
        <w:spacing w:after="0" w:line="225" w:lineRule="exact"/>
        <w:rPr>
          <w:sz w:val="20"/>
          <w:szCs w:val="20"/>
          <w:color w:val="auto"/>
        </w:rPr>
      </w:pPr>
    </w:p>
    <w:p>
      <w:pPr>
        <w:jc w:val="both"/>
        <w:ind w:left="980" w:hanging="648"/>
        <w:spacing w:after="0" w:line="261"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Net gain on securities</w:t>
      </w:r>
      <w:r>
        <w:rPr>
          <w:rFonts w:ascii="Arial" w:cs="Arial" w:eastAsia="Arial" w:hAnsi="Arial"/>
          <w:sz w:val="18"/>
          <w:szCs w:val="18"/>
          <w:color w:val="auto"/>
        </w:rPr>
        <w:t>; this was primarily due to the fact that BCP Stand-alone reported losses on 2Q18 for the sale of investments in a scenario marked by an increase in international interest rates. In 2Q19, the increase was due to the repurchase of Peruvian government bonds at BCP Stand-alone. Higher gains on the proprietary investment portfolios at ASB and Credicorp Capital also had a positive-albeit less significant- impact this quarter.</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ind w:left="980" w:right="20" w:hanging="648"/>
        <w:spacing w:after="0" w:line="282"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Expansion of +2.6% in </w:t>
      </w:r>
      <w:r>
        <w:rPr>
          <w:rFonts w:ascii="Arial" w:cs="Arial" w:eastAsia="Arial" w:hAnsi="Arial"/>
          <w:sz w:val="18"/>
          <w:szCs w:val="18"/>
          <w:b w:val="1"/>
          <w:bCs w:val="1"/>
          <w:color w:val="auto"/>
        </w:rPr>
        <w:t>Fee Income</w:t>
      </w:r>
      <w:r>
        <w:rPr>
          <w:rFonts w:ascii="Arial" w:cs="Arial" w:eastAsia="Arial" w:hAnsi="Arial"/>
          <w:sz w:val="18"/>
          <w:szCs w:val="18"/>
          <w:color w:val="auto"/>
        </w:rPr>
        <w:t>, which was primarily attributable to an increase in transactional activity at BCP Stand-alone and, to a lesser extent, at Mibanco, as explained in greater detail in section 5.1.2 Fee income in the Banking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terms of </w:t>
      </w:r>
      <w:r>
        <w:rPr>
          <w:rFonts w:ascii="Arial" w:cs="Arial" w:eastAsia="Arial" w:hAnsi="Arial"/>
          <w:sz w:val="18"/>
          <w:szCs w:val="18"/>
          <w:b w:val="1"/>
          <w:bCs w:val="1"/>
          <w:color w:val="auto"/>
        </w:rPr>
        <w:t>accumulated</w:t>
      </w:r>
      <w:r>
        <w:rPr>
          <w:rFonts w:ascii="Arial" w:cs="Arial" w:eastAsia="Arial" w:hAnsi="Arial"/>
          <w:sz w:val="18"/>
          <w:szCs w:val="18"/>
          <w:color w:val="auto"/>
        </w:rPr>
        <w:t xml:space="preserve"> results (Jun 19 vs Jun 18), Non-financial income increased due to growth in:</w:t>
      </w:r>
    </w:p>
    <w:p>
      <w:pPr>
        <w:spacing w:after="0" w:line="225" w:lineRule="exact"/>
        <w:rPr>
          <w:sz w:val="20"/>
          <w:szCs w:val="20"/>
          <w:color w:val="auto"/>
        </w:rPr>
      </w:pPr>
    </w:p>
    <w:p>
      <w:pPr>
        <w:jc w:val="both"/>
        <w:ind w:left="980" w:hanging="648"/>
        <w:spacing w:after="0" w:line="289"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Net gain on securities</w:t>
      </w:r>
      <w:r>
        <w:rPr>
          <w:rFonts w:ascii="Arial" w:cs="Arial" w:eastAsia="Arial" w:hAnsi="Arial"/>
          <w:sz w:val="17"/>
          <w:szCs w:val="17"/>
          <w:color w:val="auto"/>
        </w:rPr>
        <w:t>, which was generated mainly by a scenario of higher gains at ASB, after losses were reported in 1H18, and by significant gains at Credicorp Capital during the same period. The latter was associated with an increase in the mark to market value of trading securities and to the gain generated by selling some positions in the fair value through comprehensive income investment portfolio.</w:t>
      </w:r>
    </w:p>
    <w:p>
      <w:pPr>
        <w:spacing w:after="0" w:line="158" w:lineRule="exact"/>
        <w:rPr>
          <w:rFonts w:ascii="Arial" w:cs="Arial" w:eastAsia="Arial" w:hAnsi="Arial"/>
          <w:sz w:val="17"/>
          <w:szCs w:val="17"/>
          <w:color w:val="auto"/>
        </w:rPr>
      </w:pPr>
    </w:p>
    <w:p>
      <w:pPr>
        <w:ind w:left="980" w:hanging="648"/>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Fee income</w:t>
      </w:r>
      <w:r>
        <w:rPr>
          <w:rFonts w:ascii="Arial" w:cs="Arial" w:eastAsia="Arial" w:hAnsi="Arial"/>
          <w:sz w:val="18"/>
          <w:szCs w:val="18"/>
          <w:color w:val="auto"/>
        </w:rPr>
        <w:t>, mainly due to an improvement in the evolution of banking commissions at BCP Stand-alone and Mibanco.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Fee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 By subsidiary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that contribution of each of Credicorp’s subsidiaries to the group’s fee income in 2Q19.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QoQ by subsidiary </w:t>
      </w:r>
      <w:r>
        <w:rPr>
          <w:rFonts w:ascii="Arial" w:cs="Arial" w:eastAsia="Arial" w:hAnsi="Arial"/>
          <w:sz w:val="18"/>
          <w:szCs w:val="18"/>
          <w:color w:val="auto"/>
        </w:rPr>
        <w:t>(S/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+0.6%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746115" cy="17494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46115"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*Others include Grupo Pacifico and eliminations for consolidation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the annual evolution of fee income by subsidiary: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YoY by subsidiary </w:t>
      </w:r>
      <w:r>
        <w:rPr>
          <w:rFonts w:ascii="Arial" w:cs="Arial" w:eastAsia="Arial" w:hAnsi="Arial"/>
          <w:sz w:val="18"/>
          <w:szCs w:val="18"/>
          <w:color w:val="auto"/>
        </w:rPr>
        <w:t>(S/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+2.6%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46115" cy="17151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46115"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*Others include Grupo Pacifico and eliminations for consolidation purposes.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5.1.2. Fee income in the Banking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shows the evolution of the main components of fee income in the banking business: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Fee Income in the Banking Business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Fee Income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9"/>
              </w:rPr>
              <w:t>% change</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ind w:left="740"/>
              <w:spacing w:after="0"/>
              <w:rPr>
                <w:sz w:val="20"/>
                <w:szCs w:val="20"/>
                <w:color w:val="auto"/>
              </w:rPr>
            </w:pPr>
            <w:r>
              <w:rPr>
                <w:rFonts w:ascii="Arial" w:cs="Arial" w:eastAsia="Arial" w:hAnsi="Arial"/>
                <w:sz w:val="18"/>
                <w:szCs w:val="18"/>
                <w:b w:val="1"/>
                <w:bCs w:val="1"/>
                <w:color w:val="auto"/>
                <w:w w:val="99"/>
              </w:rPr>
              <w:t>YTD</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b w:val="1"/>
                <w:bCs w:val="1"/>
                <w:color w:val="auto"/>
              </w:rPr>
              <w:t>2Q18</w:t>
            </w:r>
          </w:p>
        </w:tc>
        <w:tc>
          <w:tcPr>
            <w:tcW w:w="18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1Q19</w:t>
            </w:r>
          </w:p>
        </w:tc>
        <w:tc>
          <w:tcPr>
            <w:tcW w:w="18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2Q19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QoQ</w:t>
            </w:r>
          </w:p>
        </w:tc>
        <w:tc>
          <w:tcPr>
            <w:tcW w:w="28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YoY</w:t>
            </w:r>
          </w:p>
        </w:tc>
        <w:tc>
          <w:tcPr>
            <w:tcW w:w="28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Jun 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Jun 19</w:t>
            </w:r>
          </w:p>
        </w:tc>
        <w:tc>
          <w:tcPr>
            <w:tcW w:w="100" w:type="dxa"/>
            <w:vAlign w:val="bottom"/>
          </w:tcPr>
          <w:p>
            <w:pPr>
              <w:spacing w:after="0"/>
              <w:rPr>
                <w:sz w:val="20"/>
                <w:szCs w:val="20"/>
                <w:color w:val="auto"/>
              </w:rPr>
            </w:pPr>
          </w:p>
        </w:tc>
        <w:tc>
          <w:tcPr>
            <w:tcW w:w="14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6"/>
              </w:rPr>
              <w:t>Jun 19 / Jun 18</w:t>
            </w:r>
          </w:p>
        </w:tc>
        <w:tc>
          <w:tcPr>
            <w:tcW w:w="0" w:type="dxa"/>
            <w:vAlign w:val="bottom"/>
          </w:tcPr>
          <w:p>
            <w:pPr>
              <w:spacing w:after="0"/>
              <w:rPr>
                <w:sz w:val="1"/>
                <w:szCs w:val="1"/>
                <w:color w:val="auto"/>
              </w:rPr>
            </w:pPr>
          </w:p>
        </w:tc>
      </w:tr>
      <w:tr>
        <w:trPr>
          <w:trHeight w:val="20"/>
        </w:trPr>
        <w:tc>
          <w:tcPr>
            <w:tcW w:w="2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Miscellaneous accounts </w:t>
            </w:r>
            <w:r>
              <w:rPr>
                <w:rFonts w:ascii="Arial" w:cs="Arial" w:eastAsia="Arial" w:hAnsi="Arial"/>
                <w:sz w:val="29"/>
                <w:szCs w:val="29"/>
                <w:color w:val="auto"/>
                <w:vertAlign w:val="superscript"/>
              </w:rPr>
              <w:t>(1)</w:t>
            </w:r>
          </w:p>
        </w:tc>
        <w:tc>
          <w:tcPr>
            <w:tcW w:w="100" w:type="dxa"/>
            <w:vAlign w:val="bottom"/>
            <w:vMerge w:val="continue"/>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178,172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177,517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169,732</w:t>
            </w:r>
          </w:p>
        </w:tc>
        <w:tc>
          <w:tcPr>
            <w:tcW w:w="1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355,428</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347,249</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30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Credit cards </w:t>
            </w:r>
            <w:r>
              <w:rPr>
                <w:rFonts w:ascii="Arial" w:cs="Arial" w:eastAsia="Arial" w:hAnsi="Arial"/>
                <w:sz w:val="29"/>
                <w:szCs w:val="29"/>
                <w:color w:val="auto"/>
                <w:vertAlign w:val="superscript"/>
              </w:rPr>
              <w:t>(2)</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74,153</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69,499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71,029</w:t>
            </w:r>
          </w:p>
        </w:tc>
        <w:tc>
          <w:tcPr>
            <w:tcW w:w="960" w:type="dxa"/>
            <w:vAlign w:val="bottom"/>
            <w:gridSpan w:val="3"/>
          </w:tcPr>
          <w:p>
            <w:pPr>
              <w:jc w:val="right"/>
              <w:ind w:right="50"/>
              <w:spacing w:after="0"/>
              <w:rPr>
                <w:sz w:val="20"/>
                <w:szCs w:val="20"/>
                <w:color w:val="auto"/>
              </w:rPr>
            </w:pPr>
            <w:r>
              <w:rPr>
                <w:rFonts w:ascii="Arial" w:cs="Arial" w:eastAsia="Arial" w:hAnsi="Arial"/>
                <w:sz w:val="18"/>
                <w:szCs w:val="18"/>
                <w:color w:val="auto"/>
              </w:rPr>
              <w:t>2.2%</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-4.2%</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145,394</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140,529</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Drafts and transfers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55,136</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60,232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64,485</w:t>
            </w:r>
          </w:p>
        </w:tc>
        <w:tc>
          <w:tcPr>
            <w:tcW w:w="9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7.1%</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104,102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124,717</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57"/>
        </w:trPr>
        <w:tc>
          <w:tcPr>
            <w:tcW w:w="30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Personal loans </w:t>
            </w:r>
            <w:r>
              <w:rPr>
                <w:rFonts w:ascii="Arial" w:cs="Arial" w:eastAsia="Arial" w:hAnsi="Arial"/>
                <w:sz w:val="29"/>
                <w:szCs w:val="29"/>
                <w:color w:val="auto"/>
                <w:vertAlign w:val="superscript"/>
              </w:rPr>
              <w:t>(2)</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23,401</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23,599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24,922</w:t>
            </w:r>
          </w:p>
        </w:tc>
        <w:tc>
          <w:tcPr>
            <w:tcW w:w="960" w:type="dxa"/>
            <w:vAlign w:val="bottom"/>
            <w:gridSpan w:val="3"/>
          </w:tcPr>
          <w:p>
            <w:pPr>
              <w:jc w:val="right"/>
              <w:ind w:right="50"/>
              <w:spacing w:after="0"/>
              <w:rPr>
                <w:sz w:val="20"/>
                <w:szCs w:val="20"/>
                <w:color w:val="auto"/>
              </w:rPr>
            </w:pPr>
            <w:r>
              <w:rPr>
                <w:rFonts w:ascii="Arial" w:cs="Arial" w:eastAsia="Arial" w:hAnsi="Arial"/>
                <w:sz w:val="18"/>
                <w:szCs w:val="18"/>
                <w:color w:val="auto"/>
              </w:rPr>
              <w:t>5.6%</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6.5%</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46,299</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48,522</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3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SME loans </w:t>
            </w:r>
            <w:r>
              <w:rPr>
                <w:rFonts w:ascii="Arial" w:cs="Arial" w:eastAsia="Arial" w:hAnsi="Arial"/>
                <w:sz w:val="29"/>
                <w:szCs w:val="29"/>
                <w:color w:val="auto"/>
                <w:vertAlign w:val="superscript"/>
              </w:rPr>
              <w:t>(2)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15,171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18,565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16,971</w:t>
            </w:r>
          </w:p>
        </w:tc>
        <w:tc>
          <w:tcPr>
            <w:tcW w:w="9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32,220</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35,535</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57"/>
        </w:trPr>
        <w:tc>
          <w:tcPr>
            <w:tcW w:w="30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Insurance </w:t>
            </w:r>
            <w:r>
              <w:rPr>
                <w:rFonts w:ascii="Arial" w:cs="Arial" w:eastAsia="Arial" w:hAnsi="Arial"/>
                <w:sz w:val="29"/>
                <w:szCs w:val="29"/>
                <w:color w:val="auto"/>
                <w:vertAlign w:val="superscript"/>
              </w:rPr>
              <w:t>(2)</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20,489</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22,201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23,544</w:t>
            </w:r>
          </w:p>
        </w:tc>
        <w:tc>
          <w:tcPr>
            <w:tcW w:w="960" w:type="dxa"/>
            <w:vAlign w:val="bottom"/>
            <w:gridSpan w:val="3"/>
          </w:tcPr>
          <w:p>
            <w:pPr>
              <w:jc w:val="right"/>
              <w:ind w:right="50"/>
              <w:spacing w:after="0"/>
              <w:rPr>
                <w:sz w:val="20"/>
                <w:szCs w:val="20"/>
                <w:color w:val="auto"/>
              </w:rPr>
            </w:pPr>
            <w:r>
              <w:rPr>
                <w:rFonts w:ascii="Arial" w:cs="Arial" w:eastAsia="Arial" w:hAnsi="Arial"/>
                <w:sz w:val="18"/>
                <w:szCs w:val="18"/>
                <w:color w:val="auto"/>
              </w:rPr>
              <w:t>6.1%</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14.9%</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40,118</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45,745</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57"/>
        </w:trPr>
        <w:tc>
          <w:tcPr>
            <w:tcW w:w="3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Mortgage loans </w:t>
            </w:r>
            <w:r>
              <w:rPr>
                <w:rFonts w:ascii="Arial" w:cs="Arial" w:eastAsia="Arial" w:hAnsi="Arial"/>
                <w:sz w:val="29"/>
                <w:szCs w:val="29"/>
                <w:color w:val="auto"/>
                <w:vertAlign w:val="superscript"/>
              </w:rPr>
              <w:t>(2)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9,763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9,428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10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18,945</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19,166</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30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Off-balance sheet </w:t>
            </w:r>
            <w:r>
              <w:rPr>
                <w:rFonts w:ascii="Arial" w:cs="Arial" w:eastAsia="Arial" w:hAnsi="Arial"/>
                <w:sz w:val="29"/>
                <w:szCs w:val="29"/>
                <w:color w:val="auto"/>
                <w:vertAlign w:val="superscript"/>
              </w:rPr>
              <w:t>(3)</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51,376</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51,179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51,828</w:t>
            </w:r>
          </w:p>
        </w:tc>
        <w:tc>
          <w:tcPr>
            <w:tcW w:w="960" w:type="dxa"/>
            <w:vAlign w:val="bottom"/>
            <w:gridSpan w:val="3"/>
          </w:tcPr>
          <w:p>
            <w:pPr>
              <w:jc w:val="right"/>
              <w:ind w:right="50"/>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0.9%</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102,921</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103,007</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3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Payments and collections </w:t>
            </w:r>
            <w:r>
              <w:rPr>
                <w:rFonts w:ascii="Arial" w:cs="Arial" w:eastAsia="Arial" w:hAnsi="Arial"/>
                <w:sz w:val="29"/>
                <w:szCs w:val="29"/>
                <w:color w:val="auto"/>
                <w:vertAlign w:val="superscript"/>
              </w:rPr>
              <w:t>(3)</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102,492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103,764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104,958</w:t>
            </w:r>
          </w:p>
        </w:tc>
        <w:tc>
          <w:tcPr>
            <w:tcW w:w="10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200,270</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208,722</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7"/>
        </w:trPr>
        <w:tc>
          <w:tcPr>
            <w:tcW w:w="30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Commercial loans </w:t>
            </w:r>
            <w:r>
              <w:rPr>
                <w:rFonts w:ascii="Arial" w:cs="Arial" w:eastAsia="Arial" w:hAnsi="Arial"/>
                <w:sz w:val="29"/>
                <w:szCs w:val="29"/>
                <w:color w:val="auto"/>
                <w:vertAlign w:val="superscript"/>
              </w:rPr>
              <w:t>(3)(4)</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19,400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22,517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20,823</w:t>
            </w:r>
          </w:p>
        </w:tc>
        <w:tc>
          <w:tcPr>
            <w:tcW w:w="960" w:type="dxa"/>
            <w:vAlign w:val="bottom"/>
            <w:gridSpan w:val="3"/>
          </w:tcPr>
          <w:p>
            <w:pPr>
              <w:jc w:val="right"/>
              <w:ind w:right="50"/>
              <w:spacing w:after="0"/>
              <w:rPr>
                <w:sz w:val="20"/>
                <w:szCs w:val="20"/>
                <w:color w:val="auto"/>
              </w:rPr>
            </w:pPr>
            <w:r>
              <w:rPr>
                <w:rFonts w:ascii="Arial" w:cs="Arial" w:eastAsia="Arial" w:hAnsi="Arial"/>
                <w:sz w:val="18"/>
                <w:szCs w:val="18"/>
                <w:color w:val="auto"/>
              </w:rPr>
              <w:t>-7.5%</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7.3%</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39,996</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43,340</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7"/>
        </w:trPr>
        <w:tc>
          <w:tcPr>
            <w:tcW w:w="3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Foreign trade </w:t>
            </w:r>
            <w:r>
              <w:rPr>
                <w:rFonts w:ascii="Arial" w:cs="Arial" w:eastAsia="Arial" w:hAnsi="Arial"/>
                <w:sz w:val="29"/>
                <w:szCs w:val="29"/>
                <w:color w:val="auto"/>
                <w:vertAlign w:val="superscript"/>
              </w:rPr>
              <w:t>(3)</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10,714</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10,977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w:t>
            </w:r>
          </w:p>
        </w:tc>
        <w:tc>
          <w:tcPr>
            <w:tcW w:w="10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-10.8%</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18,339</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20,769</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57"/>
        </w:trPr>
        <w:tc>
          <w:tcPr>
            <w:tcW w:w="3080" w:type="dxa"/>
            <w:vAlign w:val="bottom"/>
            <w:gridSpan w:val="2"/>
          </w:tcPr>
          <w:p>
            <w:pPr>
              <w:spacing w:after="0" w:line="256" w:lineRule="exact"/>
              <w:rPr>
                <w:sz w:val="20"/>
                <w:szCs w:val="20"/>
                <w:color w:val="auto"/>
              </w:rPr>
            </w:pPr>
            <w:r>
              <w:rPr>
                <w:rFonts w:ascii="Arial" w:cs="Arial" w:eastAsia="Arial" w:hAnsi="Arial"/>
                <w:sz w:val="18"/>
                <w:szCs w:val="18"/>
                <w:color w:val="auto"/>
                <w:w w:val="97"/>
              </w:rPr>
              <w:t xml:space="preserve">Corporate finance and mutual funds </w:t>
            </w:r>
            <w:r>
              <w:rPr>
                <w:rFonts w:ascii="Arial" w:cs="Arial" w:eastAsia="Arial" w:hAnsi="Arial"/>
                <w:sz w:val="29"/>
                <w:szCs w:val="29"/>
                <w:color w:val="auto"/>
                <w:w w:val="97"/>
                <w:vertAlign w:val="superscript"/>
              </w:rPr>
              <w:t>(4)</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15,234</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15,062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21,856</w:t>
            </w:r>
          </w:p>
        </w:tc>
        <w:tc>
          <w:tcPr>
            <w:tcW w:w="960" w:type="dxa"/>
            <w:vAlign w:val="bottom"/>
            <w:gridSpan w:val="3"/>
          </w:tcPr>
          <w:p>
            <w:pPr>
              <w:jc w:val="right"/>
              <w:ind w:right="50"/>
              <w:spacing w:after="0"/>
              <w:rPr>
                <w:sz w:val="20"/>
                <w:szCs w:val="20"/>
                <w:color w:val="auto"/>
              </w:rPr>
            </w:pPr>
            <w:r>
              <w:rPr>
                <w:rFonts w:ascii="Arial" w:cs="Arial" w:eastAsia="Arial" w:hAnsi="Arial"/>
                <w:sz w:val="18"/>
                <w:szCs w:val="18"/>
                <w:color w:val="auto"/>
              </w:rPr>
              <w:t>45.1%</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43.5%</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30,621</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36,917</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57"/>
        </w:trPr>
        <w:tc>
          <w:tcPr>
            <w:tcW w:w="3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ASB </w:t>
            </w:r>
            <w:r>
              <w:rPr>
                <w:rFonts w:ascii="Arial" w:cs="Arial" w:eastAsia="Arial" w:hAnsi="Arial"/>
                <w:sz w:val="29"/>
                <w:szCs w:val="29"/>
                <w:color w:val="auto"/>
                <w:vertAlign w:val="superscript"/>
              </w:rPr>
              <w:t>(4)</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7,917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10,271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11,915</w:t>
            </w:r>
          </w:p>
        </w:tc>
        <w:tc>
          <w:tcPr>
            <w:tcW w:w="10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16.0%</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50.5%</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16,654</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22,186</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0"/>
        </w:trPr>
        <w:tc>
          <w:tcPr>
            <w:tcW w:w="3080" w:type="dxa"/>
            <w:vAlign w:val="bottom"/>
            <w:gridSpan w:val="2"/>
          </w:tcPr>
          <w:p>
            <w:pPr>
              <w:spacing w:after="0" w:line="269" w:lineRule="exact"/>
              <w:rPr>
                <w:sz w:val="20"/>
                <w:szCs w:val="20"/>
                <w:color w:val="auto"/>
              </w:rPr>
            </w:pPr>
            <w:r>
              <w:rPr>
                <w:rFonts w:ascii="Arial" w:cs="Arial" w:eastAsia="Arial" w:hAnsi="Arial"/>
                <w:sz w:val="31"/>
                <w:szCs w:val="31"/>
                <w:color w:val="auto"/>
                <w:vertAlign w:val="subscript"/>
              </w:rPr>
              <w:t>Others</w:t>
            </w:r>
            <w:r>
              <w:rPr>
                <w:rFonts w:ascii="Arial" w:cs="Arial" w:eastAsia="Arial" w:hAnsi="Arial"/>
                <w:sz w:val="14"/>
                <w:szCs w:val="14"/>
                <w:color w:val="auto"/>
              </w:rPr>
              <w:t xml:space="preserve"> (4)(5)</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65,821</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69,802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73,360</w:t>
            </w:r>
          </w:p>
        </w:tc>
        <w:tc>
          <w:tcPr>
            <w:tcW w:w="960" w:type="dxa"/>
            <w:vAlign w:val="bottom"/>
            <w:gridSpan w:val="3"/>
          </w:tcPr>
          <w:p>
            <w:pPr>
              <w:jc w:val="right"/>
              <w:ind w:right="50"/>
              <w:spacing w:after="0"/>
              <w:rPr>
                <w:sz w:val="20"/>
                <w:szCs w:val="20"/>
                <w:color w:val="auto"/>
              </w:rPr>
            </w:pPr>
            <w:r>
              <w:rPr>
                <w:rFonts w:ascii="Arial" w:cs="Arial" w:eastAsia="Arial" w:hAnsi="Arial"/>
                <w:sz w:val="18"/>
                <w:szCs w:val="18"/>
                <w:color w:val="auto"/>
              </w:rPr>
              <w:t>5.1%</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11.5%</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121,870</w:t>
            </w:r>
          </w:p>
        </w:tc>
        <w:tc>
          <w:tcPr>
            <w:tcW w:w="10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143,162</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fee income</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649,239</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664,612</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674,954</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1,273,178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1,339,566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Source: BCP</w:t>
      </w:r>
    </w:p>
    <w:p>
      <w:pPr>
        <w:spacing w:after="0" w:line="23" w:lineRule="exact"/>
        <w:rPr>
          <w:sz w:val="20"/>
          <w:szCs w:val="20"/>
          <w:color w:val="auto"/>
        </w:rPr>
      </w:pPr>
    </w:p>
    <w:p>
      <w:pPr>
        <w:ind w:left="580" w:hanging="248"/>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Saving accounts, current accounts, debit card and master account.</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Mainly Retail fees.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Mainly Wholesale fees.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fees from BCP Bolivia, Mibanco, network usage and other services to third parties, among others.</w:t>
      </w:r>
    </w:p>
    <w:p>
      <w:pPr>
        <w:spacing w:after="0" w:line="207" w:lineRule="exact"/>
        <w:rPr>
          <w:sz w:val="20"/>
          <w:szCs w:val="20"/>
          <w:color w:val="auto"/>
        </w:rPr>
      </w:pPr>
    </w:p>
    <w:p>
      <w:pPr>
        <w:spacing w:after="0" w:line="347" w:lineRule="auto"/>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QoQ analysis</w:t>
      </w:r>
      <w:r>
        <w:rPr>
          <w:rFonts w:ascii="Arial" w:cs="Arial" w:eastAsia="Arial" w:hAnsi="Arial"/>
          <w:sz w:val="16"/>
          <w:szCs w:val="16"/>
          <w:color w:val="auto"/>
        </w:rPr>
        <w:t>, fee income in the banking business increased +1.6% QoQ, mainly due to the recovery registered for banking service transactions given that the figures for the first quarter of every year register a seasonal drop in activity. The components that posted the highest growth this quarter were:</w:t>
      </w:r>
    </w:p>
    <w:p>
      <w:pPr>
        <w:spacing w:after="0" w:line="116" w:lineRule="exact"/>
        <w:rPr>
          <w:sz w:val="20"/>
          <w:szCs w:val="20"/>
          <w:color w:val="auto"/>
        </w:rPr>
      </w:pPr>
    </w:p>
    <w:p>
      <w:pPr>
        <w:ind w:left="980" w:hanging="648"/>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Corporate finance and mutual funds</w:t>
      </w:r>
      <w:r>
        <w:rPr>
          <w:rFonts w:ascii="Arial" w:cs="Arial" w:eastAsia="Arial" w:hAnsi="Arial"/>
          <w:sz w:val="18"/>
          <w:szCs w:val="18"/>
          <w:color w:val="auto"/>
        </w:rPr>
        <w:t>, after recognition of deferred commissions for loan cancellation in the month of June.</w:t>
      </w:r>
    </w:p>
    <w:p>
      <w:pPr>
        <w:spacing w:after="0" w:line="225" w:lineRule="exact"/>
        <w:rPr>
          <w:rFonts w:ascii="Arial" w:cs="Arial" w:eastAsia="Arial" w:hAnsi="Arial"/>
          <w:sz w:val="18"/>
          <w:szCs w:val="18"/>
          <w:color w:val="auto"/>
        </w:rPr>
      </w:pPr>
    </w:p>
    <w:p>
      <w:pPr>
        <w:ind w:left="840" w:hanging="508"/>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Drafts and Transfers</w:t>
      </w:r>
      <w:r>
        <w:rPr>
          <w:rFonts w:ascii="Arial" w:cs="Arial" w:eastAsia="Arial" w:hAnsi="Arial"/>
          <w:sz w:val="18"/>
          <w:szCs w:val="18"/>
          <w:color w:val="auto"/>
        </w:rPr>
        <w:t>, due to an on-going increase in the transaction volume at the national level and in international transfers.</w:t>
      </w:r>
    </w:p>
    <w:p>
      <w:pPr>
        <w:spacing w:after="0" w:line="225" w:lineRule="exact"/>
        <w:rPr>
          <w:rFonts w:ascii="Arial" w:cs="Arial" w:eastAsia="Arial" w:hAnsi="Arial"/>
          <w:sz w:val="18"/>
          <w:szCs w:val="18"/>
          <w:color w:val="auto"/>
        </w:rPr>
      </w:pPr>
    </w:p>
    <w:p>
      <w:pPr>
        <w:ind w:left="840" w:hanging="508"/>
        <w:spacing w:after="0" w:line="347" w:lineRule="auto"/>
        <w:tabs>
          <w:tab w:leader="none" w:pos="84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Others, </w:t>
      </w:r>
      <w:r>
        <w:rPr>
          <w:rFonts w:ascii="Arial" w:cs="Arial" w:eastAsia="Arial" w:hAnsi="Arial"/>
          <w:sz w:val="16"/>
          <w:szCs w:val="16"/>
          <w:color w:val="auto"/>
        </w:rPr>
        <w:t>due to higher commissions to structure Leasing and for products associated with Severance Indemnity payments at BCP Stand-alone and</w:t>
      </w:r>
      <w:r>
        <w:rPr>
          <w:rFonts w:ascii="Arial" w:cs="Arial" w:eastAsia="Arial" w:hAnsi="Arial"/>
          <w:sz w:val="16"/>
          <w:szCs w:val="16"/>
          <w:b w:val="1"/>
          <w:bCs w:val="1"/>
          <w:color w:val="auto"/>
        </w:rPr>
        <w:t xml:space="preserve"> </w:t>
      </w:r>
      <w:r>
        <w:rPr>
          <w:rFonts w:ascii="Arial" w:cs="Arial" w:eastAsia="Arial" w:hAnsi="Arial"/>
          <w:sz w:val="16"/>
          <w:szCs w:val="16"/>
          <w:color w:val="auto"/>
        </w:rPr>
        <w:t>with methodological changes in insurance reporting at Mibanco, which went into effect in 2019 as explained in the Quarterly Report for 1Q19.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Growth was somewhat attenuated by:</w:t>
      </w:r>
    </w:p>
    <w:p>
      <w:pPr>
        <w:spacing w:after="0" w:line="221" w:lineRule="exact"/>
        <w:rPr>
          <w:sz w:val="20"/>
          <w:szCs w:val="20"/>
          <w:color w:val="auto"/>
        </w:rPr>
      </w:pPr>
    </w:p>
    <w:p>
      <w:pPr>
        <w:ind w:left="980" w:hanging="648"/>
        <w:spacing w:after="0" w:line="282"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Miscellaneous accounts</w:t>
      </w:r>
      <w:r>
        <w:rPr>
          <w:rFonts w:ascii="Arial" w:cs="Arial" w:eastAsia="Arial" w:hAnsi="Arial"/>
          <w:sz w:val="18"/>
          <w:szCs w:val="18"/>
          <w:color w:val="auto"/>
        </w:rPr>
        <w:t>, due to a decrease in income for debit cards and savings accounts due to lower billing levels (decrease in consumption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these products).</w:t>
      </w:r>
    </w:p>
    <w:p>
      <w:pPr>
        <w:spacing w:after="0" w:line="161" w:lineRule="exact"/>
        <w:rPr>
          <w:rFonts w:ascii="Arial" w:cs="Arial" w:eastAsia="Arial" w:hAnsi="Arial"/>
          <w:sz w:val="18"/>
          <w:szCs w:val="18"/>
          <w:color w:val="auto"/>
        </w:rPr>
      </w:pPr>
    </w:p>
    <w:p>
      <w:pPr>
        <w:ind w:left="980" w:right="20" w:hanging="648"/>
        <w:spacing w:after="0" w:line="282"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drop in </w:t>
      </w:r>
      <w:r>
        <w:rPr>
          <w:rFonts w:ascii="Arial" w:cs="Arial" w:eastAsia="Arial" w:hAnsi="Arial"/>
          <w:sz w:val="18"/>
          <w:szCs w:val="18"/>
          <w:b w:val="1"/>
          <w:bCs w:val="1"/>
          <w:color w:val="auto"/>
        </w:rPr>
        <w:t>Commercial loans</w:t>
      </w:r>
      <w:r>
        <w:rPr>
          <w:rFonts w:ascii="Arial" w:cs="Arial" w:eastAsia="Arial" w:hAnsi="Arial"/>
          <w:sz w:val="18"/>
          <w:szCs w:val="18"/>
          <w:color w:val="auto"/>
        </w:rPr>
        <w:t xml:space="preserve"> and </w:t>
      </w:r>
      <w:r>
        <w:rPr>
          <w:rFonts w:ascii="Arial" w:cs="Arial" w:eastAsia="Arial" w:hAnsi="Arial"/>
          <w:sz w:val="18"/>
          <w:szCs w:val="18"/>
          <w:b w:val="1"/>
          <w:bCs w:val="1"/>
          <w:color w:val="auto"/>
        </w:rPr>
        <w:t>SME-Pyme loans,</w:t>
      </w:r>
      <w:r>
        <w:rPr>
          <w:rFonts w:ascii="Arial" w:cs="Arial" w:eastAsia="Arial" w:hAnsi="Arial"/>
          <w:sz w:val="18"/>
          <w:szCs w:val="18"/>
          <w:color w:val="auto"/>
        </w:rPr>
        <w:t xml:space="preserve"> due to a decrease in commissions in Wholesale Banking and Retail Banking respectively.</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growth of +4.0% was attributable to the same components as those that drove higher commissions QoQ. The aforementioned offset the drop in income from </w:t>
      </w:r>
      <w:r>
        <w:rPr>
          <w:rFonts w:ascii="Arial" w:cs="Arial" w:eastAsia="Arial" w:hAnsi="Arial"/>
          <w:sz w:val="18"/>
          <w:szCs w:val="18"/>
          <w:b w:val="1"/>
          <w:bCs w:val="1"/>
          <w:color w:val="auto"/>
        </w:rPr>
        <w:t>Miscellaneous accounts</w:t>
      </w:r>
      <w:r>
        <w:rPr>
          <w:rFonts w:ascii="Arial" w:cs="Arial" w:eastAsia="Arial" w:hAnsi="Arial"/>
          <w:sz w:val="18"/>
          <w:szCs w:val="18"/>
          <w:color w:val="auto"/>
        </w:rPr>
        <w:t xml:space="preserve"> due to a decrease in transactions and from the </w:t>
      </w:r>
      <w:r>
        <w:rPr>
          <w:rFonts w:ascii="Arial" w:cs="Arial" w:eastAsia="Arial" w:hAnsi="Arial"/>
          <w:sz w:val="18"/>
          <w:szCs w:val="18"/>
          <w:b w:val="1"/>
          <w:bCs w:val="1"/>
          <w:color w:val="auto"/>
        </w:rPr>
        <w:t>Credit Card</w:t>
      </w:r>
      <w:r>
        <w:rPr>
          <w:rFonts w:ascii="Arial" w:cs="Arial" w:eastAsia="Arial" w:hAnsi="Arial"/>
          <w:sz w:val="18"/>
          <w:szCs w:val="18"/>
          <w:color w:val="auto"/>
        </w:rPr>
        <w:t xml:space="preserve"> segment.</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accumulated analysis (Jun 19 vs. Jun 18),</w:t>
      </w:r>
      <w:r>
        <w:rPr>
          <w:rFonts w:ascii="Arial" w:cs="Arial" w:eastAsia="Arial" w:hAnsi="Arial"/>
          <w:sz w:val="18"/>
          <w:szCs w:val="18"/>
          <w:color w:val="auto"/>
        </w:rPr>
        <w:t xml:space="preserve"> fee income in the banking business increased +5.2%, mainly due to:</w:t>
      </w:r>
    </w:p>
    <w:p>
      <w:pPr>
        <w:spacing w:after="0" w:line="225" w:lineRule="exact"/>
        <w:rPr>
          <w:sz w:val="20"/>
          <w:szCs w:val="20"/>
          <w:color w:val="auto"/>
        </w:rPr>
      </w:pPr>
    </w:p>
    <w:p>
      <w:pPr>
        <w:ind w:left="980" w:hanging="648"/>
        <w:spacing w:after="0" w:line="282"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Others</w:t>
      </w:r>
      <w:r>
        <w:rPr>
          <w:rFonts w:ascii="Arial" w:cs="Arial" w:eastAsia="Arial" w:hAnsi="Arial"/>
          <w:sz w:val="18"/>
          <w:szCs w:val="18"/>
          <w:color w:val="auto"/>
        </w:rPr>
        <w:t>, which was primarily due to an increase in insurance income at Mibanco and to an increase in the transactions volume for drafts and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and in commissions for the off-balance sheet portfolio at BCP Bolivia.</w:t>
      </w:r>
    </w:p>
    <w:p>
      <w:pPr>
        <w:spacing w:after="0" w:line="161" w:lineRule="exact"/>
        <w:rPr>
          <w:rFonts w:ascii="Arial" w:cs="Arial" w:eastAsia="Arial" w:hAnsi="Arial"/>
          <w:sz w:val="18"/>
          <w:szCs w:val="18"/>
          <w:color w:val="auto"/>
        </w:rPr>
      </w:pPr>
    </w:p>
    <w:p>
      <w:pPr>
        <w:ind w:left="980" w:hanging="648"/>
        <w:spacing w:after="0"/>
        <w:tabs>
          <w:tab w:leader="none" w:pos="9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The increase in </w:t>
      </w:r>
      <w:r>
        <w:rPr>
          <w:rFonts w:ascii="Arial" w:cs="Arial" w:eastAsia="Arial" w:hAnsi="Arial"/>
          <w:sz w:val="17"/>
          <w:szCs w:val="17"/>
          <w:b w:val="1"/>
          <w:bCs w:val="1"/>
          <w:color w:val="auto"/>
        </w:rPr>
        <w:t>Drafts and Transfers,</w:t>
      </w:r>
      <w:r>
        <w:rPr>
          <w:rFonts w:ascii="Arial" w:cs="Arial" w:eastAsia="Arial" w:hAnsi="Arial"/>
          <w:sz w:val="17"/>
          <w:szCs w:val="17"/>
          <w:color w:val="auto"/>
        </w:rPr>
        <w:t xml:space="preserve"> which was attributable to growth in national transfers, foreign transfers and interbank transfers.</w:t>
      </w:r>
    </w:p>
    <w:p>
      <w:pPr>
        <w:spacing w:after="0" w:line="236" w:lineRule="exact"/>
        <w:rPr>
          <w:rFonts w:ascii="Arial" w:cs="Arial" w:eastAsia="Arial" w:hAnsi="Arial"/>
          <w:sz w:val="17"/>
          <w:szCs w:val="17"/>
          <w:color w:val="auto"/>
        </w:rPr>
      </w:pPr>
    </w:p>
    <w:p>
      <w:pPr>
        <w:ind w:left="980" w:hanging="648"/>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A higher level of </w:t>
      </w:r>
      <w:r>
        <w:rPr>
          <w:rFonts w:ascii="Arial" w:cs="Arial" w:eastAsia="Arial" w:hAnsi="Arial"/>
          <w:sz w:val="18"/>
          <w:szCs w:val="18"/>
          <w:b w:val="1"/>
          <w:bCs w:val="1"/>
          <w:color w:val="auto"/>
        </w:rPr>
        <w:t>Collections and Payments</w:t>
      </w:r>
      <w:r>
        <w:rPr>
          <w:rFonts w:ascii="Arial" w:cs="Arial" w:eastAsia="Arial" w:hAnsi="Arial"/>
          <w:sz w:val="18"/>
          <w:szCs w:val="18"/>
          <w:color w:val="auto"/>
        </w:rPr>
        <w:t xml:space="preserve"> due to an increase in collections for insurance concepts.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aforementioned offset the decline in </w:t>
      </w:r>
      <w:r>
        <w:rPr>
          <w:rFonts w:ascii="Arial" w:cs="Arial" w:eastAsia="Arial" w:hAnsi="Arial"/>
          <w:sz w:val="18"/>
          <w:szCs w:val="18"/>
          <w:b w:val="1"/>
          <w:bCs w:val="1"/>
          <w:color w:val="auto"/>
        </w:rPr>
        <w:t>Miscellaneous Accounts</w:t>
      </w:r>
      <w:r>
        <w:rPr>
          <w:rFonts w:ascii="Arial" w:cs="Arial" w:eastAsia="Arial" w:hAnsi="Arial"/>
          <w:sz w:val="18"/>
          <w:szCs w:val="18"/>
          <w:color w:val="auto"/>
        </w:rPr>
        <w:t xml:space="preserve"> and </w:t>
      </w:r>
      <w:r>
        <w:rPr>
          <w:rFonts w:ascii="Arial" w:cs="Arial" w:eastAsia="Arial" w:hAnsi="Arial"/>
          <w:sz w:val="18"/>
          <w:szCs w:val="18"/>
          <w:b w:val="1"/>
          <w:bCs w:val="1"/>
          <w:color w:val="auto"/>
        </w:rPr>
        <w:t>Credit Cards</w:t>
      </w:r>
      <w:r>
        <w:rPr>
          <w:rFonts w:ascii="Arial" w:cs="Arial" w:eastAsia="Arial" w:hAnsi="Arial"/>
          <w:sz w:val="18"/>
          <w:szCs w:val="18"/>
          <w:color w:val="auto"/>
        </w:rPr>
        <w:t>, in line with the factors outlined in the YoY analysis.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ind w:left="340" w:hanging="332"/>
        <w:spacing w:after="0"/>
        <w:tabs>
          <w:tab w:leader="none" w:pos="3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Underwriting Result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insurance underwriting result increased 8.5% QoQ, which was primarily attributable to an increase in net earned premiums and a decrease in net claim in the property and casualty business (P&amp;C), which was attenuated by higher net earned premiums in life insurance business. The YoY underwriting result increased 5.2% due to higher net earned premiums in P&amp;C business and lower acquisition costs in life business; this was offset by an increase in net claims for both businesses. In accumulated terms, the insurance underwriting result remained stable, since the increase in net earned premiums was attenuated by the higher expenses in net claims in both businesses.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Insurance underwriting result</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Quarter</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 change</w:t>
            </w:r>
          </w:p>
        </w:tc>
        <w:tc>
          <w:tcPr>
            <w:tcW w:w="1120" w:type="dxa"/>
            <w:vAlign w:val="bottom"/>
            <w:gridSpan w:val="3"/>
          </w:tcPr>
          <w:p>
            <w:pPr>
              <w:ind w:left="740"/>
              <w:spacing w:after="0"/>
              <w:rPr>
                <w:sz w:val="20"/>
                <w:szCs w:val="20"/>
                <w:color w:val="auto"/>
              </w:rPr>
            </w:pPr>
            <w:r>
              <w:rPr>
                <w:rFonts w:ascii="Arial" w:cs="Arial" w:eastAsia="Arial" w:hAnsi="Arial"/>
                <w:sz w:val="18"/>
                <w:szCs w:val="18"/>
                <w:b w:val="1"/>
                <w:bCs w:val="1"/>
                <w:color w:val="auto"/>
                <w:w w:val="99"/>
              </w:rPr>
              <w:t>YTD</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2Q18</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1Q19</w:t>
            </w:r>
          </w:p>
        </w:tc>
        <w:tc>
          <w:tcPr>
            <w:tcW w:w="1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2Q19</w:t>
            </w:r>
          </w:p>
        </w:tc>
        <w:tc>
          <w:tcPr>
            <w:tcW w:w="2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Jun 18</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Jun 19</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Jun 19 / Jun 18</w:t>
            </w:r>
          </w:p>
        </w:tc>
        <w:tc>
          <w:tcPr>
            <w:tcW w:w="160" w:type="dxa"/>
            <w:vAlign w:val="bottom"/>
            <w:tcBorders>
              <w:bottom w:val="single" w:sz="8" w:color="CCEEFF"/>
            </w:tcBorders>
          </w:tcPr>
          <w:p>
            <w:pPr>
              <w:spacing w:after="0"/>
              <w:rPr>
                <w:sz w:val="20"/>
                <w:szCs w:val="20"/>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earned premiums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512,258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587,156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590,066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1,020,707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1,177,222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Net claims</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(300,845)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(386,521)</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(379,718)</w:t>
            </w: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-1.8%</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26.2%</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(595,590)</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(766,239)</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28.7%</w:t>
            </w:r>
          </w:p>
        </w:tc>
      </w:tr>
      <w:tr>
        <w:trPr>
          <w:trHeight w:val="270"/>
        </w:trPr>
        <w:tc>
          <w:tcPr>
            <w:tcW w:w="35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Acquisition cost </w:t>
            </w:r>
            <w:r>
              <w:rPr>
                <w:rFonts w:ascii="Arial" w:cs="Arial" w:eastAsia="Arial" w:hAnsi="Arial"/>
                <w:sz w:val="30"/>
                <w:szCs w:val="30"/>
                <w:color w:val="auto"/>
                <w:vertAlign w:val="superscript"/>
              </w:rPr>
              <w:t>(1)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(98,556)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(91,281)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(91,666)</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(196,104)</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(182,947)</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0"/>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Total insurance underwriting result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112,857</w:t>
            </w:r>
          </w:p>
        </w:tc>
        <w:tc>
          <w:tcPr>
            <w:tcW w:w="2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109,354</w:t>
            </w:r>
          </w:p>
        </w:tc>
        <w:tc>
          <w:tcPr>
            <w:tcW w:w="18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118,682</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229,013</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228,036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net fees and underwriting expenses.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underwriting result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142875</wp:posOffset>
            </wp:positionV>
            <wp:extent cx="3738880" cy="1809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73888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QoQ analysis the improvement in the underwriting result was attributable to P&amp;C business, which was attenuated by life insurance business. In P&amp;C business, the increase was due to (i) growth in premiums for Commercial Lines, Medical Assistance, Cars and Personal Lines (ii) a decrease in net claims for Medical Assistance, Commercial Lines and Cars (SOAT) and (iii) attenuated by an increase in underwriting expenses. In life insurance business, the drop was due to a decrease in net earned premiums in Annuities, Disability and Survivorship (D&amp;S) lines and Group Life for High Risk Activities (SCTR).</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YoY analysis, the increase in the underwriting result was attributable to P&amp;C business attenuated by life insurance business. In P&amp;C business, the variation was due to (i) an increase in net earned premiums in Cars, Personal Lines and Medical Assistance, which was attenuated by an increase in net claims in Medical Assistance, Car lines and Personal lines and (iii) the increase in underwriting expenses in Commercial Lines. The decrease in life insurance business was associated with higher net claims for D&amp;S lines, Annuities and Group Life lines; this was mitigated by an increase in net earned premiums in D&amp;S lines and Individual Life and by a drop in commissions in Credit Life.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accumulated analysis, in 2019 the underwriting result posted a variation of -0.4%, due to an increase in net claims in life and P&amp;C businesses. The aforementioned was attenuated by higher premiums in life insurance business which was associated to D&amp;S line and Individual Life, and in P&amp;C business due to Medical Assistance and Cars lines and, to a lesser extent, to lower commissions in Credit Life.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6.1. Net earned premiums</w:t>
      </w:r>
    </w:p>
    <w:p>
      <w:pPr>
        <w:sectPr>
          <w:pgSz w:w="11900" w:h="16838" w:orient="portrait"/>
          <w:cols w:equalWidth="0" w:num="1">
            <w:col w:w="11420"/>
          </w:cols>
          <w:pgMar w:left="240" w:top="904" w:right="239" w:bottom="1440" w:gutter="0" w:footer="0" w:header="0"/>
        </w:sectPr>
      </w:pPr>
    </w:p>
    <w:p>
      <w:pPr>
        <w:spacing w:after="0" w:line="248" w:lineRule="exact"/>
        <w:rPr>
          <w:sz w:val="20"/>
          <w:szCs w:val="20"/>
          <w:color w:val="auto"/>
        </w:rPr>
      </w:pPr>
    </w:p>
    <w:p>
      <w:pPr>
        <w:jc w:val="center"/>
        <w:ind w:right="2540"/>
        <w:spacing w:after="0"/>
        <w:rPr>
          <w:sz w:val="20"/>
          <w:szCs w:val="20"/>
          <w:color w:val="auto"/>
        </w:rPr>
      </w:pPr>
      <w:r>
        <w:rPr>
          <w:rFonts w:ascii="Arial" w:cs="Arial" w:eastAsia="Arial" w:hAnsi="Arial"/>
          <w:sz w:val="16"/>
          <w:szCs w:val="16"/>
          <w:b w:val="1"/>
          <w:bCs w:val="1"/>
          <w:color w:val="auto"/>
        </w:rPr>
        <w:t>Written premiums by business</w:t>
      </w:r>
    </w:p>
    <w:p>
      <w:pPr>
        <w:spacing w:after="0" w:line="50" w:lineRule="exact"/>
        <w:rPr>
          <w:sz w:val="20"/>
          <w:szCs w:val="20"/>
          <w:color w:val="auto"/>
        </w:rPr>
      </w:pPr>
    </w:p>
    <w:p>
      <w:pPr>
        <w:jc w:val="center"/>
        <w:ind w:right="254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142875</wp:posOffset>
            </wp:positionV>
            <wp:extent cx="2710180" cy="12604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10180" cy="1260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980"/>
        <w:spacing w:after="0"/>
        <w:rPr>
          <w:sz w:val="20"/>
          <w:szCs w:val="20"/>
          <w:color w:val="auto"/>
        </w:rPr>
      </w:pPr>
      <w:r>
        <w:rPr>
          <w:rFonts w:ascii="Arial" w:cs="Arial" w:eastAsia="Arial" w:hAnsi="Arial"/>
          <w:sz w:val="15"/>
          <w:szCs w:val="15"/>
          <w:b w:val="1"/>
          <w:bCs w:val="1"/>
          <w:color w:val="auto"/>
        </w:rPr>
        <w:t>Net earned premiums by business</w:t>
      </w:r>
    </w:p>
    <w:p>
      <w:pPr>
        <w:spacing w:after="0" w:line="62"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142875</wp:posOffset>
            </wp:positionV>
            <wp:extent cx="2744470" cy="132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44470" cy="13208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20" w:space="720"/>
            <w:col w:w="358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Written premiums increased 5.0% QoQ, which was mainly attributable to P&amp;C business, attenuated by a decrease in life insurance business:</w:t>
      </w:r>
    </w:p>
    <w:p>
      <w:pPr>
        <w:spacing w:after="0" w:line="225" w:lineRule="exact"/>
        <w:rPr>
          <w:sz w:val="20"/>
          <w:szCs w:val="20"/>
          <w:color w:val="auto"/>
        </w:rPr>
      </w:pPr>
    </w:p>
    <w:p>
      <w:pPr>
        <w:ind w:left="980" w:hanging="648"/>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P&amp;C, was attributable to Commercial lines, for new accounts in aviation and fire risks; in Medical Assistance due to an increase in policies for comprehensive insurance; this was attenuated by a decrease in Personal lines.</w:t>
      </w:r>
    </w:p>
    <w:p>
      <w:pPr>
        <w:spacing w:after="0" w:line="170"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drop in life business was associated with fewer premiums in Annuities due to “Renta Flex” product; D&amp;S, after the higher sales reported in 1Q19; and Group Life due to annual renewals with mining companies in 1Q19 in SCTR product; the aforementioned was mitigated by higher premiums in Individual Life and Credit Life.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earned premiums increased +0.5% QoQ; primarily through P&amp;C business, attributable to the same lines mentioned in the case of Commercial Lines. This effect was attenuated by life insurance business in Annuities and D&amp;S line.</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YoY analysis, total premiums increased +12.7% primarily through P&amp;C business due to an increase in Commercial lines (aviation and fire risks); Personal lines through Home Mortgage and Credit Card protection products; and Medical Assistance due to higher sales of oncological insurance. In life insurance business, the increase was attributable to higher premiums in D&amp;S lines, associated with the fact that since January 2019, the company won the last</w:t>
      </w:r>
    </w:p>
    <w:p>
      <w:pPr>
        <w:jc w:val="both"/>
        <w:spacing w:after="0" w:line="205" w:lineRule="auto"/>
        <w:rPr>
          <w:sz w:val="20"/>
          <w:szCs w:val="20"/>
          <w:color w:val="auto"/>
        </w:rPr>
      </w:pPr>
      <w:r>
        <w:rPr>
          <w:rFonts w:ascii="Arial" w:cs="Arial" w:eastAsia="Arial" w:hAnsi="Arial"/>
          <w:sz w:val="18"/>
          <w:szCs w:val="18"/>
          <w:color w:val="auto"/>
        </w:rPr>
        <w:t>tender process of SISCO IV contract</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(2019-2020), versus a single tranche under SISCO III (2017-2018); this was attenuated by a decrease in Renta Flex product and in Group Life (SCTR).</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earned premiums increased +15.2% YoY, which was associated to higher premiums and a decrease in ceded premiums compared to 2Q18 in D&amp;S line, Annuities due to lower technical reserves and higher premiums in Individual life. In P&amp;C, the increase was due to Cars, Personal Lines and Medical Assistance.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accumulated analysis, net premiums increased +15.3%. This was associated to an increase in life insurance business due to D&amp;S line through SISCO IV contract, and Individual Life; and in P&amp;C business due to an increase in Personal Lines, Medical Assistance and Cars.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8" w:lineRule="exact"/>
        <w:rPr>
          <w:sz w:val="20"/>
          <w:szCs w:val="20"/>
          <w:color w:val="auto"/>
        </w:rPr>
      </w:pPr>
    </w:p>
    <w:p>
      <w:pPr>
        <w:ind w:right="560" w:firstLine="8"/>
        <w:spacing w:after="0" w:line="221" w:lineRule="auto"/>
        <w:tabs>
          <w:tab w:leader="none" w:pos="220" w:val="left"/>
        </w:tabs>
        <w:numPr>
          <w:ilvl w:val="0"/>
          <w:numId w:val="69"/>
        </w:numPr>
        <w:rPr>
          <w:rFonts w:ascii="Arial" w:cs="Arial" w:eastAsia="Arial" w:hAnsi="Arial"/>
          <w:sz w:val="26"/>
          <w:szCs w:val="26"/>
          <w:color w:val="auto"/>
          <w:vertAlign w:val="superscript"/>
        </w:rPr>
      </w:pPr>
      <w:r>
        <w:rPr>
          <w:rFonts w:ascii="Arial" w:cs="Arial" w:eastAsia="Arial" w:hAnsi="Arial"/>
          <w:sz w:val="16"/>
          <w:szCs w:val="16"/>
          <w:color w:val="auto"/>
        </w:rPr>
        <w:t>Consists in the disability and survival risk administration of AFP’s members by the insurance companies that obtained a section in the public tender process.</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Net claims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claims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142875</wp:posOffset>
            </wp:positionV>
            <wp:extent cx="3584575" cy="17665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8457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Claims decreased -1.8% QoQ due to lower claims in P&amp;C business, this effect was attributable to Medical Assistance due to a drop in IBNR (incurred but not reported) reserves; Commercial lines by fire claims reported in 1Q19; and Cars, through a decrease in claims frequency for SOAT products. In life insurance business, the increase was attributable to Group Life, due to SCTR product, where median cost increased and to Statutory Life, mitigated to a lesser extent by a decrease in claims in Credit Life through Bancassurance channel.</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YoY analysis, net claims increased +26.2% in life insurance and P&amp;C business. The increment in life insurance was attributable to: (i) D&amp;S line, after the company obtained two sections of the SISCO IV tender, (ii) pensions linked to the “Renta Flex” product in Annuities, (iii) Group Life, due to the SCTR product; and (iv) Credit Life in bancassurance channel. The increase in P&amp;C business was associated to Medical Assistance due to released technical reserves in 2Q18; Cars, after claims frequency increased for the SOAT product; and to Personal lines, for the credit card protection product.</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accumulated analysis, the net claims increased +28.7% product of higher claims in the Life insurance business through the D&amp;S line and due to SISCO IV; in Annuities (Renta Flex and Annuities); Credit Life in bancassurance; and in P&amp;C due to Medical Assistance, Cars and Personal Lines.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Acquisition cost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142875</wp:posOffset>
            </wp:positionV>
            <wp:extent cx="3721735" cy="17411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721735"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Quarter</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 change</w:t>
            </w:r>
          </w:p>
        </w:tc>
        <w:tc>
          <w:tcPr>
            <w:tcW w:w="1080" w:type="dxa"/>
            <w:vAlign w:val="bottom"/>
            <w:gridSpan w:val="3"/>
          </w:tcPr>
          <w:p>
            <w:pPr>
              <w:ind w:left="680"/>
              <w:spacing w:after="0"/>
              <w:rPr>
                <w:sz w:val="20"/>
                <w:szCs w:val="20"/>
                <w:color w:val="auto"/>
              </w:rPr>
            </w:pPr>
            <w:r>
              <w:rPr>
                <w:rFonts w:ascii="Arial" w:cs="Arial" w:eastAsia="Arial" w:hAnsi="Arial"/>
                <w:sz w:val="18"/>
                <w:szCs w:val="18"/>
                <w:b w:val="1"/>
                <w:bCs w:val="1"/>
                <w:color w:val="auto"/>
              </w:rPr>
              <w:t>YTD</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2Q18</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1Q19</w:t>
            </w:r>
          </w:p>
        </w:tc>
        <w:tc>
          <w:tcPr>
            <w:tcW w:w="2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2Q19</w:t>
            </w:r>
          </w:p>
        </w:tc>
        <w:tc>
          <w:tcPr>
            <w:tcW w:w="2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 18</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Jun 19</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Jun 19 / Jun 18</w:t>
            </w:r>
          </w:p>
        </w:tc>
        <w:tc>
          <w:tcPr>
            <w:tcW w:w="160" w:type="dxa"/>
            <w:vAlign w:val="bottom"/>
            <w:tcBorders>
              <w:bottom w:val="single" w:sz="8" w:color="CCEEFF"/>
            </w:tcBorders>
          </w:tcPr>
          <w:p>
            <w:pPr>
              <w:spacing w:after="0"/>
              <w:rPr>
                <w:sz w:val="20"/>
                <w:szCs w:val="20"/>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fees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(68,891)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(60,013)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(58,717)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(135,705)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(118,731)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Underw riting expenses</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(30,912)</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(34,576)</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(49,237)</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42.4%</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59.3%</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(63,545)</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(83,813)</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 riting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16,288</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392.3%</w:t>
            </w:r>
          </w:p>
        </w:tc>
        <w:tc>
          <w:tcPr>
            <w:tcW w:w="9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3,146</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19,597</w:t>
            </w:r>
          </w:p>
        </w:tc>
        <w:tc>
          <w:tcPr>
            <w:tcW w:w="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r>
      <w:tr>
        <w:trPr>
          <w:trHeight w:val="210"/>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(98,556</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(91,281</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(91,666</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(196,104</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(182,947</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 cost rose +0.4% QoQ due to an increase in the net underwriting expense in P&amp;C business, attributable to the net effect of profit sharing in Commercial Lines through the aviation risk. Commissions decreased in P&amp;C explained by Commercial lines after higher commissions were received from reinsurers. This effect was mitigated by a decrease in underwriting expenses in life insurance business due to Individual life and Group Life by SCTR and Statutory life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the acquisition cost decreased -7.0% due to:</w:t>
      </w:r>
    </w:p>
    <w:p>
      <w:pPr>
        <w:spacing w:after="0" w:line="225" w:lineRule="exact"/>
        <w:rPr>
          <w:sz w:val="20"/>
          <w:szCs w:val="20"/>
          <w:color w:val="auto"/>
        </w:rPr>
      </w:pPr>
    </w:p>
    <w:p>
      <w:pPr>
        <w:ind w:left="980" w:hanging="648"/>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Lower commissions in life insurance due to a drop in premium in Credit Life in the Alliances channel.</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aforementioned was attenuated by the net effect of profit sharing reported with the reinsurer in Commercial lines, via the aviation product.</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accumulated analysis, the acquisition costs decreased -6.7% attributable to lower commissions in life insurance business in Credit Life line. The aforementioned was attenuated by a higher net underwriting expense for both P&amp;C business in Personal Lines and Commercial Lines; and Life insurance in the Individual life.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ind w:left="340" w:hanging="332"/>
        <w:spacing w:after="0"/>
        <w:tabs>
          <w:tab w:leader="none" w:pos="3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 and Efficiency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 the YoY and year-to-date analysis, we see a 50 bps improvement in the efficiency ratio as growth in operating expenses outpaced the increase registered in operating expenses. This improvement was due primarily to expansion in net interest income, which offset the increase registered in employee salaries and benefits.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 change</w:t>
            </w:r>
          </w:p>
        </w:tc>
        <w:tc>
          <w:tcPr>
            <w:tcW w:w="700" w:type="dxa"/>
            <w:vAlign w:val="bottom"/>
          </w:tcPr>
          <w:p>
            <w:pPr>
              <w:spacing w:after="0"/>
              <w:rPr>
                <w:sz w:val="14"/>
                <w:szCs w:val="14"/>
                <w:color w:val="auto"/>
              </w:rPr>
            </w:pPr>
          </w:p>
        </w:tc>
        <w:tc>
          <w:tcPr>
            <w:tcW w:w="360" w:type="dxa"/>
            <w:vAlign w:val="bottom"/>
            <w:gridSpan w:val="2"/>
          </w:tcPr>
          <w:p>
            <w:pPr>
              <w:ind w:left="40"/>
              <w:spacing w:after="0"/>
              <w:rPr>
                <w:sz w:val="20"/>
                <w:szCs w:val="20"/>
                <w:color w:val="auto"/>
              </w:rPr>
            </w:pPr>
            <w:r>
              <w:rPr>
                <w:rFonts w:ascii="Arial" w:cs="Arial" w:eastAsia="Arial" w:hAnsi="Arial"/>
                <w:sz w:val="14"/>
                <w:szCs w:val="14"/>
                <w:b w:val="1"/>
                <w:bCs w:val="1"/>
                <w:color w:val="auto"/>
              </w:rPr>
              <w:t>YTD</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2Q18</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1Q19</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2Q19</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Jun 18</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Jun 19</w:t>
            </w:r>
          </w:p>
        </w:tc>
        <w:tc>
          <w:tcPr>
            <w:tcW w:w="2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Jun 19 / Jun 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Salaries and employees benefits</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780,827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834,317</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845,835</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1.4%</w:t>
            </w:r>
          </w:p>
        </w:tc>
        <w:tc>
          <w:tcPr>
            <w:tcW w:w="9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8.3%</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1,558,172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1,680,152</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general and tax expenses</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560,814</w:t>
            </w: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513,140</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531,336</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w:t>
            </w:r>
          </w:p>
        </w:tc>
        <w:tc>
          <w:tcPr>
            <w:tcW w:w="9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1,057,436</w:t>
            </w:r>
          </w:p>
        </w:tc>
        <w:tc>
          <w:tcPr>
            <w:tcW w:w="10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1,044,476</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1"/>
                <w:szCs w:val="21"/>
                <w:color w:val="auto"/>
                <w:vertAlign w:val="superscript"/>
              </w:rPr>
              <w:t>(1)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106,333</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140,697</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180,381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69.6%</w:t>
            </w:r>
          </w:p>
        </w:tc>
        <w:tc>
          <w:tcPr>
            <w:tcW w:w="9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213,193</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321,078</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Association in participation</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3,789</w:t>
            </w: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2,736</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4,746</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25.3%</w:t>
            </w:r>
          </w:p>
        </w:tc>
        <w:tc>
          <w:tcPr>
            <w:tcW w:w="9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8,644</w:t>
            </w:r>
          </w:p>
        </w:tc>
        <w:tc>
          <w:tcPr>
            <w:tcW w:w="10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7,482</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Acquisition cost </w:t>
            </w:r>
            <w:r>
              <w:rPr>
                <w:rFonts w:ascii="Arial" w:cs="Arial" w:eastAsia="Arial" w:hAnsi="Arial"/>
                <w:sz w:val="23"/>
                <w:szCs w:val="23"/>
                <w:color w:val="auto"/>
                <w:vertAlign w:val="superscript"/>
              </w:rPr>
              <w:t>(2)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98,556</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91,281</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91,666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w:t>
            </w:r>
          </w:p>
        </w:tc>
        <w:tc>
          <w:tcPr>
            <w:tcW w:w="9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196,104</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182,947</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line="202" w:lineRule="exact"/>
              <w:rPr>
                <w:sz w:val="20"/>
                <w:szCs w:val="20"/>
                <w:color w:val="auto"/>
              </w:rPr>
            </w:pPr>
            <w:r>
              <w:rPr>
                <w:rFonts w:ascii="Arial" w:cs="Arial" w:eastAsia="Arial" w:hAnsi="Arial"/>
                <w:sz w:val="14"/>
                <w:szCs w:val="14"/>
                <w:b w:val="1"/>
                <w:bCs w:val="1"/>
                <w:color w:val="auto"/>
              </w:rPr>
              <w:t xml:space="preserve">Operating expenses </w:t>
            </w:r>
            <w:r>
              <w:rPr>
                <w:rFonts w:ascii="Arial" w:cs="Arial" w:eastAsia="Arial" w:hAnsi="Arial"/>
                <w:sz w:val="23"/>
                <w:szCs w:val="23"/>
                <w:b w:val="1"/>
                <w:bCs w:val="1"/>
                <w:color w:val="auto"/>
                <w:vertAlign w:val="superscript"/>
              </w:rPr>
              <w:t>(3)</w:t>
            </w: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gridSpan w:val="2"/>
            <w:vMerge w:val="continue"/>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1,550,319</w:t>
            </w: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1,582,171</w:t>
            </w:r>
          </w:p>
        </w:tc>
        <w:tc>
          <w:tcPr>
            <w:tcW w:w="9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1,653,964</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4.5%</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6.7%</w:t>
            </w:r>
          </w:p>
        </w:tc>
        <w:tc>
          <w:tcPr>
            <w:tcW w:w="9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3,033,549</w:t>
            </w: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3,236,135</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7.2%</w:t>
            </w:r>
          </w:p>
        </w:tc>
        <w:tc>
          <w:tcPr>
            <w:tcW w:w="0" w:type="dxa"/>
            <w:vAlign w:val="bottom"/>
          </w:tcPr>
          <w:p>
            <w:pPr>
              <w:spacing w:after="0"/>
              <w:rPr>
                <w:sz w:val="1"/>
                <w:szCs w:val="1"/>
                <w:color w:val="auto"/>
              </w:rPr>
            </w:pPr>
          </w:p>
        </w:tc>
      </w:tr>
      <w:tr>
        <w:trPr>
          <w:trHeight w:val="20"/>
        </w:trPr>
        <w:tc>
          <w:tcPr>
            <w:tcW w:w="3780" w:type="dxa"/>
            <w:vAlign w:val="bottom"/>
            <w:gridSpan w:val="2"/>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Operating income </w:t>
            </w:r>
            <w:r>
              <w:rPr>
                <w:rFonts w:ascii="Arial" w:cs="Arial" w:eastAsia="Arial" w:hAnsi="Arial"/>
                <w:sz w:val="23"/>
                <w:szCs w:val="23"/>
                <w:b w:val="1"/>
                <w:bCs w:val="1"/>
                <w:color w:val="auto"/>
                <w:vertAlign w:val="superscript"/>
              </w:rPr>
              <w:t>(4)</w:t>
            </w: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gridSpan w:val="2"/>
            <w:vMerge w:val="continue"/>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3,559,586</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3,757,431</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3,838,582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7.8%</w:t>
            </w:r>
          </w:p>
        </w:tc>
        <w:tc>
          <w:tcPr>
            <w:tcW w:w="9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7,044,993</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w w:val="89"/>
              </w:rPr>
              <w:t>7,596,013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line="202" w:lineRule="exact"/>
              <w:rPr>
                <w:sz w:val="20"/>
                <w:szCs w:val="20"/>
                <w:color w:val="auto"/>
              </w:rPr>
            </w:pPr>
            <w:r>
              <w:rPr>
                <w:rFonts w:ascii="Arial" w:cs="Arial" w:eastAsia="Arial" w:hAnsi="Arial"/>
                <w:sz w:val="14"/>
                <w:szCs w:val="14"/>
                <w:b w:val="1"/>
                <w:bCs w:val="1"/>
                <w:color w:val="auto"/>
              </w:rPr>
              <w:t xml:space="preserve">Efficiency ratio </w:t>
            </w:r>
            <w:r>
              <w:rPr>
                <w:rFonts w:ascii="Arial" w:cs="Arial" w:eastAsia="Arial" w:hAnsi="Arial"/>
                <w:sz w:val="23"/>
                <w:szCs w:val="23"/>
                <w:b w:val="1"/>
                <w:bCs w:val="1"/>
                <w:color w:val="auto"/>
                <w:vertAlign w:val="superscript"/>
              </w:rPr>
              <w:t>(5)</w:t>
            </w: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gridSpan w:val="2"/>
            <w:vMerge w:val="continue"/>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43.6%</w:t>
            </w:r>
          </w:p>
        </w:tc>
        <w:tc>
          <w:tcPr>
            <w:tcW w:w="10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42.1%</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43.1%</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100bps</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-50bps</w:t>
            </w:r>
          </w:p>
        </w:tc>
        <w:tc>
          <w:tcPr>
            <w:tcW w:w="9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43.1%</w:t>
            </w:r>
          </w:p>
        </w:tc>
        <w:tc>
          <w:tcPr>
            <w:tcW w:w="1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42.6%</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-50bps</w:t>
            </w:r>
          </w:p>
        </w:tc>
        <w:tc>
          <w:tcPr>
            <w:tcW w:w="0" w:type="dxa"/>
            <w:vAlign w:val="bottom"/>
          </w:tcPr>
          <w:p>
            <w:pPr>
              <w:spacing w:after="0"/>
              <w:rPr>
                <w:sz w:val="1"/>
                <w:szCs w:val="1"/>
                <w:color w:val="auto"/>
              </w:rPr>
            </w:pPr>
          </w:p>
        </w:tc>
      </w:tr>
      <w:tr>
        <w:trPr>
          <w:trHeight w:val="20"/>
        </w:trPr>
        <w:tc>
          <w:tcPr>
            <w:tcW w:w="3780" w:type="dxa"/>
            <w:vAlign w:val="bottom"/>
            <w:gridSpan w:val="2"/>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Operating expenses / Total average assets </w:t>
            </w:r>
            <w:r>
              <w:rPr>
                <w:rFonts w:ascii="Arial" w:cs="Arial" w:eastAsia="Arial" w:hAnsi="Arial"/>
                <w:sz w:val="23"/>
                <w:szCs w:val="23"/>
                <w:b w:val="1"/>
                <w:bCs w:val="1"/>
                <w:color w:val="auto"/>
                <w:vertAlign w:val="superscript"/>
              </w:rPr>
              <w:t>(6)</w:t>
            </w: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gridSpan w:val="2"/>
            <w:vMerge w:val="continue"/>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3.67%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3.56%</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3.68%</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12bps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1bps</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3.59%</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3.61%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2bps</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8"/>
        <w:spacing w:after="0" w:line="258" w:lineRule="auto"/>
        <w:tabs>
          <w:tab w:leader="none" w:pos="2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Since the 1Q19, the application of IFRS 16 is in effect, which corresponds to a greater depreciation for the asset for right-of-use". Likewise, the expenses related to the depreciation of improvements in building for rent is being reclassified to the item "Other expenses".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acquisition cost of Pacifico includes net fees and underwriting expenses.</w:t>
      </w:r>
    </w:p>
    <w:p>
      <w:pPr>
        <w:spacing w:after="0" w:line="9" w:lineRule="exact"/>
        <w:rPr>
          <w:rFonts w:ascii="Arial" w:cs="Arial" w:eastAsia="Arial" w:hAnsi="Arial"/>
          <w:sz w:val="18"/>
          <w:szCs w:val="18"/>
          <w:color w:val="auto"/>
        </w:rPr>
      </w:pPr>
    </w:p>
    <w:p>
      <w:pPr>
        <w:ind w:firstLine="8"/>
        <w:spacing w:after="0" w:line="250" w:lineRule="auto"/>
        <w:tabs>
          <w:tab w:leader="none" w:pos="2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Operating expenses = Salaries and employee’s benefits + Administrative expenses + Depreciation and amortization + Acquisition cost + Association in participation.</w:t>
      </w:r>
    </w:p>
    <w:p>
      <w:pPr>
        <w:ind w:firstLine="8"/>
        <w:spacing w:after="0" w:line="250"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Operating income = Net interest, similar income and expenses + Fee income + Net gain on foreign exchange transactions + Net gain from associates + Net gain on derivatives held for trading + Result on exchange differences + Net premiums earned.</w:t>
      </w: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 Operating expenses / Operating income.</w:t>
      </w:r>
    </w:p>
    <w:p>
      <w:pPr>
        <w:spacing w:after="0" w:line="9" w:lineRule="exact"/>
        <w:rPr>
          <w:rFonts w:ascii="Arial" w:cs="Arial" w:eastAsia="Arial" w:hAnsi="Arial"/>
          <w:sz w:val="18"/>
          <w:szCs w:val="18"/>
          <w:color w:val="auto"/>
        </w:rPr>
      </w:pPr>
    </w:p>
    <w:p>
      <w:pPr>
        <w:ind w:firstLine="8"/>
        <w:spacing w:after="0" w:line="261" w:lineRule="auto"/>
        <w:tabs>
          <w:tab w:leader="none" w:pos="281"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 Operating expenses / Average of Total Assets. Average is calculated with period-beginning and period-ending balances.</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the deterioration in efficiency was attributable to seasonal effects on operating expenses. As such, the YoY analysis provides a clearer picture of the status of efficiency.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posted a 50 bps improvement in efficiency after growth in operating income outpaced that of 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the impact that the variations of each component of the operating income and expenses had on the efficiency ratio: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evolution of the efficiency ratio by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746115" cy="16033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4611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firstLine="8"/>
        <w:spacing w:after="0" w:line="258" w:lineRule="auto"/>
        <w:tabs>
          <w:tab w:leader="none" w:pos="267"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operating income includes: Net gain on foreign exchange transactions, Net gain from associates, Net gain on derivatives held for trading and Net gain from exchange difference.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operating expenses includes: Acquisition cost and Association in participation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impact of operating expenses shows that the improvement in efficiency YoY is due to:</w:t>
      </w:r>
    </w:p>
    <w:p>
      <w:pPr>
        <w:spacing w:after="0" w:line="225" w:lineRule="exact"/>
        <w:rPr>
          <w:sz w:val="20"/>
          <w:szCs w:val="20"/>
          <w:color w:val="auto"/>
        </w:rPr>
      </w:pPr>
    </w:p>
    <w:p>
      <w:pPr>
        <w:ind w:left="980" w:hanging="648"/>
        <w:spacing w:after="0" w:line="277"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Growth in net interest income, which was associated with expansion in average daily loan balances in all segments as indicated in section </w:t>
      </w:r>
      <w:r>
        <w:rPr>
          <w:rFonts w:ascii="Arial" w:cs="Arial" w:eastAsia="Arial" w:hAnsi="Arial"/>
          <w:sz w:val="18"/>
          <w:szCs w:val="18"/>
          <w:i w:val="1"/>
          <w:iCs w:val="1"/>
          <w:color w:val="auto"/>
        </w:rPr>
        <w:t>4.1</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 Income.</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Growth in net earned premiums at Pacifico, which was associated with increases in the property and casualty and life insurance lines, as explained in section </w:t>
      </w:r>
      <w:r>
        <w:rPr>
          <w:rFonts w:ascii="Arial" w:cs="Arial" w:eastAsia="Arial" w:hAnsi="Arial"/>
          <w:sz w:val="18"/>
          <w:szCs w:val="18"/>
          <w:i w:val="1"/>
          <w:iCs w:val="1"/>
          <w:color w:val="auto"/>
        </w:rPr>
        <w:t>6.1 Net Earned Premiums</w:t>
      </w:r>
      <w:r>
        <w:rPr>
          <w:rFonts w:ascii="Arial" w:cs="Arial" w:eastAsia="Arial" w:hAnsi="Arial"/>
          <w:sz w:val="18"/>
          <w:szCs w:val="18"/>
          <w:color w:val="auto"/>
        </w:rPr>
        <w: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The terms of operating expenses, the YoY increase reflects:</w:t>
      </w:r>
    </w:p>
    <w:p>
      <w:pPr>
        <w:spacing w:after="0" w:line="225" w:lineRule="exact"/>
        <w:rPr>
          <w:sz w:val="20"/>
          <w:szCs w:val="20"/>
          <w:color w:val="auto"/>
        </w:rPr>
      </w:pPr>
    </w:p>
    <w:p>
      <w:pPr>
        <w:jc w:val="both"/>
        <w:ind w:left="980" w:hanging="648"/>
        <w:spacing w:after="0" w:line="302" w:lineRule="auto"/>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 increase in salaries and employee benefits, mainly at BCP Stand-alone and to a lesser extent at Mibanco. In the case of BCP, this increase was derived primarily from growth in fixed remuneration after new personnel with specialized skill sets were hired but was also associated, albeit to a lesser extent, with growth in variable renumeration after productivity incentives increased in Retail Banking. At Mibanco, growth was attributable to an increase in the sales force to continue building capacities to ensure Mibanco’s growth down the line.</w:t>
      </w:r>
    </w:p>
    <w:p>
      <w:pPr>
        <w:spacing w:after="0" w:line="154" w:lineRule="exact"/>
        <w:rPr>
          <w:rFonts w:ascii="Arial" w:cs="Arial" w:eastAsia="Arial" w:hAnsi="Arial"/>
          <w:sz w:val="16"/>
          <w:szCs w:val="16"/>
          <w:color w:val="auto"/>
        </w:rPr>
      </w:pPr>
    </w:p>
    <w:p>
      <w:pPr>
        <w:jc w:val="both"/>
        <w:ind w:left="980" w:hanging="648"/>
        <w:spacing w:after="0" w:line="264"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increase in depreciation and amortization due to the implementation of IRFS 16. It is important to consider that although depreciation and interest expenses increase under IRFS 16, this was offset by a drop in the line for leasing in the administrative and general expenses and tax expenses account.</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YTD terms (June 19 vs June 18), the efficiency ratio also improved 50 bps. This improvement was linked to the same factors that generated the YoY improvement. The figure below demonstrates the impact of each account’s variation on Credicorp’s efficiency ratio.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YTD evolution of the efficiency ratio by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46115" cy="15779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46115"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8"/>
        <w:spacing w:after="0" w:line="258" w:lineRule="auto"/>
        <w:tabs>
          <w:tab w:leader="none" w:pos="267" w:val="left"/>
        </w:tabs>
        <w:numPr>
          <w:ilvl w:val="0"/>
          <w:numId w:val="76"/>
        </w:numPr>
        <w:rPr>
          <w:rFonts w:ascii="Arial" w:cs="Arial" w:eastAsia="Arial" w:hAnsi="Arial"/>
          <w:sz w:val="18"/>
          <w:szCs w:val="18"/>
          <w:color w:val="auto"/>
        </w:rPr>
      </w:pPr>
      <w:r>
        <w:rPr>
          <w:rFonts w:ascii="Arial" w:cs="Arial" w:eastAsia="Arial" w:hAnsi="Arial"/>
          <w:sz w:val="18"/>
          <w:szCs w:val="18"/>
          <w:color w:val="auto"/>
        </w:rPr>
        <w:t>Other operating income includes: Net gain on foreign exchange transactions, Net gain from associates, Net gain on derivatives held for trading and Net gain from exchange difference.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Other operating expenses includes: Acquisition cost and Association in participation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Credicorp’s Administrative, General and Tax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Credicorp’s administrative, general and tax expenses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w w:val="91"/>
              </w:rPr>
              <w:t xml:space="preserve">Administrative, general and tax expenses </w:t>
            </w:r>
            <w:r>
              <w:rPr>
                <w:rFonts w:ascii="Arial" w:cs="Arial" w:eastAsia="Arial" w:hAnsi="Arial"/>
                <w:sz w:val="23"/>
                <w:szCs w:val="23"/>
                <w:b w:val="1"/>
                <w:bCs w:val="1"/>
                <w:color w:val="auto"/>
                <w:w w:val="91"/>
                <w:vertAlign w:val="superscript"/>
              </w:rPr>
              <w:t>(1)</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Quarter</w:t>
            </w: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 change</w:t>
            </w:r>
          </w:p>
        </w:tc>
        <w:tc>
          <w:tcPr>
            <w:tcW w:w="900" w:type="dxa"/>
            <w:vAlign w:val="bottom"/>
            <w:gridSpan w:val="3"/>
          </w:tcPr>
          <w:p>
            <w:pPr>
              <w:ind w:left="580"/>
              <w:spacing w:after="0"/>
              <w:rPr>
                <w:sz w:val="20"/>
                <w:szCs w:val="20"/>
                <w:color w:val="auto"/>
              </w:rPr>
            </w:pPr>
            <w:r>
              <w:rPr>
                <w:rFonts w:ascii="Arial" w:cs="Arial" w:eastAsia="Arial" w:hAnsi="Arial"/>
                <w:sz w:val="14"/>
                <w:szCs w:val="14"/>
                <w:b w:val="1"/>
                <w:bCs w:val="1"/>
                <w:color w:val="auto"/>
              </w:rPr>
              <w:t>YTD</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171"/>
        </w:trPr>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2Q18</w:t>
            </w:r>
          </w:p>
        </w:tc>
        <w:tc>
          <w:tcPr>
            <w:tcW w:w="1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1Q19</w:t>
            </w:r>
          </w:p>
        </w:tc>
        <w:tc>
          <w:tcPr>
            <w:tcW w:w="1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2Q19</w:t>
            </w: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QoQ</w:t>
            </w: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Jun 18</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9"/>
              </w:rPr>
              <w:t>Jun 19</w:t>
            </w:r>
          </w:p>
        </w:tc>
        <w:tc>
          <w:tcPr>
            <w:tcW w:w="1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Jun 19 / Jun 18</w:t>
            </w:r>
          </w:p>
        </w:tc>
        <w:tc>
          <w:tcPr>
            <w:tcW w:w="120" w:type="dxa"/>
            <w:vAlign w:val="bottom"/>
            <w:tcBorders>
              <w:bottom w:val="single" w:sz="8" w:color="CCEEFF"/>
            </w:tcBorders>
          </w:tcPr>
          <w:p>
            <w:pPr>
              <w:spacing w:after="0"/>
              <w:rPr>
                <w:sz w:val="14"/>
                <w:szCs w:val="14"/>
                <w:color w:val="auto"/>
              </w:rPr>
            </w:pPr>
          </w:p>
        </w:tc>
      </w:tr>
      <w:tr>
        <w:trPr>
          <w:trHeight w:val="142"/>
        </w:trPr>
        <w:tc>
          <w:tcPr>
            <w:tcW w:w="27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Marketing</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76,561</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14%</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78,500</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15%</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87,714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17%</w:t>
            </w:r>
          </w:p>
        </w:tc>
        <w:tc>
          <w:tcPr>
            <w:tcW w:w="76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11.7%</w:t>
            </w:r>
          </w:p>
        </w:tc>
        <w:tc>
          <w:tcPr>
            <w:tcW w:w="78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14.6%</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144,751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166,214</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14.8%</w:t>
            </w:r>
          </w:p>
        </w:tc>
      </w:tr>
      <w:tr>
        <w:trPr>
          <w:trHeight w:val="149"/>
        </w:trPr>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Taxes and contributions</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56,247</w:t>
            </w:r>
          </w:p>
        </w:tc>
        <w:tc>
          <w:tcPr>
            <w:tcW w:w="6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10%</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68,646</w:t>
            </w:r>
          </w:p>
        </w:tc>
        <w:tc>
          <w:tcPr>
            <w:tcW w:w="7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13%</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66,709</w:t>
            </w: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13%</w:t>
            </w:r>
          </w:p>
        </w:tc>
        <w:tc>
          <w:tcPr>
            <w:tcW w:w="7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-2.8%</w:t>
            </w: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18.6%</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115,542</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130,891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w:t>
            </w:r>
          </w:p>
        </w:tc>
      </w:tr>
      <w:tr>
        <w:trPr>
          <w:trHeight w:val="149"/>
        </w:trPr>
        <w:tc>
          <w:tcPr>
            <w:tcW w:w="2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Insfrastructure</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73,435</w:t>
            </w:r>
          </w:p>
        </w:tc>
        <w:tc>
          <w:tcPr>
            <w:tcW w:w="6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67,944</w:t>
            </w:r>
          </w:p>
        </w:tc>
        <w:tc>
          <w:tcPr>
            <w:tcW w:w="7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76,788</w:t>
            </w:r>
          </w:p>
        </w:tc>
        <w:tc>
          <w:tcPr>
            <w:tcW w:w="7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w:t>
            </w:r>
          </w:p>
        </w:tc>
        <w:tc>
          <w:tcPr>
            <w:tcW w:w="7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13.0%</w:t>
            </w:r>
          </w:p>
        </w:tc>
        <w:tc>
          <w:tcPr>
            <w:tcW w:w="7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4.6%</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137,793</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144,732</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r>
      <w:tr>
        <w:trPr>
          <w:trHeight w:val="149"/>
        </w:trPr>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Systems outsourcing</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56,770</w:t>
            </w:r>
          </w:p>
        </w:tc>
        <w:tc>
          <w:tcPr>
            <w:tcW w:w="6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10%</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31,872</w:t>
            </w:r>
          </w:p>
        </w:tc>
        <w:tc>
          <w:tcPr>
            <w:tcW w:w="7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6%</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44,410</w:t>
            </w: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w:t>
            </w:r>
          </w:p>
        </w:tc>
        <w:tc>
          <w:tcPr>
            <w:tcW w:w="7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39.3%</w:t>
            </w: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-21.8%</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107,606</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76,283</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-29.1%</w:t>
            </w:r>
          </w:p>
        </w:tc>
      </w:tr>
      <w:tr>
        <w:trPr>
          <w:trHeight w:val="149"/>
        </w:trPr>
        <w:tc>
          <w:tcPr>
            <w:tcW w:w="2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Programs and systems</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62,295</w:t>
            </w:r>
          </w:p>
        </w:tc>
        <w:tc>
          <w:tcPr>
            <w:tcW w:w="6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63,848</w:t>
            </w:r>
          </w:p>
        </w:tc>
        <w:tc>
          <w:tcPr>
            <w:tcW w:w="7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69,538</w:t>
            </w:r>
          </w:p>
        </w:tc>
        <w:tc>
          <w:tcPr>
            <w:tcW w:w="7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w:t>
            </w:r>
          </w:p>
        </w:tc>
        <w:tc>
          <w:tcPr>
            <w:tcW w:w="7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8.9%</w:t>
            </w:r>
          </w:p>
        </w:tc>
        <w:tc>
          <w:tcPr>
            <w:tcW w:w="7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11.6%</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121,103</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133,387</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r>
      <w:tr>
        <w:trPr>
          <w:trHeight w:val="149"/>
        </w:trPr>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Communications</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22,342</w:t>
            </w:r>
          </w:p>
        </w:tc>
        <w:tc>
          <w:tcPr>
            <w:tcW w:w="6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22,714</w:t>
            </w:r>
          </w:p>
        </w:tc>
        <w:tc>
          <w:tcPr>
            <w:tcW w:w="7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21,223</w:t>
            </w: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w:t>
            </w:r>
          </w:p>
        </w:tc>
        <w:tc>
          <w:tcPr>
            <w:tcW w:w="7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-6.6%</w:t>
            </w: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42,522</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43,937</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r>
      <w:tr>
        <w:trPr>
          <w:trHeight w:val="149"/>
        </w:trPr>
        <w:tc>
          <w:tcPr>
            <w:tcW w:w="2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Rent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48,996</w:t>
            </w:r>
          </w:p>
        </w:tc>
        <w:tc>
          <w:tcPr>
            <w:tcW w:w="6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30,462</w:t>
            </w:r>
          </w:p>
        </w:tc>
        <w:tc>
          <w:tcPr>
            <w:tcW w:w="7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21,028</w:t>
            </w:r>
          </w:p>
        </w:tc>
        <w:tc>
          <w:tcPr>
            <w:tcW w:w="7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w:t>
            </w:r>
          </w:p>
        </w:tc>
        <w:tc>
          <w:tcPr>
            <w:tcW w:w="7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-31.0%</w:t>
            </w:r>
          </w:p>
        </w:tc>
        <w:tc>
          <w:tcPr>
            <w:tcW w:w="7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-57.1%</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96,672</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51,491</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-46.7%</w:t>
            </w:r>
          </w:p>
        </w:tc>
      </w:tr>
      <w:tr>
        <w:trPr>
          <w:trHeight w:val="149"/>
        </w:trPr>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Consulting</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43,185</w:t>
            </w:r>
          </w:p>
        </w:tc>
        <w:tc>
          <w:tcPr>
            <w:tcW w:w="6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8%</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33,775</w:t>
            </w:r>
          </w:p>
        </w:tc>
        <w:tc>
          <w:tcPr>
            <w:tcW w:w="7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7%</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30,864</w:t>
            </w: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6%</w:t>
            </w:r>
          </w:p>
        </w:tc>
        <w:tc>
          <w:tcPr>
            <w:tcW w:w="7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-8.6%</w:t>
            </w: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-28.5%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78,774</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64,639</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-17.9%</w:t>
            </w:r>
          </w:p>
        </w:tc>
      </w:tr>
      <w:tr>
        <w:trPr>
          <w:trHeight w:val="149"/>
        </w:trPr>
        <w:tc>
          <w:tcPr>
            <w:tcW w:w="2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Channels</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54,964</w:t>
            </w:r>
          </w:p>
        </w:tc>
        <w:tc>
          <w:tcPr>
            <w:tcW w:w="6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52,768</w:t>
            </w:r>
          </w:p>
        </w:tc>
        <w:tc>
          <w:tcPr>
            <w:tcW w:w="7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61,144</w:t>
            </w:r>
          </w:p>
        </w:tc>
        <w:tc>
          <w:tcPr>
            <w:tcW w:w="7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w:t>
            </w:r>
          </w:p>
        </w:tc>
        <w:tc>
          <w:tcPr>
            <w:tcW w:w="7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15.9%</w:t>
            </w:r>
          </w:p>
        </w:tc>
        <w:tc>
          <w:tcPr>
            <w:tcW w:w="7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11.2%</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102,766</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113,911</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r>
      <w:tr>
        <w:trPr>
          <w:trHeight w:val="149"/>
        </w:trPr>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Gastos Legales</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9,204</w:t>
            </w:r>
          </w:p>
        </w:tc>
        <w:tc>
          <w:tcPr>
            <w:tcW w:w="6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6,673</w:t>
            </w:r>
          </w:p>
        </w:tc>
        <w:tc>
          <w:tcPr>
            <w:tcW w:w="7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10,513</w:t>
            </w: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w:t>
            </w:r>
          </w:p>
        </w:tc>
        <w:tc>
          <w:tcPr>
            <w:tcW w:w="7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57.5%</w:t>
            </w: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14.2%</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18,308</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17,186</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w:t>
            </w:r>
          </w:p>
        </w:tc>
      </w:tr>
      <w:tr>
        <w:trPr>
          <w:trHeight w:val="149"/>
        </w:trPr>
        <w:tc>
          <w:tcPr>
            <w:tcW w:w="2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Gastos de Representación</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5,260</w:t>
            </w:r>
          </w:p>
        </w:tc>
        <w:tc>
          <w:tcPr>
            <w:tcW w:w="6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5,114</w:t>
            </w:r>
          </w:p>
        </w:tc>
        <w:tc>
          <w:tcPr>
            <w:tcW w:w="7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5,068</w:t>
            </w:r>
          </w:p>
        </w:tc>
        <w:tc>
          <w:tcPr>
            <w:tcW w:w="7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-0.9%</w:t>
            </w:r>
          </w:p>
        </w:tc>
        <w:tc>
          <w:tcPr>
            <w:tcW w:w="7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-3.7%</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9,108</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10,182</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r>
      <w:tr>
        <w:trPr>
          <w:trHeight w:val="149"/>
        </w:trPr>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Seguros</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10,342</w:t>
            </w:r>
          </w:p>
        </w:tc>
        <w:tc>
          <w:tcPr>
            <w:tcW w:w="6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11,556</w:t>
            </w:r>
          </w:p>
        </w:tc>
        <w:tc>
          <w:tcPr>
            <w:tcW w:w="7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13,767</w:t>
            </w: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w:t>
            </w:r>
          </w:p>
        </w:tc>
        <w:tc>
          <w:tcPr>
            <w:tcW w:w="7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19.1%</w:t>
            </w: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33.1%</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17,871</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25,322</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41.7%</w:t>
            </w:r>
          </w:p>
        </w:tc>
      </w:tr>
      <w:tr>
        <w:trPr>
          <w:trHeight w:val="203"/>
        </w:trPr>
        <w:tc>
          <w:tcPr>
            <w:tcW w:w="27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Others </w:t>
            </w:r>
            <w:r>
              <w:rPr>
                <w:rFonts w:ascii="Arial" w:cs="Arial" w:eastAsia="Arial" w:hAnsi="Arial"/>
                <w:sz w:val="23"/>
                <w:szCs w:val="23"/>
                <w:color w:val="auto"/>
                <w:vertAlign w:val="superscript"/>
              </w:rPr>
              <w:t>(2)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41,210</w:t>
            </w: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39,268</w:t>
            </w:r>
          </w:p>
        </w:tc>
        <w:tc>
          <w:tcPr>
            <w:tcW w:w="7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22,571</w:t>
            </w:r>
          </w:p>
        </w:tc>
        <w:tc>
          <w:tcPr>
            <w:tcW w:w="7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-42.5%</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-45.2%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64,620</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66,302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42"/>
        </w:trPr>
        <w:tc>
          <w:tcPr>
            <w:tcW w:w="2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6"/>
              </w:rPr>
              <w:t>Total administrative and general expenses</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560,814</w:t>
            </w:r>
          </w:p>
        </w:tc>
        <w:tc>
          <w:tcPr>
            <w:tcW w:w="16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22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6"/>
              </w:rPr>
              <w:t>%</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513,140</w:t>
            </w:r>
          </w:p>
        </w:tc>
        <w:tc>
          <w:tcPr>
            <w:tcW w:w="18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22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6"/>
              </w:rPr>
              <w:t>%</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531,336</w:t>
            </w:r>
          </w:p>
        </w:tc>
        <w:tc>
          <w:tcPr>
            <w:tcW w:w="16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6"/>
              </w:rPr>
              <w:t>%</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-5.3</w:t>
            </w:r>
          </w:p>
        </w:tc>
        <w:tc>
          <w:tcPr>
            <w:tcW w:w="24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1,057,436</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1,044,476</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r>
      <w:tr>
        <w:trPr>
          <w:trHeight w:val="20"/>
        </w:trPr>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Administrative, general and tax expenses differ from previously reported because BCP Bolivia has been included.</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Others include ASB, BCP Bolivia, Grupo Credito and eliminations for consolidation.</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QoQ increase</w:t>
      </w:r>
      <w:r>
        <w:rPr>
          <w:rFonts w:ascii="Arial" w:cs="Arial" w:eastAsia="Arial" w:hAnsi="Arial"/>
          <w:sz w:val="18"/>
          <w:szCs w:val="18"/>
          <w:color w:val="auto"/>
        </w:rPr>
        <w:t xml:space="preserve"> in administrative and general expenses was due primarily to a seasonal effect given that these expenses register a yearly low every first quarter. This effect is reflected in (i) Systems outsourcing, given that in the first few months of every year, there are fewer expenses for maintenance and outsourcing services at BCP Stand-alone and (ii) marketing expenses increase 2Q versus 1Q given that advertising campaigns pick up speed and an increase for the Latam miles program.</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 analysis</w:t>
      </w:r>
      <w:r>
        <w:rPr>
          <w:rFonts w:ascii="Arial" w:cs="Arial" w:eastAsia="Arial" w:hAnsi="Arial"/>
          <w:sz w:val="18"/>
          <w:szCs w:val="18"/>
          <w:color w:val="auto"/>
        </w:rPr>
        <w:t>, which excludes the seasonal effect of operating expenses, registered a decrease. This was mainly attributable to a drop-in expenses for Outsourcing of systems and Leasing, due to the implementation of IFRS 16, which no longer includes leasing expenses in administrative, general and tax expenses lines. Under this methodology, a portion of these expenses (approximately 90%) is reported as expenses for depreciation and amortization and the remainder is included in financial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offset by the increase in:</w:t>
      </w:r>
    </w:p>
    <w:p>
      <w:pPr>
        <w:spacing w:after="0" w:line="225" w:lineRule="exact"/>
        <w:rPr>
          <w:sz w:val="20"/>
          <w:szCs w:val="20"/>
          <w:color w:val="auto"/>
        </w:rPr>
      </w:pPr>
    </w:p>
    <w:p>
      <w:pPr>
        <w:jc w:val="both"/>
        <w:ind w:left="980" w:hanging="648"/>
        <w:spacing w:after="0" w:line="264"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Marketing, mainly at BCP Stand-alone, due to an increase in expenses for the Latam miles program and for different advertising campaigns associated with the founding and celebration of BCP’s 130th anniversary and to a lesser extent, with expenses for advertising and promotions at Mibanco;</w:t>
      </w:r>
    </w:p>
    <w:p>
      <w:pPr>
        <w:spacing w:after="0" w:line="181"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increase in expenses for Programming and Systems due to higher expenses for maintenance and to renew licenses for different applications and programs and;</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Growth in expenses in channels given that higher commissions were paid due to an increase in the volume of local and foreign transfers, as explained in chapter 5.1.2. Fee Income in the Banking Business.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YTD analysis (June 19 vs June 18), a slight drop is evident. This is primarily due to the effect of applying IRFS 16, as explained in the YoY analysis. Consultancy expenses also fell, mainly at Mibanco, given that the comparison reflects the effect of a series of projects that were concluded in 1H18. The aforementioned offset the increase in expenses for:</w:t>
      </w:r>
    </w:p>
    <w:p>
      <w:pPr>
        <w:spacing w:after="0" w:line="181" w:lineRule="exact"/>
        <w:rPr>
          <w:sz w:val="20"/>
          <w:szCs w:val="20"/>
          <w:color w:val="auto"/>
        </w:rPr>
      </w:pPr>
    </w:p>
    <w:p>
      <w:pPr>
        <w:ind w:left="980" w:hanging="648"/>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Marketing, mainly at BCP Stand-alone and to a lesser extent at Mibanco due to the reasons outlined in the YoY analysis and;</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increase in expenses for Programming and Systems. This increase was mainly associated with Mibanco, which continues to build capabilities to ensure growth by upgrading to more modern systems and improving the network at Mibanco’s branches.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Arial" w:cs="Arial" w:eastAsia="Arial" w:hAnsi="Arial"/>
                <w:sz w:val="18"/>
                <w:szCs w:val="18"/>
                <w:b w:val="1"/>
                <w:bCs w:val="1"/>
                <w:color w:val="auto"/>
              </w:rPr>
              <w:t>7.2. Efficiency Ratio</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gridSpan w:val="7"/>
          </w:tcPr>
          <w:p>
            <w:pPr>
              <w:jc w:val="right"/>
              <w:ind w:right="960"/>
              <w:spacing w:after="0"/>
              <w:rPr>
                <w:sz w:val="20"/>
                <w:szCs w:val="20"/>
                <w:color w:val="auto"/>
              </w:rPr>
            </w:pPr>
            <w:r>
              <w:rPr>
                <w:rFonts w:ascii="Arial" w:cs="Arial" w:eastAsia="Arial" w:hAnsi="Arial"/>
                <w:sz w:val="18"/>
                <w:szCs w:val="18"/>
                <w:b w:val="1"/>
                <w:bCs w:val="1"/>
                <w:color w:val="auto"/>
                <w:w w:val="89"/>
              </w:rPr>
              <w:t xml:space="preserve">Efficiency Ratio by Subsidiary </w:t>
            </w:r>
            <w:r>
              <w:rPr>
                <w:rFonts w:ascii="Arial" w:cs="Arial" w:eastAsia="Arial" w:hAnsi="Arial"/>
                <w:sz w:val="30"/>
                <w:szCs w:val="30"/>
                <w:b w:val="1"/>
                <w:bCs w:val="1"/>
                <w:color w:val="auto"/>
                <w:w w:val="89"/>
                <w:vertAlign w:val="superscript"/>
              </w:rPr>
              <w:t>(1)(2)</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BCP</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p>
        </w:tc>
        <w:tc>
          <w:tcPr>
            <w:tcW w:w="15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Stand-alone</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BCP Bolivia</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Mibanco</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Pacifico</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Prima AFP</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Credicorp</w:t>
            </w:r>
          </w:p>
        </w:tc>
        <w:tc>
          <w:tcPr>
            <w:tcW w:w="0" w:type="dxa"/>
            <w:vAlign w:val="bottom"/>
          </w:tcPr>
          <w:p>
            <w:pPr>
              <w:spacing w:after="0"/>
              <w:rPr>
                <w:sz w:val="1"/>
                <w:szCs w:val="1"/>
                <w:color w:val="auto"/>
              </w:rPr>
            </w:pPr>
          </w:p>
        </w:tc>
      </w:tr>
      <w:tr>
        <w:trPr>
          <w:trHeight w:val="20"/>
        </w:trPr>
        <w:tc>
          <w:tcPr>
            <w:tcW w:w="3020" w:type="dxa"/>
            <w:vAlign w:val="bottom"/>
            <w:vMerge w:val="restart"/>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0"/>
              </w:rPr>
              <w:t>2Q18</w:t>
            </w:r>
          </w:p>
        </w:tc>
        <w:tc>
          <w:tcPr>
            <w:tcW w:w="3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3020" w:type="dxa"/>
            <w:vAlign w:val="bottom"/>
          </w:tcPr>
          <w:p>
            <w:pPr>
              <w:jc w:val="center"/>
              <w:ind w:left="170"/>
              <w:spacing w:after="0"/>
              <w:rPr>
                <w:sz w:val="20"/>
                <w:szCs w:val="20"/>
                <w:color w:val="auto"/>
              </w:rPr>
            </w:pPr>
            <w:r>
              <w:rPr>
                <w:rFonts w:ascii="Arial" w:cs="Arial" w:eastAsia="Arial" w:hAnsi="Arial"/>
                <w:sz w:val="18"/>
                <w:szCs w:val="18"/>
                <w:b w:val="1"/>
                <w:bCs w:val="1"/>
                <w:color w:val="auto"/>
                <w:w w:val="90"/>
              </w:rPr>
              <w:t>1Q19</w:t>
            </w:r>
          </w:p>
        </w:tc>
        <w:tc>
          <w:tcPr>
            <w:tcW w:w="1520" w:type="dxa"/>
            <w:vAlign w:val="bottom"/>
            <w:gridSpan w:val="3"/>
          </w:tcPr>
          <w:p>
            <w:pPr>
              <w:jc w:val="right"/>
              <w:ind w:right="10"/>
              <w:spacing w:after="0"/>
              <w:rPr>
                <w:sz w:val="20"/>
                <w:szCs w:val="20"/>
                <w:color w:val="auto"/>
              </w:rPr>
            </w:pPr>
            <w:r>
              <w:rPr>
                <w:rFonts w:ascii="Arial" w:cs="Arial" w:eastAsia="Arial" w:hAnsi="Arial"/>
                <w:sz w:val="18"/>
                <w:szCs w:val="18"/>
                <w:color w:val="auto"/>
              </w:rPr>
              <w:t>37.7%</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61.8%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0"/>
              </w:rPr>
              <w:t>2Q19</w:t>
            </w:r>
          </w:p>
        </w:tc>
        <w:tc>
          <w:tcPr>
            <w:tcW w:w="15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302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Var. QoQ</w:t>
            </w:r>
          </w:p>
        </w:tc>
        <w:tc>
          <w:tcPr>
            <w:tcW w:w="360" w:type="dxa"/>
            <w:vAlign w:val="bottom"/>
          </w:tcPr>
          <w:p>
            <w:pPr>
              <w:spacing w:after="0"/>
              <w:rPr>
                <w:sz w:val="19"/>
                <w:szCs w:val="19"/>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240bps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-10bps</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-220bps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-20bps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-100bps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100bps</w:t>
            </w: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1"/>
              </w:rPr>
              <w:t>Var. YoY</w:t>
            </w: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-50bps</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-330bps</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400bps</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-460bps</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-240bps</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-50bps</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Pr>
          <w:p>
            <w:pPr>
              <w:jc w:val="center"/>
              <w:ind w:left="170"/>
              <w:spacing w:after="0"/>
              <w:rPr>
                <w:sz w:val="20"/>
                <w:szCs w:val="20"/>
                <w:color w:val="auto"/>
              </w:rPr>
            </w:pPr>
            <w:r>
              <w:rPr>
                <w:rFonts w:ascii="Arial" w:cs="Arial" w:eastAsia="Arial" w:hAnsi="Arial"/>
                <w:sz w:val="18"/>
                <w:szCs w:val="18"/>
                <w:b w:val="1"/>
                <w:bCs w:val="1"/>
                <w:color w:val="auto"/>
                <w:w w:val="95"/>
              </w:rPr>
              <w:t>YTD - Jun 18</w:t>
            </w:r>
          </w:p>
        </w:tc>
        <w:tc>
          <w:tcPr>
            <w:tcW w:w="360" w:type="dxa"/>
            <w:vAlign w:val="bottom"/>
          </w:tcPr>
          <w:p>
            <w:pPr>
              <w:spacing w:after="0"/>
              <w:rPr>
                <w:sz w:val="18"/>
                <w:szCs w:val="18"/>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39.8%</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63.8%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5"/>
              </w:rPr>
              <w:t>YTD - Jun 19</w:t>
            </w:r>
          </w:p>
        </w:tc>
        <w:tc>
          <w:tcPr>
            <w:tcW w:w="15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0"/>
        </w:trPr>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2"/>
              </w:rPr>
              <w:t>% Change Jun 19 / Jun 18</w:t>
            </w: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-80bps</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-210bps</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480bps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-450bps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-520bps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-50bps</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8"/>
        <w:spacing w:after="0" w:line="256" w:lineRule="auto"/>
        <w:tabs>
          <w:tab w:leader="none" w:pos="2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(Salaries and employees benefits + Administrative expenses + Depreciation and amortization + Acquisition cost + Association in participation) / (Net interest, similar income and expenses + Fee income + Net gain on foreign exchange transactions Net gain from associates + Net gain on derivatives held for trading + Result on exchange differences + Net premiums earned).</w:t>
      </w: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efficiency ratio differs from previously reported, please consider the data presented on this report.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the deterioration in efficiency was attributable to seasonal effects on operating expenses. As such, the YoY analysis provides a clearer picture of the business’s result.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shows each subsidiary’s contribution to the evolution of the efficiency ratio YoY.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evolution of the efficiency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46115" cy="16294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46115"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firstLine="8"/>
        <w:spacing w:after="0" w:line="277" w:lineRule="auto"/>
        <w:tabs>
          <w:tab w:leader="none" w:pos="283"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Others includes: Credicorp Capital, Prima AFP, BCP Bolivia, ASB, Grupo Credito, among other subsidiaries and the eliminations for consolidation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Credicorp’s improvement in efficiency was due to:</w:t>
      </w:r>
    </w:p>
    <w:p>
      <w:pPr>
        <w:spacing w:after="0" w:line="225" w:lineRule="exact"/>
        <w:rPr>
          <w:sz w:val="20"/>
          <w:szCs w:val="20"/>
          <w:color w:val="auto"/>
        </w:rPr>
      </w:pPr>
    </w:p>
    <w:p>
      <w:pPr>
        <w:jc w:val="both"/>
        <w:ind w:left="880" w:hanging="494"/>
        <w:spacing w:after="0" w:line="259"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Grupo Pacifico, which posted an improvement that was primarily associated with an increase in operating income. This was due to growth in net earned premiums, which was driven mainly by the Life insurance business and to a lesser extent by a decrease in the acquisition cost for this business. It is important to note that the increase in net earned premiums was attenuated by growth in net claims, which is not included in operating expenses and;</w:t>
      </w:r>
    </w:p>
    <w:p>
      <w:pPr>
        <w:spacing w:after="0" w:line="186"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improvement at BCP Stand-alone, which was mainly attributable to an increase in interest income from loans YoY. The aforementioned offset the increase in operating expenses.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aforementioned offset the deterioration at (i) Mibanco, which was attributable to growth in the sales force to increase long-term capacities and to a drop in net interest income after competition for loan placement increased and the reduction in net interest income due to higher competition and (ii) the deterioration at Credicorp Capital due to growth in expenses for salaries and employee benefits, which was associated with an increase personnel.</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annual terms (June 19 vs. June 18), efficiency by subsidiary was similar to that seen YoY. The figure below shows the impact of the variation at each subsidiary on Credicorp’s efficiency ratio: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YTD evolution of the efficiency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46115" cy="16554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46115"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8"/>
        <w:spacing w:after="0" w:line="277" w:lineRule="auto"/>
        <w:tabs>
          <w:tab w:leader="none" w:pos="283" w:val="left"/>
        </w:tabs>
        <w:numPr>
          <w:ilvl w:val="0"/>
          <w:numId w:val="83"/>
        </w:numPr>
        <w:rPr>
          <w:rFonts w:ascii="Arial" w:cs="Arial" w:eastAsia="Arial" w:hAnsi="Arial"/>
          <w:sz w:val="18"/>
          <w:szCs w:val="18"/>
          <w:color w:val="auto"/>
        </w:rPr>
      </w:pPr>
      <w:r>
        <w:rPr>
          <w:rFonts w:ascii="Arial" w:cs="Arial" w:eastAsia="Arial" w:hAnsi="Arial"/>
          <w:sz w:val="18"/>
          <w:szCs w:val="18"/>
          <w:color w:val="auto"/>
        </w:rPr>
        <w:t>Others includes: Credicorp Capital, Prima AFP, BCP Bolivia, ASB, Grupo Credito, among other subsidiaries and the eliminations for consolidation purposes.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8.  Regulatory Capital</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8.1. Regulatory Capital – BAP</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As of</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2Q18</w:t>
            </w: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1Q19</w:t>
            </w: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2Q19</w:t>
            </w:r>
          </w:p>
        </w:tc>
        <w:tc>
          <w:tcPr>
            <w:tcW w:w="2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Treasury Stocks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(208,754)</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(207,897)</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(207,839)</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248,535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222,349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227,380</w:t>
            </w:r>
          </w:p>
        </w:tc>
        <w:tc>
          <w:tcPr>
            <w:tcW w:w="22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57"/>
        </w:trPr>
        <w:tc>
          <w:tcPr>
            <w:tcW w:w="60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Legal and Other capital reserves </w:t>
            </w:r>
            <w:r>
              <w:rPr>
                <w:rFonts w:ascii="Arial" w:cs="Arial" w:eastAsia="Arial" w:hAnsi="Arial"/>
                <w:sz w:val="29"/>
                <w:szCs w:val="29"/>
                <w:color w:val="auto"/>
                <w:vertAlign w:val="superscript"/>
              </w:rPr>
              <w:t>(1)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17,555,309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19,408,876</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19,423,324</w:t>
            </w:r>
          </w:p>
        </w:tc>
        <w:tc>
          <w:tcPr>
            <w:tcW w:w="220" w:type="dxa"/>
            <w:vAlign w:val="bottom"/>
          </w:tcPr>
          <w:p>
            <w:pPr>
              <w:spacing w:after="0"/>
              <w:rPr>
                <w:sz w:val="22"/>
                <w:szCs w:val="22"/>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57"/>
        </w:trPr>
        <w:tc>
          <w:tcPr>
            <w:tcW w:w="60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Minority interest </w:t>
            </w:r>
            <w:r>
              <w:rPr>
                <w:rFonts w:ascii="Arial" w:cs="Arial" w:eastAsia="Arial" w:hAnsi="Arial"/>
                <w:sz w:val="29"/>
                <w:szCs w:val="29"/>
                <w:color w:val="auto"/>
                <w:vertAlign w:val="superscript"/>
              </w:rPr>
              <w:t>(2)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313,149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357,833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357,067</w:t>
            </w:r>
          </w:p>
        </w:tc>
        <w:tc>
          <w:tcPr>
            <w:tcW w:w="220" w:type="dxa"/>
            <w:vAlign w:val="bottom"/>
            <w:tcBorders>
              <w:left w:val="single" w:sz="8" w:color="CCEEFF"/>
            </w:tcBorders>
            <w:shd w:val="clear" w:color="auto" w:fill="CCEEFF"/>
          </w:tcPr>
          <w:p>
            <w:pPr>
              <w:spacing w:after="0"/>
              <w:rPr>
                <w:sz w:val="22"/>
                <w:szCs w:val="22"/>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57"/>
        </w:trPr>
        <w:tc>
          <w:tcPr>
            <w:tcW w:w="60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1,389,348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1,575,956</w:t>
            </w:r>
          </w:p>
        </w:tc>
        <w:tc>
          <w:tcPr>
            <w:tcW w:w="920" w:type="dxa"/>
            <w:vAlign w:val="bottom"/>
          </w:tcPr>
          <w:p>
            <w:pPr>
              <w:jc w:val="right"/>
              <w:spacing w:after="0"/>
              <w:rPr>
                <w:sz w:val="20"/>
                <w:szCs w:val="20"/>
                <w:color w:val="auto"/>
              </w:rPr>
            </w:pPr>
            <w:r>
              <w:rPr>
                <w:rFonts w:ascii="Arial" w:cs="Arial" w:eastAsia="Arial" w:hAnsi="Arial"/>
                <w:sz w:val="18"/>
                <w:szCs w:val="18"/>
                <w:color w:val="auto"/>
              </w:rPr>
              <w:t>1,608,215</w:t>
            </w:r>
          </w:p>
        </w:tc>
        <w:tc>
          <w:tcPr>
            <w:tcW w:w="220" w:type="dxa"/>
            <w:vAlign w:val="bottom"/>
          </w:tcPr>
          <w:p>
            <w:pPr>
              <w:spacing w:after="0"/>
              <w:rPr>
                <w:sz w:val="22"/>
                <w:szCs w:val="22"/>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654,400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580,650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575,225</w:t>
            </w:r>
          </w:p>
        </w:tc>
        <w:tc>
          <w:tcPr>
            <w:tcW w:w="22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4,643,272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4,777,811</w:t>
            </w:r>
          </w:p>
        </w:tc>
        <w:tc>
          <w:tcPr>
            <w:tcW w:w="920" w:type="dxa"/>
            <w:vAlign w:val="bottom"/>
          </w:tcPr>
          <w:p>
            <w:pPr>
              <w:jc w:val="right"/>
              <w:spacing w:after="0"/>
              <w:rPr>
                <w:sz w:val="20"/>
                <w:szCs w:val="20"/>
                <w:color w:val="auto"/>
              </w:rPr>
            </w:pPr>
            <w:r>
              <w:rPr>
                <w:rFonts w:ascii="Arial" w:cs="Arial" w:eastAsia="Arial" w:hAnsi="Arial"/>
                <w:sz w:val="18"/>
                <w:szCs w:val="18"/>
                <w:color w:val="auto"/>
              </w:rPr>
              <w:t>4,735,573</w:t>
            </w:r>
          </w:p>
        </w:tc>
        <w:tc>
          <w:tcPr>
            <w:tcW w:w="22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Investments in equity and subordinated debt of financial and insurance companies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(584,750)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(615,275)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(777,011)</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Goodw ill</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(635,829)</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(602,485)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(601,333)</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7"/>
        </w:trPr>
        <w:tc>
          <w:tcPr>
            <w:tcW w:w="60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8"/>
              </w:rPr>
              <w:t xml:space="preserve">Deduction for subordinated debt limit (50% of Tier I excluding deductions) </w:t>
            </w:r>
            <w:r>
              <w:rPr>
                <w:rFonts w:ascii="Arial" w:cs="Arial" w:eastAsia="Arial" w:hAnsi="Arial"/>
                <w:sz w:val="29"/>
                <w:szCs w:val="29"/>
                <w:color w:val="auto"/>
                <w:w w:val="98"/>
                <w:vertAlign w:val="superscript"/>
              </w:rPr>
              <w:t>(4)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Deduction for Tier I Limit (50% of Regulatory capital) </w:t>
            </w:r>
            <w:r>
              <w:rPr>
                <w:rFonts w:ascii="Arial" w:cs="Arial" w:eastAsia="Arial" w:hAnsi="Arial"/>
                <w:sz w:val="30"/>
                <w:szCs w:val="30"/>
                <w:color w:val="auto"/>
                <w:vertAlign w:val="superscript"/>
              </w:rPr>
              <w:t>(4)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Regulatory Capital (A)</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24,693,673</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26,816,810</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26,659,594</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604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Tier 1 </w:t>
            </w:r>
            <w:r>
              <w:rPr>
                <w:rFonts w:ascii="Arial" w:cs="Arial" w:eastAsia="Arial" w:hAnsi="Arial"/>
                <w:sz w:val="27"/>
                <w:szCs w:val="27"/>
                <w:color w:val="auto"/>
                <w:vertAlign w:val="superscript"/>
              </w:rPr>
              <w:t>(5)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13,469,082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14,827,121</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14,746,304</w:t>
            </w:r>
          </w:p>
        </w:tc>
        <w:tc>
          <w:tcPr>
            <w:tcW w:w="22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-0.5%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0"/>
        </w:trPr>
        <w:tc>
          <w:tcPr>
            <w:tcW w:w="604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 Tier 3 </w:t>
            </w:r>
            <w:r>
              <w:rPr>
                <w:rFonts w:ascii="Arial" w:cs="Arial" w:eastAsia="Arial" w:hAnsi="Arial"/>
                <w:sz w:val="30"/>
                <w:szCs w:val="30"/>
                <w:color w:val="auto"/>
                <w:vertAlign w:val="superscript"/>
              </w:rPr>
              <w:t>(7)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11,224,591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11,989,689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11,913,290</w:t>
            </w:r>
          </w:p>
        </w:tc>
        <w:tc>
          <w:tcPr>
            <w:tcW w:w="220" w:type="dxa"/>
            <w:vAlign w:val="bottom"/>
            <w:tcBorders>
              <w:left w:val="single" w:sz="8" w:color="CCEEFF"/>
            </w:tcBorders>
            <w:shd w:val="clear" w:color="auto" w:fill="CCEEFF"/>
          </w:tcPr>
          <w:p>
            <w:pPr>
              <w:spacing w:after="0"/>
              <w:rPr>
                <w:sz w:val="23"/>
                <w:szCs w:val="23"/>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line="256" w:lineRule="exact"/>
              <w:rPr>
                <w:sz w:val="20"/>
                <w:szCs w:val="20"/>
                <w:color w:val="auto"/>
              </w:rPr>
            </w:pPr>
            <w:r>
              <w:rPr>
                <w:rFonts w:ascii="Arial" w:cs="Arial" w:eastAsia="Arial" w:hAnsi="Arial"/>
                <w:sz w:val="18"/>
                <w:szCs w:val="18"/>
                <w:color w:val="auto"/>
              </w:rPr>
              <w:t xml:space="preserve">Financial Consolidated Group (FCG) Regulatory Capital Requirements </w:t>
            </w:r>
            <w:r>
              <w:rPr>
                <w:rFonts w:ascii="Arial" w:cs="Arial" w:eastAsia="Arial" w:hAnsi="Arial"/>
                <w:sz w:val="29"/>
                <w:szCs w:val="29"/>
                <w:color w:val="auto"/>
                <w:vertAlign w:val="superscript"/>
              </w:rPr>
              <w:t>(8)</w:t>
            </w: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40" w:type="dxa"/>
            <w:vAlign w:val="bottom"/>
            <w:gridSpan w:val="2"/>
            <w:vMerge w:val="continue"/>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18,561,511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19,595,889</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19,877,961</w:t>
            </w:r>
          </w:p>
        </w:tc>
        <w:tc>
          <w:tcPr>
            <w:tcW w:w="22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60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Insurance Consolidated Group (ICG) Capital Requirements </w:t>
            </w:r>
            <w:r>
              <w:rPr>
                <w:rFonts w:ascii="Arial" w:cs="Arial" w:eastAsia="Arial" w:hAnsi="Arial"/>
                <w:sz w:val="29"/>
                <w:szCs w:val="29"/>
                <w:color w:val="auto"/>
                <w:vertAlign w:val="superscript"/>
              </w:rPr>
              <w:t>(9) (*)</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926,264</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1,019,984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1,090,628</w:t>
            </w:r>
          </w:p>
        </w:tc>
        <w:tc>
          <w:tcPr>
            <w:tcW w:w="220" w:type="dxa"/>
            <w:vAlign w:val="bottom"/>
            <w:tcBorders>
              <w:left w:val="single" w:sz="8" w:color="CCEEFF"/>
            </w:tcBorders>
            <w:shd w:val="clear" w:color="auto" w:fill="CCEEFF"/>
          </w:tcPr>
          <w:p>
            <w:pPr>
              <w:spacing w:after="0"/>
              <w:rPr>
                <w:sz w:val="22"/>
                <w:szCs w:val="22"/>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FCG Capital Requirements related to operations with ICG</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(296,132)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(216,360)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(235,272)</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8.7%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ICG Capital Requirements related to operations with FCG</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Regulatory Capital Requirements (B)</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19,191,644</w:t>
            </w:r>
          </w:p>
        </w:tc>
        <w:tc>
          <w:tcPr>
            <w:tcW w:w="2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20,399,513</w:t>
            </w:r>
          </w:p>
        </w:tc>
        <w:tc>
          <w:tcPr>
            <w:tcW w:w="2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20,733,318</w:t>
            </w:r>
          </w:p>
        </w:tc>
        <w:tc>
          <w:tcPr>
            <w:tcW w:w="2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Regulatory Capital Ratio (A) / (B)</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2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2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220" w:type="dxa"/>
            <w:vAlign w:val="bottom"/>
            <w:tcBorders>
              <w:left w:val="single" w:sz="8" w:color="CCEEFF"/>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40" w:type="dxa"/>
            <w:vAlign w:val="bottom"/>
            <w:gridSpan w:val="2"/>
          </w:tcPr>
          <w:p>
            <w:pPr>
              <w:spacing w:after="0" w:line="250" w:lineRule="exact"/>
              <w:rPr>
                <w:sz w:val="20"/>
                <w:szCs w:val="20"/>
                <w:color w:val="auto"/>
              </w:rPr>
            </w:pPr>
            <w:r>
              <w:rPr>
                <w:rFonts w:ascii="Arial" w:cs="Arial" w:eastAsia="Arial" w:hAnsi="Arial"/>
                <w:sz w:val="17"/>
                <w:szCs w:val="17"/>
                <w:b w:val="1"/>
                <w:bCs w:val="1"/>
                <w:color w:val="auto"/>
              </w:rPr>
              <w:t xml:space="preserve">Required Regulatory Capital Ratio </w:t>
            </w:r>
            <w:r>
              <w:rPr>
                <w:rFonts w:ascii="Arial" w:cs="Arial" w:eastAsia="Arial" w:hAnsi="Arial"/>
                <w:sz w:val="28"/>
                <w:szCs w:val="28"/>
                <w:b w:val="1"/>
                <w:bCs w:val="1"/>
                <w:color w:val="auto"/>
                <w:vertAlign w:val="superscript"/>
              </w:rPr>
              <w:t>(10)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Figures differ from previously reported, please consider the data presented on this report.</w:t>
      </w:r>
    </w:p>
    <w:p>
      <w:pPr>
        <w:spacing w:after="0" w:line="23" w:lineRule="exact"/>
        <w:rPr>
          <w:sz w:val="20"/>
          <w:szCs w:val="20"/>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Legal and other capital reserves include restricted capital reserves (S/ 13,465 million) and optional capital reserves (S/ 5,958 million).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Minority interest includes Tier I (S/ 357 million)</w:t>
      </w:r>
    </w:p>
    <w:p>
      <w:pPr>
        <w:spacing w:after="0" w:line="9" w:lineRule="exact"/>
        <w:rPr>
          <w:rFonts w:ascii="Arial" w:cs="Arial" w:eastAsia="Arial" w:hAnsi="Arial"/>
          <w:sz w:val="18"/>
          <w:szCs w:val="18"/>
          <w:color w:val="auto"/>
        </w:rPr>
      </w:pPr>
    </w:p>
    <w:p>
      <w:pPr>
        <w:ind w:firstLine="8"/>
        <w:spacing w:after="0" w:line="250" w:lineRule="auto"/>
        <w:tabs>
          <w:tab w:leader="none" w:pos="269"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 to 1.25% of total risk-weighted assets of Banco de Credito del Peru, Solution Empresa Administradora Hipotecaria, Mibanco and Atlantic Security Bank.</w:t>
      </w: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Tier 2 + Tier 3 cannot be more than 50% of total regulatory capital.</w:t>
      </w:r>
    </w:p>
    <w:p>
      <w:pPr>
        <w:spacing w:after="0" w:line="9" w:lineRule="exact"/>
        <w:rPr>
          <w:rFonts w:ascii="Arial" w:cs="Arial" w:eastAsia="Arial" w:hAnsi="Arial"/>
          <w:sz w:val="18"/>
          <w:szCs w:val="18"/>
          <w:color w:val="auto"/>
        </w:rPr>
      </w:pPr>
    </w:p>
    <w:p>
      <w:pPr>
        <w:ind w:firstLine="8"/>
        <w:spacing w:after="0" w:line="250" w:lineRule="auto"/>
        <w:tabs>
          <w:tab w:leader="none" w:pos="27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Tier 1 = capital + restricted capital reserves + Tier 1 minority interest - goodwill - (0.5 x investment in equity and subordinated debt of financial and insurance companies) + perpetual subordinated debt.</w:t>
      </w:r>
    </w:p>
    <w:p>
      <w:pPr>
        <w:ind w:firstLine="8"/>
        <w:spacing w:after="0" w:line="250" w:lineRule="auto"/>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Tier 2 = subordinated debt + Tier 2 minority interest tier + loan loss reserves - (0.5 x investment in equity and subordinated debt of financial and insurance companies).</w:t>
      </w: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Tier 3 = Subordinated debt covering market risk only.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regulatory capital requirements of the financial consolidated group.</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regulatory capital requirements of the insurance consolidated group.</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Regulatory Capital / Total Regulatory Capital Requirements (legal minimum = 1.00).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Credicorp’s total regulatory capital remained stable QoQ but increased 8.5% YoY due to growth in legal and other capital reserves, as announced in 1Q19.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total regulatory capital requirement increased 1.6% QoQ and 8.0% YoY.</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Credicorp’s Regulatory Capital Ratio continued to be situated at a comfortable level at the end of 2Q19 and represented 1.29 times the capital required by the Peruvian regulator at the end of 2Q19.</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8.2. Regulatory Capital – BCP Stand-alone based on Peru GAAP</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As of</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2Q18</w:t>
            </w:r>
          </w:p>
        </w:tc>
        <w:tc>
          <w:tcPr>
            <w:tcW w:w="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1Q19</w:t>
            </w:r>
          </w:p>
        </w:tc>
        <w:tc>
          <w:tcPr>
            <w:tcW w:w="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2Q19</w:t>
            </w:r>
          </w:p>
        </w:tc>
        <w:tc>
          <w:tcPr>
            <w:tcW w:w="26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8,770,365</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10,217,387</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10,217,387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Legal and Other capital reserves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4,184,303</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4,695,109</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4,695,118</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earnings with capitalization agreement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(1)</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1,175,836</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1,284,021</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1,298,104</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654,400</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580,650</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575,225</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4,098,116</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4,236,505</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4,197,063</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profit (loss)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3"/>
              </w:rPr>
              <w:t>Investment in subsidiaries and others, net of unrealized profit and net income</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(1,323,742)</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(1,722,979)</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(1,722,979)</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subsidiaries and others</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(1,728,854)</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(1,812,955)</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(1,903,858)</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Unrealized profit and net income in subsidiaries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405,113</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89,976</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180,879</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101.0%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Total Regulatory Capital</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17,437,194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19,168,609</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19,137,835</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-0.2%</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Off-balance sheet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81,688,289</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84,074,345</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84,178,682</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74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Tier 1 </w:t>
            </w:r>
            <w:r>
              <w:rPr>
                <w:rFonts w:ascii="Arial" w:cs="Arial" w:eastAsia="Arial" w:hAnsi="Arial"/>
                <w:sz w:val="27"/>
                <w:szCs w:val="27"/>
                <w:color w:val="auto"/>
                <w:vertAlign w:val="superscript"/>
              </w:rPr>
              <w:t>(2)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12,825,113</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14,509,573</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14,504,157</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57"/>
        </w:trPr>
        <w:tc>
          <w:tcPr>
            <w:tcW w:w="5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Tier 3 </w:t>
            </w:r>
            <w:r>
              <w:rPr>
                <w:rFonts w:ascii="Arial" w:cs="Arial" w:eastAsia="Arial" w:hAnsi="Arial"/>
                <w:sz w:val="29"/>
                <w:szCs w:val="29"/>
                <w:color w:val="auto"/>
                <w:vertAlign w:val="superscript"/>
              </w:rPr>
              <w:t>(4)</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4,612,081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4,659,036</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4,633,677</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Common Equity Tier 1</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12,770,640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13,742,704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14,682,446</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6.8%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5740" w:type="dxa"/>
            <w:vAlign w:val="bottom"/>
            <w:gridSpan w:val="2"/>
            <w:vMerge w:val="restart"/>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Total risk-weighted assets - SBS </w:t>
            </w:r>
            <w:r>
              <w:rPr>
                <w:rFonts w:ascii="Arial" w:cs="Arial" w:eastAsia="Arial" w:hAnsi="Arial"/>
                <w:sz w:val="30"/>
                <w:szCs w:val="30"/>
                <w:b w:val="1"/>
                <w:bCs w:val="1"/>
                <w:color w:val="auto"/>
                <w:vertAlign w:val="superscript"/>
              </w:rPr>
              <w:t>(*)</w:t>
            </w: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gridSpan w:val="2"/>
            <w:vMerge w:val="continue"/>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7"/>
              </w:rPr>
              <w:t>115,681,027</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7"/>
              </w:rPr>
              <w:t>123,718,427</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7"/>
              </w:rPr>
              <w:t>128,023,739</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Market risk-weighted assets</w:t>
            </w: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1,118,132</w:t>
            </w:r>
          </w:p>
        </w:tc>
        <w:tc>
          <w:tcPr>
            <w:tcW w:w="26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2,528,029</w:t>
            </w:r>
          </w:p>
        </w:tc>
        <w:tc>
          <w:tcPr>
            <w:tcW w:w="26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2,701,436</w:t>
            </w:r>
          </w:p>
        </w:tc>
        <w:tc>
          <w:tcPr>
            <w:tcW w:w="260" w:type="dxa"/>
            <w:vAlign w:val="bottom"/>
            <w:vMerge w:val="continue"/>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6.9%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risk-weighted assets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105,677,561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112,023,537</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115,994,876</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Operational risk-weighted assets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8,885,333</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9,166,861</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9,327,427</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Risk-Weighted Assets - Basel</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114,929,164</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120,622,867</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124,260,803</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5740" w:type="dxa"/>
            <w:vAlign w:val="bottom"/>
            <w:gridSpan w:val="2"/>
          </w:tcPr>
          <w:p>
            <w:pPr>
              <w:spacing w:after="0"/>
              <w:rPr>
                <w:sz w:val="20"/>
                <w:szCs w:val="20"/>
                <w:color w:val="auto"/>
              </w:rPr>
            </w:pPr>
            <w:r>
              <w:rPr>
                <w:rFonts w:ascii="Arial" w:cs="Arial" w:eastAsia="Arial" w:hAnsi="Arial"/>
                <w:sz w:val="18"/>
                <w:szCs w:val="18"/>
                <w:color w:val="auto"/>
              </w:rPr>
              <w:t>Total risk-weighted assets</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115,681,027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123,718,427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128,023,739</w:t>
            </w:r>
          </w:p>
        </w:tc>
        <w:tc>
          <w:tcPr>
            <w:tcW w:w="26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3.5%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RWA Intangible assets, excluding goodwill.</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1,334,862</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3,491,859</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4,168,753</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02"/>
        </w:trPr>
        <w:tc>
          <w:tcPr>
            <w:tcW w:w="574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1"/>
              </w:rPr>
              <w:t>(+) RWA Deferred tax assets generated as a result of temporary differences</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in income tax, in excess of 10% of CET1</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582,998</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396,299</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405,816</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2.4%</w:t>
            </w: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RWA Deferred tax assets generated as a result of past losses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capital requirement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14,851,099</w:t>
            </w:r>
          </w:p>
        </w:tc>
        <w:tc>
          <w:tcPr>
            <w:tcW w:w="2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15,765,636</w:t>
            </w:r>
          </w:p>
        </w:tc>
        <w:tc>
          <w:tcPr>
            <w:tcW w:w="2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16,265,477</w:t>
            </w:r>
          </w:p>
        </w:tc>
        <w:tc>
          <w:tcPr>
            <w:tcW w:w="2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574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Market risk capital requirement </w:t>
            </w:r>
            <w:r>
              <w:rPr>
                <w:rFonts w:ascii="Arial" w:cs="Arial" w:eastAsia="Arial" w:hAnsi="Arial"/>
                <w:sz w:val="27"/>
                <w:szCs w:val="27"/>
                <w:color w:val="auto"/>
                <w:vertAlign w:val="superscript"/>
              </w:rPr>
              <w:t>(5)</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111,813</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252,803</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270,144</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Credit risk capital requirement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10,567,756</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11,202,354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11,599,488</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3.5%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risk capital requirement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888,533</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916,686</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932,743</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Additional capital requirements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3,282,996</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3,393,794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3,463,103</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ratios</w:t>
            </w: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Tier 1 ratio </w:t>
            </w:r>
            <w:r>
              <w:rPr>
                <w:rFonts w:ascii="Arial" w:cs="Arial" w:eastAsia="Arial" w:hAnsi="Arial"/>
                <w:sz w:val="29"/>
                <w:szCs w:val="29"/>
                <w:color w:val="auto"/>
                <w:vertAlign w:val="superscript"/>
              </w:rPr>
              <w:t>(6)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11.33%</w:t>
            </w: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11.82%</w:t>
            </w:r>
          </w:p>
        </w:tc>
        <w:tc>
          <w:tcPr>
            <w:tcW w:w="7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15.07%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14.95%</w:t>
            </w: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4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Risk-weighted assets / Regulatory capital </w:t>
            </w:r>
            <w:r>
              <w:rPr>
                <w:rFonts w:ascii="Arial" w:cs="Arial" w:eastAsia="Arial" w:hAnsi="Arial"/>
                <w:sz w:val="30"/>
                <w:szCs w:val="30"/>
                <w:color w:val="auto"/>
                <w:vertAlign w:val="superscript"/>
              </w:rPr>
              <w:t>(9)</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6.63</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6.45</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6.69</w:t>
            </w:r>
          </w:p>
        </w:tc>
        <w:tc>
          <w:tcPr>
            <w:tcW w:w="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Up to 1.25% of total risk-weighted assets.</w:t>
      </w:r>
    </w:p>
    <w:p>
      <w:pPr>
        <w:spacing w:after="0" w:line="9" w:lineRule="exact"/>
        <w:rPr>
          <w:rFonts w:ascii="Arial" w:cs="Arial" w:eastAsia="Arial" w:hAnsi="Arial"/>
          <w:sz w:val="18"/>
          <w:szCs w:val="18"/>
          <w:color w:val="auto"/>
        </w:rPr>
      </w:pPr>
    </w:p>
    <w:p>
      <w:pPr>
        <w:jc w:val="both"/>
        <w:ind w:right="20"/>
        <w:spacing w:after="0" w:line="265" w:lineRule="auto"/>
        <w:rPr>
          <w:rFonts w:ascii="Arial" w:cs="Arial" w:eastAsia="Arial" w:hAnsi="Arial"/>
          <w:sz w:val="18"/>
          <w:szCs w:val="18"/>
          <w:color w:val="auto"/>
        </w:rPr>
      </w:pPr>
      <w:r>
        <w:rPr>
          <w:rFonts w:ascii="Arial" w:cs="Arial" w:eastAsia="Arial" w:hAnsi="Arial"/>
          <w:sz w:val="17"/>
          <w:szCs w:val="17"/>
          <w:color w:val="auto"/>
        </w:rPr>
        <w:t>(2) 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rPr>
          <w:rFonts w:ascii="Arial" w:cs="Arial" w:eastAsia="Arial" w:hAnsi="Arial"/>
          <w:sz w:val="18"/>
          <w:szCs w:val="18"/>
          <w:color w:val="auto"/>
        </w:rPr>
      </w:pPr>
      <w:r>
        <w:rPr>
          <w:rFonts w:ascii="Arial" w:cs="Arial" w:eastAsia="Arial" w:hAnsi="Arial"/>
          <w:sz w:val="17"/>
          <w:szCs w:val="17"/>
          <w:color w:val="auto"/>
        </w:rPr>
        <w:t>(3) Tier 2 = Subordinated debt + Loan loss reserves + (0.5 x Unrealized profit and net income in subsidiaries) - (0.5 x Investment in subsidiaries).</w:t>
      </w:r>
    </w:p>
    <w:p>
      <w:pPr>
        <w:spacing w:after="0" w:line="2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 Tier 3 = Subordinated debt covering market risk only. Tier 3 exists since 1Q10.</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 It includes capital requirement to cover price and rate risk.</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 Tier 1 / Total Risk-weighted assets</w:t>
      </w:r>
    </w:p>
    <w:p>
      <w:pPr>
        <w:spacing w:after="0" w:line="9" w:lineRule="exact"/>
        <w:rPr>
          <w:rFonts w:ascii="Arial" w:cs="Arial" w:eastAsia="Arial" w:hAnsi="Arial"/>
          <w:sz w:val="18"/>
          <w:szCs w:val="18"/>
          <w:color w:val="auto"/>
        </w:rPr>
      </w:pPr>
    </w:p>
    <w:p>
      <w:pPr>
        <w:spacing w:after="0" w:line="250" w:lineRule="auto"/>
        <w:rPr>
          <w:rFonts w:ascii="Arial" w:cs="Arial" w:eastAsia="Arial" w:hAnsi="Arial"/>
          <w:sz w:val="18"/>
          <w:szCs w:val="18"/>
          <w:color w:val="auto"/>
        </w:rPr>
      </w:pPr>
      <w:r>
        <w:rPr>
          <w:rFonts w:ascii="Arial" w:cs="Arial" w:eastAsia="Arial" w:hAnsi="Arial"/>
          <w:sz w:val="18"/>
          <w:szCs w:val="18"/>
          <w:color w:val="auto"/>
        </w:rPr>
        <w:t>(7) Common Equity Tier I = Capital + Reserves – 100% of applicable deductions (investment in subsidiaries, goodwill, intangibles and net deferred taxes that rely on future profitability) + retained earnings + unrealized gains.</w:t>
      </w:r>
    </w:p>
    <w:p>
      <w:pPr>
        <w:ind w:right="20"/>
        <w:spacing w:after="0" w:line="265" w:lineRule="auto"/>
        <w:rPr>
          <w:rFonts w:ascii="Arial" w:cs="Arial" w:eastAsia="Arial" w:hAnsi="Arial"/>
          <w:sz w:val="18"/>
          <w:szCs w:val="18"/>
          <w:color w:val="auto"/>
        </w:rPr>
      </w:pPr>
      <w:r>
        <w:rPr>
          <w:rFonts w:ascii="Arial" w:cs="Arial" w:eastAsia="Arial" w:hAnsi="Arial"/>
          <w:sz w:val="17"/>
          <w:szCs w:val="17"/>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spacing w:after="0"/>
        <w:rPr>
          <w:rFonts w:ascii="Arial" w:cs="Arial" w:eastAsia="Arial" w:hAnsi="Arial"/>
          <w:sz w:val="18"/>
          <w:szCs w:val="18"/>
          <w:color w:val="auto"/>
        </w:rPr>
      </w:pPr>
      <w:r>
        <w:rPr>
          <w:rFonts w:ascii="Arial" w:cs="Arial" w:eastAsia="Arial" w:hAnsi="Arial"/>
          <w:sz w:val="18"/>
          <w:szCs w:val="18"/>
          <w:color w:val="auto"/>
        </w:rPr>
        <w:t>(8) Regulatory Capital / Risk-weighted assets (legal minimum = 10% since July 2011)</w:t>
      </w:r>
    </w:p>
    <w:p>
      <w:pPr>
        <w:spacing w:after="0" w:line="9" w:lineRule="exact"/>
        <w:rPr>
          <w:rFonts w:ascii="Arial" w:cs="Arial" w:eastAsia="Arial" w:hAnsi="Arial"/>
          <w:sz w:val="18"/>
          <w:szCs w:val="18"/>
          <w:color w:val="auto"/>
        </w:rPr>
      </w:pPr>
    </w:p>
    <w:p>
      <w:pPr>
        <w:spacing w:after="0" w:line="261" w:lineRule="auto"/>
        <w:rPr>
          <w:rFonts w:ascii="Arial" w:cs="Arial" w:eastAsia="Arial" w:hAnsi="Arial"/>
          <w:sz w:val="18"/>
          <w:szCs w:val="18"/>
          <w:color w:val="auto"/>
        </w:rPr>
      </w:pPr>
      <w:r>
        <w:rPr>
          <w:rFonts w:ascii="Arial" w:cs="Arial" w:eastAsia="Arial" w:hAnsi="Arial"/>
          <w:sz w:val="18"/>
          <w:szCs w:val="18"/>
          <w:color w:val="auto"/>
        </w:rPr>
        <w:t>(9) Since July 2012, Risk-weighted assets = Credit risk-weighted assets * 1.00 + Capital requirement to cover market risk * 10 + Capital requirement to cover operational risk * 10 * 1.00 (since July 2014).</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At the end of 2Q19, the BIS and Tier 1 ratios at BCP Stand-alone fell QoQ to situate at 14.95% and 11.33%, respectively. These results were attributable to the -0.2% reduction in Total regulatory capital in a context in which RWAs reported an increase of 3.5% QoQ.</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regulatory capital fell QoQ due to a decrease in subordinated debt. Total RWAs increased due to growth in credit risk weighted assets, which was mainly driven by 0.8% expansion in quarter-end loan balances.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evolution reveals a reduction in both the BIS Ratio and the Tier1 Ratio with regard to the levels posted in 2Q18. This result was generated in a scenario in which growth in total RWAs outpaced the expansion in Total regulatory capital and in Tier 1 Capital.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YoY evolution of total RWAs was mainly attributable to growth of 9.8% in RWAs for credit risk and to a lesser extent, to growth in RWAs for market risk and operating risk. The increase in RWAs for credit risk reflects 6.5% growth YoY in quarter-end balances as well as the incorporation of RWAs from unutilized credit lines (in accordance with the requirements of the Peruvian regulator).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Equity Tier 1 Ratio – BCP Stand-alone</w:t>
      </w:r>
    </w:p>
    <w:p>
      <w:pPr>
        <w:spacing w:after="0" w:line="225" w:lineRule="exact"/>
        <w:rPr>
          <w:sz w:val="20"/>
          <w:szCs w:val="20"/>
          <w:color w:val="auto"/>
        </w:rPr>
      </w:pPr>
    </w:p>
    <w:p>
      <w:pPr>
        <w:ind w:left="2340"/>
        <w:spacing w:after="0"/>
        <w:tabs>
          <w:tab w:leader="none" w:pos="8220" w:val="left"/>
        </w:tabs>
        <w:rPr>
          <w:sz w:val="20"/>
          <w:szCs w:val="20"/>
          <w:color w:val="auto"/>
        </w:rPr>
      </w:pPr>
      <w:r>
        <w:rPr>
          <w:rFonts w:ascii="Arial" w:cs="Arial" w:eastAsia="Arial" w:hAnsi="Arial"/>
          <w:sz w:val="18"/>
          <w:szCs w:val="18"/>
          <w:b w:val="1"/>
          <w:bCs w:val="1"/>
          <w:color w:val="auto"/>
        </w:rPr>
        <w:t>March 2019</w:t>
      </w:r>
      <w:r>
        <w:rPr>
          <w:sz w:val="20"/>
          <w:szCs w:val="20"/>
          <w:color w:val="auto"/>
        </w:rPr>
        <w:tab/>
      </w:r>
      <w:r>
        <w:rPr>
          <w:rFonts w:ascii="Arial" w:cs="Arial" w:eastAsia="Arial" w:hAnsi="Arial"/>
          <w:sz w:val="16"/>
          <w:szCs w:val="16"/>
          <w:b w:val="1"/>
          <w:bCs w:val="1"/>
          <w:color w:val="auto"/>
        </w:rPr>
        <w:t>June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154305</wp:posOffset>
            </wp:positionV>
            <wp:extent cx="6663690" cy="12947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63690"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(1) Includes investments in BCP Bolivia and other subsidiaries.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Finally, the Common Equity Tier 1 Ratio (CET1), which is considered the most rigorous measure of capitalization levels, expanded +42bps QoQ to situate at 11.82% at the end of 2Q19. This evolution was mainly attributable to the +6.8% increase in CET1, which reflects the accumulated results for the quarter. In the YoY analysis, the CET1 ratio increased 70 bps in a context in which adjusted RWAS increased 8.1% while CET1 expanded +15.0% YoY.</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left="340" w:hanging="332"/>
        <w:spacing w:after="0"/>
        <w:tabs>
          <w:tab w:leader="none" w:pos="3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channels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distribution channels at BCP Stand-alone, Mibanco and BCP Bolivia reached a total of 10,672 points of contact at the end of 2Q19, which represents an increase of 222 points QoQ and 511 YoY. This growth was primarily attributable to an increase in Agentes BCP at BCP Stand-alone and, to a lesser extent, at BCP Bolivia.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Arial" w:cs="Arial" w:eastAsia="Arial" w:hAnsi="Arial"/>
                <w:sz w:val="18"/>
                <w:szCs w:val="18"/>
                <w:b w:val="1"/>
                <w:bCs w:val="1"/>
                <w:color w:val="auto"/>
              </w:rPr>
              <w:t>9.1 Universal Banking</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0"/>
                <w:szCs w:val="20"/>
                <w:color w:val="auto"/>
              </w:rPr>
            </w:pPr>
            <w:r>
              <w:rPr>
                <w:rFonts w:ascii="Arial" w:cs="Arial" w:eastAsia="Arial" w:hAnsi="Arial"/>
                <w:sz w:val="18"/>
                <w:szCs w:val="18"/>
                <w:b w:val="1"/>
                <w:bCs w:val="1"/>
                <w:color w:val="auto"/>
              </w:rPr>
              <w:t>9.1.1 Points of Contact – BCP Stand-alone</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7"/>
        </w:trPr>
        <w:tc>
          <w:tcPr>
            <w:tcW w:w="3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As of</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5"/>
          </w:tcPr>
          <w:p>
            <w:pPr>
              <w:ind w:left="24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36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 18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Mar 19</w:t>
            </w:r>
          </w:p>
        </w:tc>
        <w:tc>
          <w:tcPr>
            <w:tcW w:w="9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 19</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QoQ</w:t>
            </w:r>
          </w:p>
        </w:tc>
        <w:tc>
          <w:tcPr>
            <w:tcW w:w="760" w:type="dxa"/>
            <w:vAlign w:val="bottom"/>
            <w:gridSpan w:val="3"/>
          </w:tcPr>
          <w:p>
            <w:pPr>
              <w:ind w:left="180"/>
              <w:spacing w:after="0"/>
              <w:rPr>
                <w:sz w:val="20"/>
                <w:szCs w:val="20"/>
                <w:color w:val="auto"/>
              </w:rPr>
            </w:pPr>
            <w:r>
              <w:rPr>
                <w:rFonts w:ascii="Arial" w:cs="Arial" w:eastAsia="Arial" w:hAnsi="Arial"/>
                <w:sz w:val="18"/>
                <w:szCs w:val="18"/>
                <w:b w:val="1"/>
                <w:bCs w:val="1"/>
                <w:color w:val="auto"/>
              </w:rPr>
              <w:t>YoY</w:t>
            </w: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ATMs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2,326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2,244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2,261</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Agentes BCP</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6,940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w:t>
            </w:r>
          </w:p>
        </w:tc>
        <w:tc>
          <w:tcPr>
            <w:tcW w:w="40" w:type="dxa"/>
            <w:vAlign w:val="bottom"/>
            <w:shd w:val="clear" w:color="auto" w:fill="CCEEFF"/>
          </w:tcPr>
          <w:p>
            <w:pPr>
              <w:spacing w:after="0"/>
              <w:rPr>
                <w:sz w:val="19"/>
                <w:szCs w:val="19"/>
                <w:color w:val="auto"/>
              </w:rPr>
            </w:pPr>
          </w:p>
        </w:tc>
      </w:tr>
      <w:tr>
        <w:trPr>
          <w:trHeight w:val="210"/>
        </w:trPr>
        <w:tc>
          <w:tcPr>
            <w:tcW w:w="3680" w:type="dxa"/>
            <w:vAlign w:val="bottom"/>
          </w:tcPr>
          <w:p>
            <w:pPr>
              <w:spacing w:after="0"/>
              <w:rPr>
                <w:sz w:val="20"/>
                <w:szCs w:val="20"/>
                <w:color w:val="auto"/>
              </w:rPr>
            </w:pPr>
            <w:r>
              <w:rPr>
                <w:rFonts w:ascii="Arial" w:cs="Arial" w:eastAsia="Arial" w:hAnsi="Arial"/>
                <w:sz w:val="18"/>
                <w:szCs w:val="18"/>
                <w:b w:val="1"/>
                <w:bCs w:val="1"/>
                <w:color w:val="auto"/>
              </w:rPr>
              <w:t>Total BCP's Network</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9,217</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9,408</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9,604</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BCP Stand-alone registered an increase of 196 points of contact QoQ to reach a total of 9,604 points at the end of 2Q19. The point of contact that posted the most significant growth was Agentes BCP, which increased 181 points QoQ. This was primarily due to the fact that in the first quarter, under-performing Agentes are eliminated and new entries are posted in the second quarter every year. The number of ATMs also grew (+17 QoQ); this reflected the strategy to increase the use of cost-efficient channels, which drove the decrease registered in the number of branches (-2 QoQ).</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YoY analysis, the total number of points of contact at BCP Stand-alone increased 387 units, mainly due to growth in Agents BCP (+484 YoY). The number of ATMS fell by 65 after 32 branches were closed. The aforementioned took place under the Transformation strategy at BCP Stand-alone, whose goal is to ensure that 40% of our clients use digital channels. BCP Stand-alone’s goal is to have 7155 Agentes BCP in place by year-end.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9.1.2 Points of contact by geographic area – BCP Stand-alone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As of</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5"/>
          </w:tcPr>
          <w:p>
            <w:pPr>
              <w:ind w:left="24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36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 18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Mar 19</w:t>
            </w:r>
          </w:p>
        </w:tc>
        <w:tc>
          <w:tcPr>
            <w:tcW w:w="9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 19</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QoQ</w:t>
            </w:r>
          </w:p>
        </w:tc>
        <w:tc>
          <w:tcPr>
            <w:tcW w:w="760" w:type="dxa"/>
            <w:vAlign w:val="bottom"/>
            <w:gridSpan w:val="3"/>
          </w:tcPr>
          <w:p>
            <w:pPr>
              <w:ind w:left="180"/>
              <w:spacing w:after="0"/>
              <w:rPr>
                <w:sz w:val="20"/>
                <w:szCs w:val="20"/>
                <w:color w:val="auto"/>
              </w:rPr>
            </w:pPr>
            <w:r>
              <w:rPr>
                <w:rFonts w:ascii="Arial" w:cs="Arial" w:eastAsia="Arial" w:hAnsi="Arial"/>
                <w:sz w:val="18"/>
                <w:szCs w:val="18"/>
                <w:b w:val="1"/>
                <w:bCs w:val="1"/>
                <w:color w:val="auto"/>
              </w:rPr>
              <w:t>YoY</w:t>
            </w: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Lima</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Provinces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Branches</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3680" w:type="dxa"/>
            <w:vAlign w:val="bottom"/>
          </w:tcPr>
          <w:p>
            <w:pPr>
              <w:spacing w:after="0"/>
              <w:rPr>
                <w:sz w:val="20"/>
                <w:szCs w:val="20"/>
                <w:color w:val="auto"/>
              </w:rPr>
            </w:pPr>
            <w:r>
              <w:rPr>
                <w:rFonts w:ascii="Arial" w:cs="Arial" w:eastAsia="Arial" w:hAnsi="Arial"/>
                <w:sz w:val="18"/>
                <w:szCs w:val="18"/>
                <w:color w:val="auto"/>
              </w:rPr>
              <w:t>Lima</w:t>
            </w:r>
          </w:p>
        </w:tc>
        <w:tc>
          <w:tcPr>
            <w:tcW w:w="740" w:type="dxa"/>
            <w:vAlign w:val="bottom"/>
          </w:tcPr>
          <w:p>
            <w:pPr>
              <w:jc w:val="right"/>
              <w:spacing w:after="0"/>
              <w:rPr>
                <w:sz w:val="20"/>
                <w:szCs w:val="20"/>
                <w:color w:val="auto"/>
              </w:rPr>
            </w:pPr>
            <w:r>
              <w:rPr>
                <w:rFonts w:ascii="Arial" w:cs="Arial" w:eastAsia="Arial" w:hAnsi="Arial"/>
                <w:sz w:val="18"/>
                <w:szCs w:val="18"/>
                <w:color w:val="auto"/>
              </w:rPr>
              <w:t>1,533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Provinces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9"/>
                <w:szCs w:val="19"/>
                <w:color w:val="auto"/>
              </w:rPr>
            </w:pPr>
          </w:p>
        </w:tc>
      </w:tr>
      <w:tr>
        <w:trPr>
          <w:trHeight w:val="210"/>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ATM's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2,326</w:t>
            </w:r>
          </w:p>
        </w:tc>
        <w:tc>
          <w:tcPr>
            <w:tcW w:w="1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2,244</w:t>
            </w:r>
          </w:p>
        </w:tc>
        <w:tc>
          <w:tcPr>
            <w:tcW w:w="1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2,261</w:t>
            </w:r>
          </w:p>
        </w:tc>
        <w:tc>
          <w:tcPr>
            <w:tcW w:w="1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Lima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Provinces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3,105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3,299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3,465</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19"/>
                <w:szCs w:val="19"/>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Agentes BCP</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6,456</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6,759</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6,940</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3680" w:type="dxa"/>
            <w:vAlign w:val="bottom"/>
          </w:tcPr>
          <w:p>
            <w:pPr>
              <w:spacing w:after="0"/>
              <w:rPr>
                <w:sz w:val="20"/>
                <w:szCs w:val="20"/>
                <w:color w:val="auto"/>
              </w:rPr>
            </w:pPr>
            <w:r>
              <w:rPr>
                <w:rFonts w:ascii="Arial" w:cs="Arial" w:eastAsia="Arial" w:hAnsi="Arial"/>
                <w:sz w:val="18"/>
                <w:szCs w:val="18"/>
                <w:b w:val="1"/>
                <w:bCs w:val="1"/>
                <w:color w:val="auto"/>
              </w:rPr>
              <w:t>Total points of contact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9,217</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9,408</w:t>
            </w:r>
          </w:p>
        </w:tc>
        <w:tc>
          <w:tcPr>
            <w:tcW w:w="1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9,604</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quarter, points of contact increased by 196. It is important to note that the most significant contribution to the growth registered in Agentes BCP was in the provinces (+166 QoQ), which facilitates our clients’ access to financial services.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YoY growth (+387) posted in the total number of points of contact is due primarily to the increase of 484 Agentes BCP, bolstered by expansion in both Lima (+124) and the provinces (+360). Growth in this channel reflects the Transformation Strategy at BCP Stand-alone, which seeks to migrate clients to more cost-efficient channels. On-going growth in the Agentes BCP channel in the provinces is aligned with the strategy to increase our proximity to current clients while driving inclusion of the unbanked population. For this reason, 74% of the growth in the total number of Agentes was situated in the provinces. .</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It is important to note that the number of branches dropped in both Lima (-18) and in the provinces (-14). About ATMs, decreases were registered in both Lima (-26) and in the provinces (-39) when units were removed from branches.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9.1.3 Transactions per channel – BCP Stand-alone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per channel – BCP Stand-alone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 xml:space="preserve">N° of Transactions per channel </w:t>
            </w:r>
            <w:r>
              <w:rPr>
                <w:rFonts w:ascii="Arial" w:cs="Arial" w:eastAsia="Arial" w:hAnsi="Arial"/>
                <w:sz w:val="23"/>
                <w:szCs w:val="23"/>
                <w:b w:val="1"/>
                <w:bCs w:val="1"/>
                <w:color w:val="auto"/>
                <w:w w:val="93"/>
                <w:vertAlign w:val="superscript"/>
              </w:rPr>
              <w:t>(1)</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w w:val="95"/>
              </w:rPr>
              <w:t>Monthly average in each quarter</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 change</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2Q18</w:t>
            </w:r>
          </w:p>
        </w:tc>
        <w:tc>
          <w:tcPr>
            <w:tcW w:w="82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1Q19</w:t>
            </w:r>
          </w:p>
        </w:tc>
        <w:tc>
          <w:tcPr>
            <w:tcW w:w="82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2Q19</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QoQ</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20"/>
        </w:trPr>
        <w:tc>
          <w:tcPr>
            <w:tcW w:w="960" w:type="dxa"/>
            <w:vAlign w:val="bottom"/>
            <w:vMerge w:val="restart"/>
            <w:shd w:val="clear" w:color="auto" w:fill="CCEEFF"/>
          </w:tcPr>
          <w:p>
            <w:pPr>
              <w:jc w:val="center"/>
              <w:spacing w:after="0" w:line="139" w:lineRule="exact"/>
              <w:rPr>
                <w:sz w:val="20"/>
                <w:szCs w:val="20"/>
                <w:color w:val="auto"/>
              </w:rPr>
            </w:pPr>
            <w:r>
              <w:rPr>
                <w:rFonts w:ascii="Arial" w:cs="Arial" w:eastAsia="Arial" w:hAnsi="Arial"/>
                <w:sz w:val="14"/>
                <w:szCs w:val="14"/>
                <w:b w:val="1"/>
                <w:bCs w:val="1"/>
                <w:color w:val="auto"/>
                <w:w w:val="97"/>
              </w:rPr>
              <w:t>Traditional</w:t>
            </w:r>
          </w:p>
        </w:tc>
        <w:tc>
          <w:tcPr>
            <w:tcW w:w="80" w:type="dxa"/>
            <w:vAlign w:val="bottom"/>
            <w:shd w:val="clear" w:color="auto" w:fill="CCEEFF"/>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Teller</w:t>
            </w:r>
          </w:p>
        </w:tc>
        <w:tc>
          <w:tcPr>
            <w:tcW w:w="80" w:type="dxa"/>
            <w:vAlign w:val="bottom"/>
            <w:vMerge w:val="continue"/>
            <w:shd w:val="clear" w:color="auto" w:fill="CCEEFF"/>
          </w:tcPr>
          <w:p>
            <w:pPr>
              <w:spacing w:after="0"/>
              <w:rPr>
                <w:sz w:val="10"/>
                <w:szCs w:val="10"/>
                <w:color w:val="auto"/>
              </w:rPr>
            </w:pPr>
          </w:p>
        </w:tc>
        <w:tc>
          <w:tcPr>
            <w:tcW w:w="96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8,029,752</w:t>
            </w:r>
          </w:p>
        </w:tc>
        <w:tc>
          <w:tcPr>
            <w:tcW w:w="180" w:type="dxa"/>
            <w:vAlign w:val="bottom"/>
            <w:vMerge w:val="continue"/>
            <w:shd w:val="clear" w:color="auto" w:fill="CCEEFF"/>
          </w:tcPr>
          <w:p>
            <w:pPr>
              <w:spacing w:after="0"/>
              <w:rPr>
                <w:sz w:val="10"/>
                <w:szCs w:val="10"/>
                <w:color w:val="auto"/>
              </w:rPr>
            </w:pPr>
          </w:p>
        </w:tc>
        <w:tc>
          <w:tcPr>
            <w:tcW w:w="106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5.6%</w:t>
            </w:r>
          </w:p>
        </w:tc>
        <w:tc>
          <w:tcPr>
            <w:tcW w:w="9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7,836,871</w:t>
            </w:r>
          </w:p>
        </w:tc>
        <w:tc>
          <w:tcPr>
            <w:tcW w:w="200" w:type="dxa"/>
            <w:vAlign w:val="bottom"/>
            <w:vMerge w:val="continue"/>
            <w:shd w:val="clear" w:color="auto" w:fill="CCEEFF"/>
          </w:tcPr>
          <w:p>
            <w:pPr>
              <w:spacing w:after="0"/>
              <w:rPr>
                <w:sz w:val="10"/>
                <w:szCs w:val="10"/>
                <w:color w:val="auto"/>
              </w:rPr>
            </w:pPr>
          </w:p>
        </w:tc>
        <w:tc>
          <w:tcPr>
            <w:tcW w:w="1080" w:type="dxa"/>
            <w:vAlign w:val="bottom"/>
            <w:gridSpan w:val="2"/>
            <w:shd w:val="clear" w:color="auto" w:fill="CCEEFF"/>
          </w:tcPr>
          <w:p>
            <w:pPr>
              <w:jc w:val="right"/>
              <w:ind w:right="68"/>
              <w:spacing w:after="0" w:line="119" w:lineRule="exact"/>
              <w:rPr>
                <w:sz w:val="20"/>
                <w:szCs w:val="20"/>
                <w:color w:val="auto"/>
              </w:rPr>
            </w:pPr>
            <w:r>
              <w:rPr>
                <w:rFonts w:ascii="Arial" w:cs="Arial" w:eastAsia="Arial" w:hAnsi="Arial"/>
                <w:sz w:val="13"/>
                <w:szCs w:val="13"/>
                <w:color w:val="auto"/>
              </w:rPr>
              <w:t>4.4%</w:t>
            </w:r>
          </w:p>
        </w:tc>
        <w:tc>
          <w:tcPr>
            <w:tcW w:w="96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7,742,591</w:t>
            </w:r>
          </w:p>
        </w:tc>
        <w:tc>
          <w:tcPr>
            <w:tcW w:w="180" w:type="dxa"/>
            <w:vAlign w:val="bottom"/>
            <w:vMerge w:val="continue"/>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4.0%</w:t>
            </w:r>
          </w:p>
        </w:tc>
        <w:tc>
          <w:tcPr>
            <w:tcW w:w="106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-1.2%</w:t>
            </w:r>
          </w:p>
        </w:tc>
        <w:tc>
          <w:tcPr>
            <w:tcW w:w="52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85"/>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channels</w:t>
            </w:r>
          </w:p>
        </w:tc>
        <w:tc>
          <w:tcPr>
            <w:tcW w:w="8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Telephone banking</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4,738,082</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4,947,564</w:t>
            </w:r>
          </w:p>
        </w:tc>
        <w:tc>
          <w:tcPr>
            <w:tcW w:w="10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2.8%</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4,689,830</w:t>
            </w:r>
          </w:p>
        </w:tc>
        <w:tc>
          <w:tcPr>
            <w:tcW w:w="5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Cost-efficient</w:t>
            </w:r>
          </w:p>
        </w:tc>
        <w:tc>
          <w:tcPr>
            <w:tcW w:w="80" w:type="dxa"/>
            <w:vAlign w:val="bottom"/>
          </w:tcPr>
          <w:p>
            <w:pPr>
              <w:spacing w:after="0" w:line="20" w:lineRule="exact"/>
              <w:rPr>
                <w:sz w:val="1"/>
                <w:szCs w:val="1"/>
                <w:color w:val="auto"/>
              </w:rPr>
            </w:pPr>
          </w:p>
        </w:tc>
        <w:tc>
          <w:tcPr>
            <w:tcW w:w="2160" w:type="dxa"/>
            <w:vAlign w:val="bottom"/>
            <w:gridSpan w:val="2"/>
            <w:vMerge w:val="restart"/>
          </w:tcPr>
          <w:p>
            <w:pPr>
              <w:spacing w:after="0" w:line="139" w:lineRule="exact"/>
              <w:rPr>
                <w:sz w:val="20"/>
                <w:szCs w:val="20"/>
                <w:color w:val="auto"/>
              </w:rPr>
            </w:pPr>
            <w:r>
              <w:rPr>
                <w:rFonts w:ascii="Arial" w:cs="Arial" w:eastAsia="Arial" w:hAnsi="Arial"/>
                <w:sz w:val="14"/>
                <w:szCs w:val="14"/>
                <w:color w:val="auto"/>
              </w:rPr>
              <w:t>Agentes BCP</w:t>
            </w: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160" w:type="dxa"/>
            <w:vAlign w:val="bottom"/>
            <w:gridSpan w:val="2"/>
            <w:vMerge w:val="continue"/>
          </w:tcPr>
          <w:p>
            <w:pPr>
              <w:spacing w:after="0"/>
              <w:rPr>
                <w:sz w:val="10"/>
                <w:szCs w:val="10"/>
                <w:color w:val="auto"/>
              </w:rPr>
            </w:pPr>
          </w:p>
        </w:tc>
        <w:tc>
          <w:tcPr>
            <w:tcW w:w="960" w:type="dxa"/>
            <w:vAlign w:val="bottom"/>
          </w:tcPr>
          <w:p>
            <w:pPr>
              <w:jc w:val="right"/>
              <w:spacing w:after="0" w:line="119" w:lineRule="exact"/>
              <w:rPr>
                <w:sz w:val="20"/>
                <w:szCs w:val="20"/>
                <w:color w:val="auto"/>
              </w:rPr>
            </w:pPr>
            <w:r>
              <w:rPr>
                <w:rFonts w:ascii="Arial" w:cs="Arial" w:eastAsia="Arial" w:hAnsi="Arial"/>
                <w:sz w:val="13"/>
                <w:szCs w:val="13"/>
                <w:color w:val="auto"/>
              </w:rPr>
              <w:t>20,936,116</w:t>
            </w:r>
          </w:p>
        </w:tc>
        <w:tc>
          <w:tcPr>
            <w:tcW w:w="180" w:type="dxa"/>
            <w:vAlign w:val="bottom"/>
            <w:vMerge w:val="continue"/>
          </w:tcPr>
          <w:p>
            <w:pPr>
              <w:spacing w:after="0"/>
              <w:rPr>
                <w:sz w:val="10"/>
                <w:szCs w:val="10"/>
                <w:color w:val="auto"/>
              </w:rPr>
            </w:pPr>
          </w:p>
        </w:tc>
        <w:tc>
          <w:tcPr>
            <w:tcW w:w="1060" w:type="dxa"/>
            <w:vAlign w:val="bottom"/>
            <w:gridSpan w:val="2"/>
          </w:tcPr>
          <w:p>
            <w:pPr>
              <w:jc w:val="right"/>
              <w:ind w:right="48"/>
              <w:spacing w:after="0" w:line="119" w:lineRule="exact"/>
              <w:rPr>
                <w:sz w:val="20"/>
                <w:szCs w:val="20"/>
                <w:color w:val="auto"/>
              </w:rPr>
            </w:pPr>
            <w:r>
              <w:rPr>
                <w:rFonts w:ascii="Arial" w:cs="Arial" w:eastAsia="Arial" w:hAnsi="Arial"/>
                <w:sz w:val="13"/>
                <w:szCs w:val="13"/>
                <w:color w:val="auto"/>
              </w:rPr>
              <w:t>14.7%</w:t>
            </w:r>
          </w:p>
        </w:tc>
        <w:tc>
          <w:tcPr>
            <w:tcW w:w="940" w:type="dxa"/>
            <w:vAlign w:val="bottom"/>
          </w:tcPr>
          <w:p>
            <w:pPr>
              <w:jc w:val="right"/>
              <w:spacing w:after="0" w:line="119" w:lineRule="exact"/>
              <w:rPr>
                <w:sz w:val="20"/>
                <w:szCs w:val="20"/>
                <w:color w:val="auto"/>
              </w:rPr>
            </w:pPr>
            <w:r>
              <w:rPr>
                <w:rFonts w:ascii="Arial" w:cs="Arial" w:eastAsia="Arial" w:hAnsi="Arial"/>
                <w:sz w:val="13"/>
                <w:szCs w:val="13"/>
                <w:color w:val="auto"/>
              </w:rPr>
              <w:t>24,802,140</w:t>
            </w:r>
          </w:p>
        </w:tc>
        <w:tc>
          <w:tcPr>
            <w:tcW w:w="200" w:type="dxa"/>
            <w:vAlign w:val="bottom"/>
            <w:vMerge w:val="continue"/>
          </w:tcPr>
          <w:p>
            <w:pPr>
              <w:spacing w:after="0"/>
              <w:rPr>
                <w:sz w:val="10"/>
                <w:szCs w:val="10"/>
                <w:color w:val="auto"/>
              </w:rPr>
            </w:pPr>
          </w:p>
        </w:tc>
        <w:tc>
          <w:tcPr>
            <w:tcW w:w="1080" w:type="dxa"/>
            <w:vAlign w:val="bottom"/>
            <w:gridSpan w:val="2"/>
          </w:tcPr>
          <w:p>
            <w:pPr>
              <w:jc w:val="right"/>
              <w:ind w:right="68"/>
              <w:spacing w:after="0" w:line="119" w:lineRule="exact"/>
              <w:rPr>
                <w:sz w:val="20"/>
                <w:szCs w:val="20"/>
                <w:color w:val="auto"/>
              </w:rPr>
            </w:pPr>
            <w:r>
              <w:rPr>
                <w:rFonts w:ascii="Arial" w:cs="Arial" w:eastAsia="Arial" w:hAnsi="Arial"/>
                <w:sz w:val="13"/>
                <w:szCs w:val="13"/>
                <w:color w:val="auto"/>
              </w:rPr>
              <w:t>14.0%</w:t>
            </w:r>
          </w:p>
        </w:tc>
        <w:tc>
          <w:tcPr>
            <w:tcW w:w="960" w:type="dxa"/>
            <w:vAlign w:val="bottom"/>
          </w:tcPr>
          <w:p>
            <w:pPr>
              <w:jc w:val="right"/>
              <w:spacing w:after="0" w:line="119" w:lineRule="exact"/>
              <w:rPr>
                <w:sz w:val="20"/>
                <w:szCs w:val="20"/>
                <w:color w:val="auto"/>
              </w:rPr>
            </w:pPr>
            <w:r>
              <w:rPr>
                <w:rFonts w:ascii="Arial" w:cs="Arial" w:eastAsia="Arial" w:hAnsi="Arial"/>
                <w:sz w:val="13"/>
                <w:szCs w:val="13"/>
                <w:color w:val="auto"/>
              </w:rPr>
              <w:t>27,012,231</w:t>
            </w:r>
          </w:p>
        </w:tc>
        <w:tc>
          <w:tcPr>
            <w:tcW w:w="1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gridSpan w:val="2"/>
          </w:tcPr>
          <w:p>
            <w:pPr>
              <w:jc w:val="right"/>
              <w:ind w:right="48"/>
              <w:spacing w:after="0" w:line="119" w:lineRule="exact"/>
              <w:rPr>
                <w:sz w:val="20"/>
                <w:szCs w:val="20"/>
                <w:color w:val="auto"/>
              </w:rPr>
            </w:pPr>
            <w:r>
              <w:rPr>
                <w:rFonts w:ascii="Arial" w:cs="Arial" w:eastAsia="Arial" w:hAnsi="Arial"/>
                <w:sz w:val="13"/>
                <w:szCs w:val="13"/>
                <w:color w:val="auto"/>
              </w:rPr>
              <w:t>14.1%</w:t>
            </w:r>
          </w:p>
        </w:tc>
        <w:tc>
          <w:tcPr>
            <w:tcW w:w="1060" w:type="dxa"/>
            <w:vAlign w:val="bottom"/>
            <w:gridSpan w:val="2"/>
          </w:tcPr>
          <w:p>
            <w:pPr>
              <w:jc w:val="right"/>
              <w:ind w:right="48"/>
              <w:spacing w:after="0" w:line="119" w:lineRule="exact"/>
              <w:rPr>
                <w:sz w:val="20"/>
                <w:szCs w:val="20"/>
                <w:color w:val="auto"/>
              </w:rPr>
            </w:pPr>
            <w:r>
              <w:rPr>
                <w:rFonts w:ascii="Arial" w:cs="Arial" w:eastAsia="Arial" w:hAnsi="Arial"/>
                <w:sz w:val="13"/>
                <w:szCs w:val="13"/>
                <w:color w:val="auto"/>
              </w:rPr>
              <w:t>8.9%</w:t>
            </w:r>
          </w:p>
        </w:tc>
        <w:tc>
          <w:tcPr>
            <w:tcW w:w="52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185"/>
        </w:trPr>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channels</w:t>
            </w:r>
          </w:p>
        </w:tc>
        <w:tc>
          <w:tcPr>
            <w:tcW w:w="8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Arial" w:cs="Arial" w:eastAsia="Arial" w:hAnsi="Arial"/>
                <w:sz w:val="14"/>
                <w:szCs w:val="14"/>
                <w:color w:val="auto"/>
              </w:rPr>
              <w:t>ATMs</w:t>
            </w:r>
          </w:p>
        </w:tc>
        <w:tc>
          <w:tcPr>
            <w:tcW w:w="960" w:type="dxa"/>
            <w:vAlign w:val="bottom"/>
          </w:tcPr>
          <w:p>
            <w:pPr>
              <w:jc w:val="right"/>
              <w:spacing w:after="0"/>
              <w:rPr>
                <w:sz w:val="20"/>
                <w:szCs w:val="20"/>
                <w:color w:val="auto"/>
              </w:rPr>
            </w:pPr>
            <w:r>
              <w:rPr>
                <w:rFonts w:ascii="Arial" w:cs="Arial" w:eastAsia="Arial" w:hAnsi="Arial"/>
                <w:sz w:val="14"/>
                <w:szCs w:val="14"/>
                <w:color w:val="auto"/>
              </w:rPr>
              <w:t>20,892,105</w:t>
            </w:r>
          </w:p>
        </w:tc>
        <w:tc>
          <w:tcPr>
            <w:tcW w:w="180" w:type="dxa"/>
            <w:vAlign w:val="bottom"/>
          </w:tcPr>
          <w:p>
            <w:pPr>
              <w:spacing w:after="0"/>
              <w:rPr>
                <w:sz w:val="16"/>
                <w:szCs w:val="16"/>
                <w:color w:val="auto"/>
              </w:rPr>
            </w:pPr>
          </w:p>
        </w:tc>
        <w:tc>
          <w:tcPr>
            <w:tcW w:w="1060" w:type="dxa"/>
            <w:vAlign w:val="bottom"/>
            <w:gridSpan w:val="2"/>
          </w:tcPr>
          <w:p>
            <w:pPr>
              <w:jc w:val="right"/>
              <w:ind w:right="48"/>
              <w:spacing w:after="0"/>
              <w:rPr>
                <w:sz w:val="20"/>
                <w:szCs w:val="20"/>
                <w:color w:val="auto"/>
              </w:rPr>
            </w:pPr>
            <w:r>
              <w:rPr>
                <w:rFonts w:ascii="Arial" w:cs="Arial" w:eastAsia="Arial" w:hAnsi="Arial"/>
                <w:sz w:val="14"/>
                <w:szCs w:val="14"/>
                <w:color w:val="auto"/>
              </w:rPr>
              <w:t>14.7%</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24,405,732</w:t>
            </w:r>
          </w:p>
        </w:tc>
        <w:tc>
          <w:tcPr>
            <w:tcW w:w="1080" w:type="dxa"/>
            <w:vAlign w:val="bottom"/>
            <w:gridSpan w:val="2"/>
          </w:tcPr>
          <w:p>
            <w:pPr>
              <w:jc w:val="right"/>
              <w:ind w:right="68"/>
              <w:spacing w:after="0"/>
              <w:rPr>
                <w:sz w:val="20"/>
                <w:szCs w:val="20"/>
                <w:color w:val="auto"/>
              </w:rPr>
            </w:pPr>
            <w:r>
              <w:rPr>
                <w:rFonts w:ascii="Arial" w:cs="Arial" w:eastAsia="Arial" w:hAnsi="Arial"/>
                <w:sz w:val="14"/>
                <w:szCs w:val="14"/>
                <w:color w:val="auto"/>
              </w:rPr>
              <w:t>13.8%</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24,685,223</w:t>
            </w:r>
          </w:p>
        </w:tc>
        <w:tc>
          <w:tcPr>
            <w:tcW w:w="500" w:type="dxa"/>
            <w:vAlign w:val="bottom"/>
          </w:tcPr>
          <w:p>
            <w:pPr>
              <w:spacing w:after="0"/>
              <w:rPr>
                <w:sz w:val="16"/>
                <w:szCs w:val="16"/>
                <w:color w:val="auto"/>
              </w:rPr>
            </w:pPr>
          </w:p>
        </w:tc>
        <w:tc>
          <w:tcPr>
            <w:tcW w:w="580" w:type="dxa"/>
            <w:vAlign w:val="bottom"/>
            <w:gridSpan w:val="2"/>
          </w:tcPr>
          <w:p>
            <w:pPr>
              <w:jc w:val="right"/>
              <w:ind w:right="48"/>
              <w:spacing w:after="0"/>
              <w:rPr>
                <w:sz w:val="20"/>
                <w:szCs w:val="20"/>
                <w:color w:val="auto"/>
              </w:rPr>
            </w:pPr>
            <w:r>
              <w:rPr>
                <w:rFonts w:ascii="Arial" w:cs="Arial" w:eastAsia="Arial" w:hAnsi="Arial"/>
                <w:sz w:val="14"/>
                <w:szCs w:val="14"/>
                <w:color w:val="auto"/>
              </w:rPr>
              <w:t>12.9%</w:t>
            </w:r>
          </w:p>
        </w:tc>
        <w:tc>
          <w:tcPr>
            <w:tcW w:w="1060" w:type="dxa"/>
            <w:vAlign w:val="bottom"/>
            <w:gridSpan w:val="2"/>
          </w:tcPr>
          <w:p>
            <w:pPr>
              <w:jc w:val="right"/>
              <w:ind w:right="48"/>
              <w:spacing w:after="0"/>
              <w:rPr>
                <w:sz w:val="20"/>
                <w:szCs w:val="20"/>
                <w:color w:val="auto"/>
              </w:rPr>
            </w:pPr>
            <w:r>
              <w:rPr>
                <w:rFonts w:ascii="Arial" w:cs="Arial" w:eastAsia="Arial" w:hAnsi="Arial"/>
                <w:sz w:val="14"/>
                <w:szCs w:val="14"/>
                <w:color w:val="auto"/>
              </w:rPr>
              <w:t>1.1%</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0"/>
        </w:trPr>
        <w:tc>
          <w:tcPr>
            <w:tcW w:w="960" w:type="dxa"/>
            <w:vAlign w:val="bottom"/>
            <w:vMerge w:val="restart"/>
            <w:shd w:val="clear" w:color="auto" w:fill="CCEEFF"/>
          </w:tcPr>
          <w:p>
            <w:pPr>
              <w:jc w:val="center"/>
              <w:spacing w:after="0" w:line="139" w:lineRule="exact"/>
              <w:rPr>
                <w:sz w:val="20"/>
                <w:szCs w:val="20"/>
                <w:color w:val="auto"/>
              </w:rPr>
            </w:pPr>
            <w:r>
              <w:rPr>
                <w:rFonts w:ascii="Arial" w:cs="Arial" w:eastAsia="Arial" w:hAnsi="Arial"/>
                <w:sz w:val="14"/>
                <w:szCs w:val="14"/>
                <w:b w:val="1"/>
                <w:bCs w:val="1"/>
                <w:color w:val="auto"/>
                <w:w w:val="98"/>
              </w:rPr>
              <w:t>Digital</w:t>
            </w:r>
          </w:p>
        </w:tc>
        <w:tc>
          <w:tcPr>
            <w:tcW w:w="80" w:type="dxa"/>
            <w:vAlign w:val="bottom"/>
            <w:shd w:val="clear" w:color="auto" w:fill="CCEEFF"/>
          </w:tcPr>
          <w:p>
            <w:pPr>
              <w:spacing w:after="0" w:line="20" w:lineRule="exact"/>
              <w:rPr>
                <w:sz w:val="1"/>
                <w:szCs w:val="1"/>
                <w:color w:val="auto"/>
              </w:rPr>
            </w:pPr>
          </w:p>
        </w:tc>
        <w:tc>
          <w:tcPr>
            <w:tcW w:w="2160" w:type="dxa"/>
            <w:vAlign w:val="bottom"/>
            <w:gridSpan w:val="2"/>
            <w:vMerge w:val="restart"/>
            <w:shd w:val="clear" w:color="auto" w:fill="CCEEFF"/>
          </w:tcPr>
          <w:p>
            <w:pPr>
              <w:spacing w:after="0" w:line="139" w:lineRule="exact"/>
              <w:rPr>
                <w:sz w:val="20"/>
                <w:szCs w:val="20"/>
                <w:color w:val="auto"/>
              </w:rPr>
            </w:pPr>
            <w:r>
              <w:rPr>
                <w:rFonts w:ascii="Arial" w:cs="Arial" w:eastAsia="Arial" w:hAnsi="Arial"/>
                <w:sz w:val="14"/>
                <w:szCs w:val="14"/>
                <w:color w:val="auto"/>
              </w:rPr>
              <w:t>Mobile banking</w:t>
            </w: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160" w:type="dxa"/>
            <w:vAlign w:val="bottom"/>
            <w:gridSpan w:val="2"/>
            <w:vMerge w:val="continue"/>
            <w:shd w:val="clear" w:color="auto" w:fill="CCEEFF"/>
          </w:tcPr>
          <w:p>
            <w:pPr>
              <w:spacing w:after="0"/>
              <w:rPr>
                <w:sz w:val="10"/>
                <w:szCs w:val="10"/>
                <w:color w:val="auto"/>
              </w:rPr>
            </w:pPr>
          </w:p>
        </w:tc>
        <w:tc>
          <w:tcPr>
            <w:tcW w:w="96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41,967,471</w:t>
            </w:r>
          </w:p>
        </w:tc>
        <w:tc>
          <w:tcPr>
            <w:tcW w:w="180" w:type="dxa"/>
            <w:vAlign w:val="bottom"/>
            <w:vMerge w:val="continue"/>
            <w:shd w:val="clear" w:color="auto" w:fill="CCEEFF"/>
          </w:tcPr>
          <w:p>
            <w:pPr>
              <w:spacing w:after="0"/>
              <w:rPr>
                <w:sz w:val="10"/>
                <w:szCs w:val="10"/>
                <w:color w:val="auto"/>
              </w:rPr>
            </w:pPr>
          </w:p>
        </w:tc>
        <w:tc>
          <w:tcPr>
            <w:tcW w:w="106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29.4%</w:t>
            </w:r>
          </w:p>
        </w:tc>
        <w:tc>
          <w:tcPr>
            <w:tcW w:w="9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68,528,959</w:t>
            </w:r>
          </w:p>
        </w:tc>
        <w:tc>
          <w:tcPr>
            <w:tcW w:w="200" w:type="dxa"/>
            <w:vAlign w:val="bottom"/>
            <w:vMerge w:val="continue"/>
            <w:shd w:val="clear" w:color="auto" w:fill="CCEEFF"/>
          </w:tcPr>
          <w:p>
            <w:pPr>
              <w:spacing w:after="0"/>
              <w:rPr>
                <w:sz w:val="10"/>
                <w:szCs w:val="10"/>
                <w:color w:val="auto"/>
              </w:rPr>
            </w:pPr>
          </w:p>
        </w:tc>
        <w:tc>
          <w:tcPr>
            <w:tcW w:w="1080" w:type="dxa"/>
            <w:vAlign w:val="bottom"/>
            <w:gridSpan w:val="2"/>
            <w:shd w:val="clear" w:color="auto" w:fill="CCEEFF"/>
          </w:tcPr>
          <w:p>
            <w:pPr>
              <w:jc w:val="right"/>
              <w:ind w:right="68"/>
              <w:spacing w:after="0" w:line="119" w:lineRule="exact"/>
              <w:rPr>
                <w:sz w:val="20"/>
                <w:szCs w:val="20"/>
                <w:color w:val="auto"/>
              </w:rPr>
            </w:pPr>
            <w:r>
              <w:rPr>
                <w:rFonts w:ascii="Arial" w:cs="Arial" w:eastAsia="Arial" w:hAnsi="Arial"/>
                <w:sz w:val="13"/>
                <w:szCs w:val="13"/>
                <w:color w:val="auto"/>
              </w:rPr>
              <w:t>38.6%</w:t>
            </w:r>
          </w:p>
        </w:tc>
        <w:tc>
          <w:tcPr>
            <w:tcW w:w="96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81,062,483</w:t>
            </w:r>
          </w:p>
        </w:tc>
        <w:tc>
          <w:tcPr>
            <w:tcW w:w="180" w:type="dxa"/>
            <w:vAlign w:val="bottom"/>
            <w:vMerge w:val="continue"/>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42.2%</w:t>
            </w:r>
          </w:p>
        </w:tc>
        <w:tc>
          <w:tcPr>
            <w:tcW w:w="106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18.3%</w:t>
            </w:r>
          </w:p>
        </w:tc>
        <w:tc>
          <w:tcPr>
            <w:tcW w:w="52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93.2%</w:t>
            </w:r>
          </w:p>
        </w:tc>
        <w:tc>
          <w:tcPr>
            <w:tcW w:w="0" w:type="dxa"/>
            <w:vAlign w:val="bottom"/>
          </w:tcPr>
          <w:p>
            <w:pPr>
              <w:spacing w:after="0"/>
              <w:rPr>
                <w:sz w:val="1"/>
                <w:szCs w:val="1"/>
                <w:color w:val="auto"/>
              </w:rPr>
            </w:pPr>
          </w:p>
        </w:tc>
      </w:tr>
      <w:tr>
        <w:trPr>
          <w:trHeight w:val="153"/>
        </w:trPr>
        <w:tc>
          <w:tcPr>
            <w:tcW w:w="96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88"/>
              </w:rPr>
              <w:t>channels</w:t>
            </w:r>
          </w:p>
        </w:tc>
        <w:tc>
          <w:tcPr>
            <w:tcW w:w="8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Internet banking Via BCP</w:t>
            </w:r>
          </w:p>
        </w:tc>
        <w:tc>
          <w:tcPr>
            <w:tcW w:w="1140" w:type="dxa"/>
            <w:vAlign w:val="bottom"/>
            <w:gridSpan w:val="2"/>
            <w:shd w:val="clear" w:color="auto" w:fill="CCEEFF"/>
          </w:tcPr>
          <w:p>
            <w:pPr>
              <w:jc w:val="right"/>
              <w:ind w:right="180"/>
              <w:spacing w:after="0" w:line="153" w:lineRule="exact"/>
              <w:rPr>
                <w:sz w:val="20"/>
                <w:szCs w:val="20"/>
                <w:color w:val="auto"/>
              </w:rPr>
            </w:pPr>
            <w:r>
              <w:rPr>
                <w:rFonts w:ascii="Arial" w:cs="Arial" w:eastAsia="Arial" w:hAnsi="Arial"/>
                <w:sz w:val="14"/>
                <w:szCs w:val="14"/>
                <w:color w:val="auto"/>
              </w:rPr>
              <w:t>18,571,866</w:t>
            </w:r>
          </w:p>
        </w:tc>
        <w:tc>
          <w:tcPr>
            <w:tcW w:w="1060" w:type="dxa"/>
            <w:vAlign w:val="bottom"/>
            <w:gridSpan w:val="2"/>
            <w:shd w:val="clear" w:color="auto" w:fill="CCEEFF"/>
          </w:tcPr>
          <w:p>
            <w:pPr>
              <w:jc w:val="right"/>
              <w:ind w:right="48"/>
              <w:spacing w:after="0" w:line="153" w:lineRule="exact"/>
              <w:rPr>
                <w:sz w:val="20"/>
                <w:szCs w:val="20"/>
                <w:color w:val="auto"/>
              </w:rPr>
            </w:pPr>
            <w:r>
              <w:rPr>
                <w:rFonts w:ascii="Arial" w:cs="Arial" w:eastAsia="Arial" w:hAnsi="Arial"/>
                <w:sz w:val="14"/>
                <w:szCs w:val="14"/>
                <w:color w:val="auto"/>
              </w:rPr>
              <w:t>13.0%</w:t>
            </w:r>
          </w:p>
        </w:tc>
        <w:tc>
          <w:tcPr>
            <w:tcW w:w="1140" w:type="dxa"/>
            <w:vAlign w:val="bottom"/>
            <w:gridSpan w:val="2"/>
            <w:shd w:val="clear" w:color="auto" w:fill="CCEEFF"/>
          </w:tcPr>
          <w:p>
            <w:pPr>
              <w:jc w:val="right"/>
              <w:ind w:right="200"/>
              <w:spacing w:after="0" w:line="153" w:lineRule="exact"/>
              <w:rPr>
                <w:sz w:val="20"/>
                <w:szCs w:val="20"/>
                <w:color w:val="auto"/>
              </w:rPr>
            </w:pPr>
            <w:r>
              <w:rPr>
                <w:rFonts w:ascii="Arial" w:cs="Arial" w:eastAsia="Arial" w:hAnsi="Arial"/>
                <w:sz w:val="14"/>
                <w:szCs w:val="14"/>
                <w:color w:val="auto"/>
              </w:rPr>
              <w:t>16,185,835</w:t>
            </w:r>
          </w:p>
        </w:tc>
        <w:tc>
          <w:tcPr>
            <w:tcW w:w="1080" w:type="dxa"/>
            <w:vAlign w:val="bottom"/>
            <w:gridSpan w:val="2"/>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9.1%</w:t>
            </w:r>
          </w:p>
        </w:tc>
        <w:tc>
          <w:tcPr>
            <w:tcW w:w="1140" w:type="dxa"/>
            <w:vAlign w:val="bottom"/>
            <w:gridSpan w:val="2"/>
            <w:shd w:val="clear" w:color="auto" w:fill="CCEEFF"/>
          </w:tcPr>
          <w:p>
            <w:pPr>
              <w:jc w:val="right"/>
              <w:ind w:right="180"/>
              <w:spacing w:after="0" w:line="153" w:lineRule="exact"/>
              <w:rPr>
                <w:sz w:val="20"/>
                <w:szCs w:val="20"/>
                <w:color w:val="auto"/>
              </w:rPr>
            </w:pPr>
            <w:r>
              <w:rPr>
                <w:rFonts w:ascii="Arial" w:cs="Arial" w:eastAsia="Arial" w:hAnsi="Arial"/>
                <w:sz w:val="14"/>
                <w:szCs w:val="14"/>
                <w:color w:val="auto"/>
              </w:rPr>
              <w:t>16,150,532</w:t>
            </w:r>
          </w:p>
        </w:tc>
        <w:tc>
          <w:tcPr>
            <w:tcW w:w="5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8"/>
              <w:spacing w:after="0" w:line="153" w:lineRule="exact"/>
              <w:rPr>
                <w:sz w:val="20"/>
                <w:szCs w:val="20"/>
                <w:color w:val="auto"/>
              </w:rPr>
            </w:pPr>
            <w:r>
              <w:rPr>
                <w:rFonts w:ascii="Arial" w:cs="Arial" w:eastAsia="Arial" w:hAnsi="Arial"/>
                <w:sz w:val="14"/>
                <w:szCs w:val="14"/>
                <w:color w:val="auto"/>
              </w:rPr>
              <w:t>8.4%</w:t>
            </w:r>
          </w:p>
        </w:tc>
        <w:tc>
          <w:tcPr>
            <w:tcW w:w="1060" w:type="dxa"/>
            <w:vAlign w:val="bottom"/>
            <w:gridSpan w:val="2"/>
            <w:shd w:val="clear" w:color="auto" w:fill="CCEEFF"/>
          </w:tcPr>
          <w:p>
            <w:pPr>
              <w:jc w:val="right"/>
              <w:ind w:right="48"/>
              <w:spacing w:after="0" w:line="153" w:lineRule="exact"/>
              <w:rPr>
                <w:sz w:val="20"/>
                <w:szCs w:val="20"/>
                <w:color w:val="auto"/>
              </w:rPr>
            </w:pPr>
            <w:r>
              <w:rPr>
                <w:rFonts w:ascii="Arial" w:cs="Arial" w:eastAsia="Arial" w:hAnsi="Arial"/>
                <w:sz w:val="14"/>
                <w:szCs w:val="14"/>
                <w:color w:val="auto"/>
              </w:rPr>
              <w:t>-0.2%</w:t>
            </w:r>
          </w:p>
        </w:tc>
        <w:tc>
          <w:tcPr>
            <w:tcW w:w="52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81"/>
        </w:trPr>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inquiries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1,754,730</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1,295,030</w:t>
            </w:r>
          </w:p>
        </w:tc>
        <w:tc>
          <w:tcPr>
            <w:tcW w:w="10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0.7%</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1,226,680</w:t>
            </w:r>
          </w:p>
        </w:tc>
        <w:tc>
          <w:tcPr>
            <w:tcW w:w="5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0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spacing w:after="0" w:line="143" w:lineRule="exact"/>
              <w:rPr>
                <w:sz w:val="20"/>
                <w:szCs w:val="20"/>
                <w:color w:val="auto"/>
              </w:rPr>
            </w:pPr>
            <w:r>
              <w:rPr>
                <w:rFonts w:ascii="Arial" w:cs="Arial" w:eastAsia="Arial" w:hAnsi="Arial"/>
                <w:sz w:val="14"/>
                <w:szCs w:val="14"/>
                <w:b w:val="1"/>
                <w:bCs w:val="1"/>
                <w:color w:val="auto"/>
                <w:w w:val="92"/>
              </w:rPr>
              <w:t>Others</w:t>
            </w:r>
          </w:p>
        </w:tc>
        <w:tc>
          <w:tcPr>
            <w:tcW w:w="80" w:type="dxa"/>
            <w:vAlign w:val="bottom"/>
          </w:tcPr>
          <w:p>
            <w:pPr>
              <w:spacing w:after="0" w:line="20" w:lineRule="exact"/>
              <w:rPr>
                <w:sz w:val="1"/>
                <w:szCs w:val="1"/>
                <w:color w:val="auto"/>
              </w:rPr>
            </w:pPr>
          </w:p>
        </w:tc>
        <w:tc>
          <w:tcPr>
            <w:tcW w:w="2160" w:type="dxa"/>
            <w:vAlign w:val="bottom"/>
            <w:gridSpan w:val="2"/>
            <w:vMerge w:val="restart"/>
          </w:tcPr>
          <w:p>
            <w:pPr>
              <w:spacing w:after="0" w:line="143" w:lineRule="exact"/>
              <w:rPr>
                <w:sz w:val="20"/>
                <w:szCs w:val="20"/>
                <w:color w:val="auto"/>
              </w:rPr>
            </w:pPr>
            <w:r>
              <w:rPr>
                <w:rFonts w:ascii="Arial" w:cs="Arial" w:eastAsia="Arial" w:hAnsi="Arial"/>
                <w:sz w:val="14"/>
                <w:szCs w:val="14"/>
                <w:color w:val="auto"/>
              </w:rPr>
              <w:t>Telecrédito</w:t>
            </w: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9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160" w:type="dxa"/>
            <w:vAlign w:val="bottom"/>
            <w:gridSpan w:val="2"/>
            <w:vMerge w:val="continue"/>
          </w:tcPr>
          <w:p>
            <w:pPr>
              <w:spacing w:after="0"/>
              <w:rPr>
                <w:sz w:val="10"/>
                <w:szCs w:val="10"/>
                <w:color w:val="auto"/>
              </w:rPr>
            </w:pPr>
          </w:p>
        </w:tc>
        <w:tc>
          <w:tcPr>
            <w:tcW w:w="960" w:type="dxa"/>
            <w:vAlign w:val="bottom"/>
          </w:tcPr>
          <w:p>
            <w:pPr>
              <w:jc w:val="right"/>
              <w:spacing w:after="0" w:line="123" w:lineRule="exact"/>
              <w:rPr>
                <w:sz w:val="20"/>
                <w:szCs w:val="20"/>
                <w:color w:val="auto"/>
              </w:rPr>
            </w:pPr>
            <w:r>
              <w:rPr>
                <w:rFonts w:ascii="Arial" w:cs="Arial" w:eastAsia="Arial" w:hAnsi="Arial"/>
                <w:sz w:val="14"/>
                <w:szCs w:val="14"/>
                <w:color w:val="auto"/>
              </w:rPr>
              <w:t>10,744,973</w:t>
            </w:r>
          </w:p>
        </w:tc>
        <w:tc>
          <w:tcPr>
            <w:tcW w:w="180" w:type="dxa"/>
            <w:vAlign w:val="bottom"/>
            <w:vMerge w:val="continue"/>
          </w:tcPr>
          <w:p>
            <w:pPr>
              <w:spacing w:after="0"/>
              <w:rPr>
                <w:sz w:val="10"/>
                <w:szCs w:val="10"/>
                <w:color w:val="auto"/>
              </w:rPr>
            </w:pPr>
          </w:p>
        </w:tc>
        <w:tc>
          <w:tcPr>
            <w:tcW w:w="1060" w:type="dxa"/>
            <w:vAlign w:val="bottom"/>
            <w:gridSpan w:val="2"/>
          </w:tcPr>
          <w:p>
            <w:pPr>
              <w:jc w:val="right"/>
              <w:ind w:right="48"/>
              <w:spacing w:after="0" w:line="123" w:lineRule="exact"/>
              <w:rPr>
                <w:sz w:val="20"/>
                <w:szCs w:val="20"/>
                <w:color w:val="auto"/>
              </w:rPr>
            </w:pPr>
            <w:r>
              <w:rPr>
                <w:rFonts w:ascii="Arial" w:cs="Arial" w:eastAsia="Arial" w:hAnsi="Arial"/>
                <w:sz w:val="14"/>
                <w:szCs w:val="14"/>
                <w:color w:val="auto"/>
              </w:rPr>
              <w:t>7.5%</w:t>
            </w:r>
          </w:p>
        </w:tc>
        <w:tc>
          <w:tcPr>
            <w:tcW w:w="940" w:type="dxa"/>
            <w:vAlign w:val="bottom"/>
          </w:tcPr>
          <w:p>
            <w:pPr>
              <w:jc w:val="right"/>
              <w:spacing w:after="0" w:line="123" w:lineRule="exact"/>
              <w:rPr>
                <w:sz w:val="20"/>
                <w:szCs w:val="20"/>
                <w:color w:val="auto"/>
              </w:rPr>
            </w:pPr>
            <w:r>
              <w:rPr>
                <w:rFonts w:ascii="Arial" w:cs="Arial" w:eastAsia="Arial" w:hAnsi="Arial"/>
                <w:sz w:val="14"/>
                <w:szCs w:val="14"/>
                <w:color w:val="auto"/>
              </w:rPr>
              <w:t>11,318,983</w:t>
            </w:r>
          </w:p>
        </w:tc>
        <w:tc>
          <w:tcPr>
            <w:tcW w:w="200" w:type="dxa"/>
            <w:vAlign w:val="bottom"/>
            <w:vMerge w:val="continue"/>
          </w:tcPr>
          <w:p>
            <w:pPr>
              <w:spacing w:after="0"/>
              <w:rPr>
                <w:sz w:val="10"/>
                <w:szCs w:val="10"/>
                <w:color w:val="auto"/>
              </w:rPr>
            </w:pPr>
          </w:p>
        </w:tc>
        <w:tc>
          <w:tcPr>
            <w:tcW w:w="1080" w:type="dxa"/>
            <w:vAlign w:val="bottom"/>
            <w:gridSpan w:val="2"/>
          </w:tcPr>
          <w:p>
            <w:pPr>
              <w:jc w:val="right"/>
              <w:ind w:right="68"/>
              <w:spacing w:after="0" w:line="123" w:lineRule="exact"/>
              <w:rPr>
                <w:sz w:val="20"/>
                <w:szCs w:val="20"/>
                <w:color w:val="auto"/>
              </w:rPr>
            </w:pPr>
            <w:r>
              <w:rPr>
                <w:rFonts w:ascii="Arial" w:cs="Arial" w:eastAsia="Arial" w:hAnsi="Arial"/>
                <w:sz w:val="14"/>
                <w:szCs w:val="14"/>
                <w:color w:val="auto"/>
              </w:rPr>
              <w:t>6.4%</w:t>
            </w:r>
          </w:p>
        </w:tc>
        <w:tc>
          <w:tcPr>
            <w:tcW w:w="960" w:type="dxa"/>
            <w:vAlign w:val="bottom"/>
          </w:tcPr>
          <w:p>
            <w:pPr>
              <w:jc w:val="right"/>
              <w:spacing w:after="0" w:line="123" w:lineRule="exact"/>
              <w:rPr>
                <w:sz w:val="20"/>
                <w:szCs w:val="20"/>
                <w:color w:val="auto"/>
              </w:rPr>
            </w:pPr>
            <w:r>
              <w:rPr>
                <w:rFonts w:ascii="Arial" w:cs="Arial" w:eastAsia="Arial" w:hAnsi="Arial"/>
                <w:sz w:val="14"/>
                <w:szCs w:val="14"/>
                <w:color w:val="auto"/>
              </w:rPr>
              <w:t>11,785,008</w:t>
            </w:r>
          </w:p>
        </w:tc>
        <w:tc>
          <w:tcPr>
            <w:tcW w:w="1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gridSpan w:val="2"/>
          </w:tcPr>
          <w:p>
            <w:pPr>
              <w:jc w:val="right"/>
              <w:ind w:right="48"/>
              <w:spacing w:after="0" w:line="123" w:lineRule="exact"/>
              <w:rPr>
                <w:sz w:val="20"/>
                <w:szCs w:val="20"/>
                <w:color w:val="auto"/>
              </w:rPr>
            </w:pPr>
            <w:r>
              <w:rPr>
                <w:rFonts w:ascii="Arial" w:cs="Arial" w:eastAsia="Arial" w:hAnsi="Arial"/>
                <w:sz w:val="14"/>
                <w:szCs w:val="14"/>
                <w:color w:val="auto"/>
              </w:rPr>
              <w:t>6.1%</w:t>
            </w:r>
          </w:p>
        </w:tc>
        <w:tc>
          <w:tcPr>
            <w:tcW w:w="1060" w:type="dxa"/>
            <w:vAlign w:val="bottom"/>
            <w:gridSpan w:val="2"/>
          </w:tcPr>
          <w:p>
            <w:pPr>
              <w:jc w:val="right"/>
              <w:ind w:right="48"/>
              <w:spacing w:after="0" w:line="123" w:lineRule="exact"/>
              <w:rPr>
                <w:sz w:val="20"/>
                <w:szCs w:val="20"/>
                <w:color w:val="auto"/>
              </w:rPr>
            </w:pPr>
            <w:r>
              <w:rPr>
                <w:rFonts w:ascii="Arial" w:cs="Arial" w:eastAsia="Arial" w:hAnsi="Arial"/>
                <w:sz w:val="14"/>
                <w:szCs w:val="14"/>
                <w:color w:val="auto"/>
              </w:rPr>
              <w:t>4.1%</w:t>
            </w:r>
          </w:p>
        </w:tc>
        <w:tc>
          <w:tcPr>
            <w:tcW w:w="52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Direct debit</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667,155</w:t>
            </w:r>
          </w:p>
        </w:tc>
        <w:tc>
          <w:tcPr>
            <w:tcW w:w="10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0.5%</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717,284</w:t>
            </w:r>
          </w:p>
        </w:tc>
        <w:tc>
          <w:tcPr>
            <w:tcW w:w="10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0.4%</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718,412</w:t>
            </w:r>
          </w:p>
        </w:tc>
        <w:tc>
          <w:tcPr>
            <w:tcW w:w="500" w:type="dxa"/>
            <w:vAlign w:val="bottom"/>
          </w:tcPr>
          <w:p>
            <w:pPr>
              <w:spacing w:after="0"/>
              <w:rPr>
                <w:sz w:val="12"/>
                <w:szCs w:val="12"/>
                <w:color w:val="auto"/>
              </w:rPr>
            </w:pPr>
          </w:p>
        </w:tc>
        <w:tc>
          <w:tcPr>
            <w:tcW w:w="5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0.4%</w:t>
            </w:r>
          </w:p>
        </w:tc>
        <w:tc>
          <w:tcPr>
            <w:tcW w:w="10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0.2%</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Points of sale P.O.S.</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14,035,053</w:t>
            </w:r>
          </w:p>
        </w:tc>
        <w:tc>
          <w:tcPr>
            <w:tcW w:w="10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9.8%</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17,205,460</w:t>
            </w:r>
          </w:p>
        </w:tc>
        <w:tc>
          <w:tcPr>
            <w:tcW w:w="10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9.7%</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16,788,165</w:t>
            </w:r>
          </w:p>
        </w:tc>
        <w:tc>
          <w:tcPr>
            <w:tcW w:w="500" w:type="dxa"/>
            <w:vAlign w:val="bottom"/>
          </w:tcPr>
          <w:p>
            <w:pPr>
              <w:spacing w:after="0"/>
              <w:rPr>
                <w:sz w:val="12"/>
                <w:szCs w:val="12"/>
                <w:color w:val="auto"/>
              </w:rPr>
            </w:pPr>
          </w:p>
        </w:tc>
        <w:tc>
          <w:tcPr>
            <w:tcW w:w="5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8.7%</w:t>
            </w:r>
          </w:p>
        </w:tc>
        <w:tc>
          <w:tcPr>
            <w:tcW w:w="10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-2.4%</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81"/>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2"/>
          </w:tcPr>
          <w:p>
            <w:pPr>
              <w:spacing w:after="0"/>
              <w:rPr>
                <w:sz w:val="20"/>
                <w:szCs w:val="20"/>
                <w:color w:val="auto"/>
              </w:rPr>
            </w:pPr>
            <w:r>
              <w:rPr>
                <w:rFonts w:ascii="Arial" w:cs="Arial" w:eastAsia="Arial" w:hAnsi="Arial"/>
                <w:sz w:val="14"/>
                <w:szCs w:val="14"/>
                <w:color w:val="auto"/>
              </w:rPr>
              <w:t>Other ATMs network</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206,892</w:t>
            </w:r>
          </w:p>
        </w:tc>
        <w:tc>
          <w:tcPr>
            <w:tcW w:w="1060" w:type="dxa"/>
            <w:vAlign w:val="bottom"/>
            <w:gridSpan w:val="2"/>
          </w:tcPr>
          <w:p>
            <w:pPr>
              <w:jc w:val="right"/>
              <w:ind w:right="48"/>
              <w:spacing w:after="0"/>
              <w:rPr>
                <w:sz w:val="20"/>
                <w:szCs w:val="20"/>
                <w:color w:val="auto"/>
              </w:rPr>
            </w:pPr>
            <w:r>
              <w:rPr>
                <w:rFonts w:ascii="Arial" w:cs="Arial" w:eastAsia="Arial" w:hAnsi="Arial"/>
                <w:sz w:val="14"/>
                <w:szCs w:val="14"/>
                <w:color w:val="auto"/>
              </w:rPr>
              <w:t>0.1%</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212,155</w:t>
            </w:r>
          </w:p>
        </w:tc>
        <w:tc>
          <w:tcPr>
            <w:tcW w:w="1080" w:type="dxa"/>
            <w:vAlign w:val="bottom"/>
            <w:gridSpan w:val="2"/>
          </w:tcPr>
          <w:p>
            <w:pPr>
              <w:jc w:val="right"/>
              <w:ind w:right="68"/>
              <w:spacing w:after="0"/>
              <w:rPr>
                <w:sz w:val="20"/>
                <w:szCs w:val="20"/>
                <w:color w:val="auto"/>
              </w:rPr>
            </w:pPr>
            <w:r>
              <w:rPr>
                <w:rFonts w:ascii="Arial" w:cs="Arial" w:eastAsia="Arial" w:hAnsi="Arial"/>
                <w:sz w:val="14"/>
                <w:szCs w:val="14"/>
                <w:color w:val="auto"/>
              </w:rPr>
              <w:t>0.1%</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223,279</w:t>
            </w:r>
          </w:p>
        </w:tc>
        <w:tc>
          <w:tcPr>
            <w:tcW w:w="500" w:type="dxa"/>
            <w:vAlign w:val="bottom"/>
          </w:tcPr>
          <w:p>
            <w:pPr>
              <w:spacing w:after="0"/>
              <w:rPr>
                <w:sz w:val="15"/>
                <w:szCs w:val="15"/>
                <w:color w:val="auto"/>
              </w:rPr>
            </w:pPr>
          </w:p>
        </w:tc>
        <w:tc>
          <w:tcPr>
            <w:tcW w:w="580" w:type="dxa"/>
            <w:vAlign w:val="bottom"/>
            <w:gridSpan w:val="2"/>
          </w:tcPr>
          <w:p>
            <w:pPr>
              <w:jc w:val="right"/>
              <w:ind w:right="48"/>
              <w:spacing w:after="0"/>
              <w:rPr>
                <w:sz w:val="20"/>
                <w:szCs w:val="20"/>
                <w:color w:val="auto"/>
              </w:rPr>
            </w:pPr>
            <w:r>
              <w:rPr>
                <w:rFonts w:ascii="Arial" w:cs="Arial" w:eastAsia="Arial" w:hAnsi="Arial"/>
                <w:sz w:val="14"/>
                <w:szCs w:val="14"/>
                <w:color w:val="auto"/>
              </w:rPr>
              <w:t>0.1%</w:t>
            </w:r>
          </w:p>
        </w:tc>
        <w:tc>
          <w:tcPr>
            <w:tcW w:w="1060" w:type="dxa"/>
            <w:vAlign w:val="bottom"/>
            <w:gridSpan w:val="2"/>
          </w:tcPr>
          <w:p>
            <w:pPr>
              <w:jc w:val="right"/>
              <w:ind w:right="48"/>
              <w:spacing w:after="0"/>
              <w:rPr>
                <w:sz w:val="20"/>
                <w:szCs w:val="20"/>
                <w:color w:val="auto"/>
              </w:rPr>
            </w:pPr>
            <w:r>
              <w:rPr>
                <w:rFonts w:ascii="Arial" w:cs="Arial" w:eastAsia="Arial" w:hAnsi="Arial"/>
                <w:sz w:val="14"/>
                <w:szCs w:val="14"/>
                <w:color w:val="auto"/>
              </w:rPr>
              <w:t>5.2%</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2"/>
        </w:trPr>
        <w:tc>
          <w:tcPr>
            <w:tcW w:w="9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1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transactions</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142,544,197</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177,456,012</w:t>
            </w:r>
          </w:p>
        </w:tc>
        <w:tc>
          <w:tcPr>
            <w:tcW w:w="2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192,084,435</w:t>
            </w:r>
          </w:p>
        </w:tc>
        <w:tc>
          <w:tcPr>
            <w:tcW w:w="1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100.0</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w:t>
            </w:r>
          </w:p>
        </w:tc>
        <w:tc>
          <w:tcPr>
            <w:tcW w:w="24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34.8</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Figures include monetary and non-monetary transactions.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line with the increase in points of contact, the monthly average of transactions increased +8.2% QoQ and +34.8% YoY. It is important to note that in 2Q19, the largest increase in the volume of transactions was associated with Mobile Banking (+18.3% QoQ), which has become a pillar of our strategy to steer clients to digital channels. While, the largest decrease in transaction volume was posted by Points of Sale P.O.S. (- 2.4% QoQ)</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YoY analysis, which excludes the seasonal effect, an increase in the monthly average of transactions is evident. This was mainly attributable to an increase in the volumes registered by the following channels:</w:t>
      </w:r>
    </w:p>
    <w:p>
      <w:pPr>
        <w:spacing w:after="0" w:line="170" w:lineRule="exact"/>
        <w:rPr>
          <w:sz w:val="20"/>
          <w:szCs w:val="20"/>
          <w:color w:val="auto"/>
        </w:rPr>
      </w:pPr>
    </w:p>
    <w:p>
      <w:pPr>
        <w:jc w:val="both"/>
        <w:ind w:left="980" w:hanging="648"/>
        <w:spacing w:after="0" w:line="264"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Mobile Banking (+93.2% YoY), which continues to grow its share of total transactions by rolling-out improvements in the operating stability of its mobile application “Banca Móvil BCP.” Campaigns remain underway to encourage the use of digital channels through “Paolo no va al banco,” which is transmitted through the social networks and publicized at the branches.</w:t>
      </w:r>
    </w:p>
    <w:p>
      <w:pPr>
        <w:spacing w:after="0" w:line="181"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Agentes BCP (+29 % YoY), which was primarily attributable to transactional growth through withdrawals and deposits. There was also growth in national drafts, emissions, discharges and consultations through this channel. This was associated with an increase in the number of accounts opened and in the number of Agentes BCP (+484 YoY).</w:t>
      </w:r>
    </w:p>
    <w:p>
      <w:pPr>
        <w:spacing w:after="0" w:line="181" w:lineRule="exact"/>
        <w:rPr>
          <w:rFonts w:ascii="Arial" w:cs="Arial" w:eastAsia="Arial" w:hAnsi="Arial"/>
          <w:sz w:val="18"/>
          <w:szCs w:val="18"/>
          <w:color w:val="auto"/>
        </w:rPr>
      </w:pPr>
    </w:p>
    <w:p>
      <w:pPr>
        <w:ind w:left="980" w:hanging="648"/>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Points of Sale P.O.S (+19.6% YoY), where the increase was primarily attributable to growth in the penetration rate of VISANET.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aforementioned offset the decrease in the number of transactions through Banca por internet Vía BCP (- 13.0%), which continues to report a decline in its share of total transactions (8.4% 2Q19 vs 13.0% 2Q18). In addition, traditional channels transactions continued to fall YoY: (i) Tellers (-3.6%) and (ii) Telephone Banking (- 1.0%) given that Mobile Banking offers a full range of functions and branches continue to implement digital platforms (kioskos), which allow clients to make inquiries, open accounts and pick up debit cards.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Growth in transactions in the region is expected to take place primarily through digital channels. As such, the increase in transactions volumes will materialize mainly through Mobile Banking and Internet Banking, which is in line with our objective to establish an efficient and profitable network of digital service channels. It is important to note Yape, which facilitates interbank transfers, registered a total of one million users in 2Q19.</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Arial" w:cs="Arial" w:eastAsia="Arial" w:hAnsi="Arial"/>
                <w:sz w:val="18"/>
                <w:szCs w:val="18"/>
                <w:b w:val="1"/>
                <w:bCs w:val="1"/>
                <w:color w:val="auto"/>
              </w:rPr>
              <w:t>9.1.4 Points of Contact – BCP Bolivia</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27"/>
        </w:trPr>
        <w:tc>
          <w:tcPr>
            <w:tcW w:w="3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As of</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5"/>
          </w:tcPr>
          <w:p>
            <w:pPr>
              <w:ind w:left="24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36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 18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Mar 19</w:t>
            </w:r>
          </w:p>
        </w:tc>
        <w:tc>
          <w:tcPr>
            <w:tcW w:w="9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 19</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QoQ</w:t>
            </w:r>
          </w:p>
        </w:tc>
        <w:tc>
          <w:tcPr>
            <w:tcW w:w="760" w:type="dxa"/>
            <w:vAlign w:val="bottom"/>
            <w:gridSpan w:val="3"/>
          </w:tcPr>
          <w:p>
            <w:pPr>
              <w:ind w:left="180"/>
              <w:spacing w:after="0"/>
              <w:rPr>
                <w:sz w:val="20"/>
                <w:szCs w:val="20"/>
                <w:color w:val="auto"/>
              </w:rPr>
            </w:pPr>
            <w:r>
              <w:rPr>
                <w:rFonts w:ascii="Arial" w:cs="Arial" w:eastAsia="Arial" w:hAnsi="Arial"/>
                <w:sz w:val="18"/>
                <w:szCs w:val="18"/>
                <w:b w:val="1"/>
                <w:bCs w:val="1"/>
                <w:color w:val="auto"/>
              </w:rPr>
              <w:t>YoY</w:t>
            </w: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ATMs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299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Agentes BCP Bolivia</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40" w:type="dxa"/>
            <w:vAlign w:val="bottom"/>
            <w:shd w:val="clear" w:color="auto" w:fill="CCEEFF"/>
          </w:tcPr>
          <w:p>
            <w:pPr>
              <w:spacing w:after="0"/>
              <w:rPr>
                <w:sz w:val="19"/>
                <w:szCs w:val="19"/>
                <w:color w:val="auto"/>
              </w:rPr>
            </w:pPr>
          </w:p>
        </w:tc>
      </w:tr>
      <w:tr>
        <w:trPr>
          <w:trHeight w:val="210"/>
        </w:trPr>
        <w:tc>
          <w:tcPr>
            <w:tcW w:w="3680" w:type="dxa"/>
            <w:vAlign w:val="bottom"/>
          </w:tcPr>
          <w:p>
            <w:pPr>
              <w:spacing w:after="0"/>
              <w:rPr>
                <w:sz w:val="20"/>
                <w:szCs w:val="20"/>
                <w:color w:val="auto"/>
              </w:rPr>
            </w:pPr>
            <w:r>
              <w:rPr>
                <w:rFonts w:ascii="Arial" w:cs="Arial" w:eastAsia="Arial" w:hAnsi="Arial"/>
                <w:sz w:val="18"/>
                <w:szCs w:val="18"/>
                <w:b w:val="1"/>
                <w:bCs w:val="1"/>
                <w:color w:val="auto"/>
              </w:rPr>
              <w:t>Total Bolivia's Network</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744</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BCP Bolivia increased its points of contact (+26 QoQ) in 2Q19 by opening new Agentes BCP (+25 QoQ) after under-performing agents were eliminated in 1Q19. In 2019, BCP Bolivia’s strategy is to grow to 450 Agentes by year-end.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bank continued to grow its number of total points of contact YoY (+127), which was primarily due to an increase in the number of Agentes BCP.</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Arial" w:cs="Arial" w:eastAsia="Arial" w:hAnsi="Arial"/>
                <w:sz w:val="18"/>
                <w:szCs w:val="18"/>
                <w:b w:val="1"/>
                <w:bCs w:val="1"/>
                <w:color w:val="auto"/>
              </w:rPr>
              <w:t>9.2 Microfinance</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3680" w:type="dxa"/>
            <w:vAlign w:val="bottom"/>
          </w:tcPr>
          <w:p>
            <w:pPr>
              <w:spacing w:after="0"/>
              <w:rPr>
                <w:sz w:val="20"/>
                <w:szCs w:val="20"/>
                <w:color w:val="auto"/>
              </w:rPr>
            </w:pPr>
            <w:r>
              <w:rPr>
                <w:rFonts w:ascii="Arial" w:cs="Arial" w:eastAsia="Arial" w:hAnsi="Arial"/>
                <w:sz w:val="18"/>
                <w:szCs w:val="18"/>
                <w:b w:val="1"/>
                <w:bCs w:val="1"/>
                <w:color w:val="auto"/>
              </w:rPr>
              <w:t>9.2.1 Points of Contact – Mibanco</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7"/>
        </w:trPr>
        <w:tc>
          <w:tcPr>
            <w:tcW w:w="3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As of</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36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 18</w:t>
            </w:r>
          </w:p>
        </w:tc>
        <w:tc>
          <w:tcPr>
            <w:tcW w:w="16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 19</w:t>
            </w:r>
          </w:p>
        </w:tc>
        <w:tc>
          <w:tcPr>
            <w:tcW w:w="16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 19</w:t>
            </w:r>
          </w:p>
        </w:tc>
        <w:tc>
          <w:tcPr>
            <w:tcW w:w="16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QoQ</w:t>
            </w:r>
          </w:p>
        </w:tc>
        <w:tc>
          <w:tcPr>
            <w:tcW w:w="14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YoY</w:t>
            </w:r>
          </w:p>
        </w:tc>
        <w:tc>
          <w:tcPr>
            <w:tcW w:w="60" w:type="dxa"/>
            <w:vAlign w:val="bottom"/>
            <w:tcBorders>
              <w:bottom w:val="single" w:sz="8" w:color="CCEEFF"/>
            </w:tcBorders>
          </w:tcPr>
          <w:p>
            <w:pPr>
              <w:spacing w:after="0"/>
              <w:rPr>
                <w:sz w:val="20"/>
                <w:szCs w:val="20"/>
                <w:color w:val="auto"/>
              </w:rPr>
            </w:pPr>
          </w:p>
        </w:tc>
      </w:tr>
      <w:tr>
        <w:trPr>
          <w:trHeight w:val="250"/>
        </w:trPr>
        <w:tc>
          <w:tcPr>
            <w:tcW w:w="3680" w:type="dxa"/>
            <w:vAlign w:val="bottom"/>
            <w:shd w:val="clear" w:color="auto" w:fill="CCEEFF"/>
          </w:tcPr>
          <w:p>
            <w:pPr>
              <w:spacing w:after="0" w:line="251" w:lineRule="exact"/>
              <w:rPr>
                <w:sz w:val="20"/>
                <w:szCs w:val="20"/>
                <w:color w:val="auto"/>
              </w:rPr>
            </w:pPr>
            <w:r>
              <w:rPr>
                <w:rFonts w:ascii="Arial" w:cs="Arial" w:eastAsia="Arial" w:hAnsi="Arial"/>
                <w:sz w:val="18"/>
                <w:szCs w:val="18"/>
                <w:b w:val="1"/>
                <w:bCs w:val="1"/>
                <w:color w:val="auto"/>
              </w:rPr>
              <w:t xml:space="preserve">Total Mibanco's Network </w:t>
            </w:r>
            <w:r>
              <w:rPr>
                <w:rFonts w:ascii="Arial" w:cs="Arial" w:eastAsia="Arial" w:hAnsi="Arial"/>
                <w:sz w:val="29"/>
                <w:szCs w:val="29"/>
                <w:color w:val="auto"/>
                <w:vertAlign w:val="superscript"/>
              </w:rPr>
              <w:t>(1)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w:t>
            </w:r>
          </w:p>
        </w:tc>
      </w:tr>
      <w:tr>
        <w:trPr>
          <w:trHeight w:val="20"/>
        </w:trPr>
        <w:tc>
          <w:tcPr>
            <w:tcW w:w="3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Mibanco does not have Agentes or ATMs because it uses the BCP network. Mibanco branches include Banco de la Nacion branches, which in Jun 18, Mar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19 y Jun 19 were 38, 35 y 35 respectively.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number of points of contact at Mibanco remained stable QoQ. The YoY analysis registered a decline of -3 points of contact, which was associated with branch closings at the Banco de Nacion. It is important to note that Mibanco has an agreement with the Banco de la Nacion that allows it to use the latter’s branches throughout the country to reduce operating costs. At the end of 2Q19, these branches represented 11% (35 offices) of Mibanco’s total of 324 branches.</w:t>
      </w:r>
    </w:p>
    <w:p>
      <w:pPr>
        <w:spacing w:after="0" w:line="200" w:lineRule="exact"/>
        <w:rPr>
          <w:sz w:val="20"/>
          <w:szCs w:val="20"/>
          <w:color w:val="auto"/>
        </w:rPr>
      </w:pPr>
    </w:p>
    <w:p>
      <w:pPr>
        <w:spacing w:after="0" w:line="20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10. Economic Perspectives</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10.1. Peru Economic Forecasts</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46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Peru</w:t>
            </w: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30"/>
                <w:szCs w:val="30"/>
                <w:b w:val="1"/>
                <w:bCs w:val="1"/>
                <w:color w:val="auto"/>
                <w:vertAlign w:val="superscript"/>
              </w:rPr>
              <w:t>(4)</w:t>
            </w:r>
          </w:p>
        </w:tc>
        <w:tc>
          <w:tcPr>
            <w:tcW w:w="1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 xml:space="preserve">GDP (US$ Millions) </w:t>
            </w:r>
            <w:r>
              <w:rPr>
                <w:rFonts w:ascii="Arial" w:cs="Arial" w:eastAsia="Arial" w:hAnsi="Arial"/>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191,323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194,653</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214,397</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225,364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225,500</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Real GDP (% change)</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57"/>
        </w:trPr>
        <w:tc>
          <w:tcPr>
            <w:tcW w:w="45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GDP per capita (US$) </w:t>
            </w:r>
            <w:r>
              <w:rPr>
                <w:rFonts w:ascii="Arial" w:cs="Arial" w:eastAsia="Arial" w:hAnsi="Arial"/>
                <w:sz w:val="29"/>
                <w:szCs w:val="29"/>
                <w:color w:val="auto"/>
                <w:vertAlign w:val="superscript"/>
              </w:rPr>
              <w:t>(1)</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6,132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6,742</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6,999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Domestic demand (% change)</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consumption (% change)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Private Consumption (% change)</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fixed investment (as % GDP)</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Private Investment (% change)</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Public Investment (% change)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Public Debt (as % GDP)</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23.3</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23.9</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24.9</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25.7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0"/>
        </w:trPr>
        <w:tc>
          <w:tcPr>
            <w:tcW w:w="456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System loan growth (% change)</w:t>
            </w:r>
            <w:r>
              <w:rPr>
                <w:rFonts w:ascii="Arial" w:cs="Arial" w:eastAsia="Arial" w:hAnsi="Arial"/>
                <w:sz w:val="30"/>
                <w:szCs w:val="30"/>
                <w:color w:val="auto"/>
                <w:vertAlign w:val="superscript"/>
              </w:rPr>
              <w:t>(2)</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line="269" w:lineRule="exact"/>
              <w:rPr>
                <w:sz w:val="20"/>
                <w:szCs w:val="20"/>
                <w:color w:val="auto"/>
              </w:rPr>
            </w:pPr>
            <w:r>
              <w:rPr>
                <w:rFonts w:ascii="Arial" w:cs="Arial" w:eastAsia="Arial" w:hAnsi="Arial"/>
                <w:sz w:val="18"/>
                <w:szCs w:val="18"/>
                <w:color w:val="auto"/>
              </w:rPr>
              <w:t>Inflation</w:t>
            </w:r>
            <w:r>
              <w:rPr>
                <w:rFonts w:ascii="Arial" w:cs="Arial" w:eastAsia="Arial" w:hAnsi="Arial"/>
                <w:sz w:val="30"/>
                <w:szCs w:val="30"/>
                <w:color w:val="auto"/>
                <w:vertAlign w:val="superscript"/>
              </w:rPr>
              <w:t>(3)</w:t>
            </w: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gridSpan w:val="2"/>
            <w:vMerge w:val="continue"/>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Reference Rate</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gridSpan w:val="2"/>
          </w:tcPr>
          <w:p>
            <w:pPr>
              <w:spacing w:after="0"/>
              <w:rPr>
                <w:sz w:val="20"/>
                <w:szCs w:val="20"/>
                <w:color w:val="auto"/>
              </w:rPr>
            </w:pPr>
            <w:r>
              <w:rPr>
                <w:rFonts w:ascii="Arial" w:cs="Arial" w:eastAsia="Arial" w:hAnsi="Arial"/>
                <w:sz w:val="18"/>
                <w:szCs w:val="18"/>
                <w:color w:val="auto"/>
              </w:rPr>
              <w:t>Exchange rate, end of period</w:t>
            </w:r>
          </w:p>
        </w:tc>
        <w:tc>
          <w:tcPr>
            <w:tcW w:w="900" w:type="dxa"/>
            <w:vAlign w:val="bottom"/>
          </w:tcPr>
          <w:p>
            <w:pPr>
              <w:jc w:val="right"/>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3.35-3.40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 change)</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Fiscal balance (% GDP)</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balance (US$ Millions)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Exports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34,414</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37,082</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45,275</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48,942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Imports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37,331</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35,128</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38,704</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41,893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account balance (US$ Millions)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-2,537</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-3,349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international reserves (US$ Millions)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61,485</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61,686</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63,621</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60,121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66,200</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months of imports)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Estimates by BCP Economic Research as of July 2019; INEI, BCRP, and SBS.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1) Figures differ from previously reported, please consider the data presented on this report.</w:t>
      </w:r>
    </w:p>
    <w:p>
      <w:pPr>
        <w:spacing w:after="0" w:line="9" w:lineRule="exact"/>
        <w:rPr>
          <w:sz w:val="20"/>
          <w:szCs w:val="20"/>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Financial System, Current Exchange Rate.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Inflation target: 1% - 3%.</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Estimates by BCP Economic Research as of July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Main Economic Variables</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 xml:space="preserve">Economic Activity – GDP </w:t>
      </w:r>
      <w:r>
        <w:rPr>
          <w:rFonts w:ascii="Arial" w:cs="Arial" w:eastAsia="Arial" w:hAnsi="Arial"/>
          <w:sz w:val="18"/>
          <w:szCs w:val="18"/>
          <w:color w:val="auto"/>
        </w:rPr>
        <w:t>(% change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154940</wp:posOffset>
            </wp:positionV>
            <wp:extent cx="4022090" cy="15265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2209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Source: INEI</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both"/>
        <w:spacing w:after="0" w:line="276" w:lineRule="auto"/>
        <w:rPr>
          <w:sz w:val="20"/>
          <w:szCs w:val="20"/>
          <w:color w:val="auto"/>
        </w:rPr>
      </w:pPr>
      <w:r>
        <w:rPr>
          <w:rFonts w:ascii="Arial" w:cs="Arial" w:eastAsia="Arial" w:hAnsi="Arial"/>
          <w:sz w:val="17"/>
          <w:szCs w:val="17"/>
          <w:color w:val="auto"/>
        </w:rPr>
        <w:t>In 2Q19 our estimates suggest GDP grew approximately 1.3% YoY (2Q18: 5.5%), the lowest growth reported in nearly 5 years. Lackluster performance this quarter is attributable to a considerable contraction in the primary sectors (-3.6%): (i) the quota for the first fishing season this year was 2.1 million metric tons (MMT) this year, compared to 3.3 MMT last year (33% lower), (ii) the slight decline in mining production, despite copper production remained continued to evolved positively, and (iii) a contraction in fuels sector. These factors also drove a contraction in primary resource manufacturing in the quarter. In contrast, the non-primary sectors grew approximately 3% YoY, slightly below last quarter (+3.3%).</w:t>
      </w:r>
    </w:p>
    <w:p>
      <w:pPr>
        <w:spacing w:after="0" w:line="16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Inflation and Monetary Policy rate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Source: INEI, BCRP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Headline inflation closed in 2Q19 at 2.3% YoY (1Q19: 2.3%) and remained within the target range of the Central Bank (1%-3%) for the eighth consecutive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month. Core inflation also stood at 2.3% YoY (1Q19: 2.6%), which represents a 6-month low.</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2Q19, the BCRP held its reference rate at 2.75%. The reference rate remains at 2.75% since 1Q18. The Board decided to maintain an expansive monetary policy stance as long as expectations for inflation remain anchored in a context in which the economy continues to grow below its potential. However, the Inflation Report of June 2019 and the last press release of the monetary policy meeting in July 2019 indicate that the entity maintains a bias toward cutting the reference rate in coming months.</w:t>
      </w:r>
    </w:p>
    <w:p>
      <w:pPr>
        <w:spacing w:after="0" w:line="18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 xml:space="preserve">Fiscal Result and Current Account Balance </w:t>
      </w:r>
      <w:r>
        <w:rPr>
          <w:rFonts w:ascii="Arial" w:cs="Arial" w:eastAsia="Arial" w:hAnsi="Arial"/>
          <w:sz w:val="18"/>
          <w:szCs w:val="18"/>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154940</wp:posOffset>
            </wp:positionV>
            <wp:extent cx="3576320" cy="17494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76320"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Source: BCRP</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*BCP estimates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2Q19, the annualized fiscal deficit represented 1.5% of GDP (1Q19: 1.7%). This print has remained the same since the end of 2015. The decline of the fiscal deficit is attributable to an increase in fiscal revenues (from 19.6% of GDP in1Q19 to 19.8% of GDP in 2Q19) in a scenario in which non-financial general government spending represented 20.1% of GDP (1Q19: 20.0%). In 2Q19, public investment increased 8.0% YoY (1Q19: -13.9%), which represents a drop of 0.9% YoY in 1H19.</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spacing w:after="0" w:line="257" w:lineRule="auto"/>
        <w:rPr>
          <w:sz w:val="20"/>
          <w:szCs w:val="20"/>
          <w:color w:val="auto"/>
        </w:rPr>
      </w:pPr>
      <w:r>
        <w:rPr>
          <w:rFonts w:ascii="Arial" w:cs="Arial" w:eastAsia="Arial" w:hAnsi="Arial"/>
          <w:sz w:val="18"/>
          <w:szCs w:val="18"/>
          <w:color w:val="auto"/>
        </w:rPr>
        <w:t>Between January and May 2019, the trade balance adds up a surplus of USD 1,501 million, which is almost 50% below the same period of last year. Hence, exports decrease 7.5% YoY in the same period due to lower traditional exports (-10.5%, copper: -11.2%), while non-traditional exports advance only 0.4% YoY (agro-exports: +2.8%). It is important to remark that the decline of the total exports is explained by mostly by a price effect. In contrast, imports went down 1.0% YoY in the same period, although capital goods imports grew by 3.4% YoY. Lastly, in May-19, the terms of trade fell 4.3% YoY, and adds up 10 consecutive months of contraction.</w:t>
      </w:r>
    </w:p>
    <w:p>
      <w:pPr>
        <w:spacing w:after="0" w:line="18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 xml:space="preserve">Exchange rate </w:t>
      </w:r>
      <w:r>
        <w:rPr>
          <w:rFonts w:ascii="Arial" w:cs="Arial" w:eastAsia="Arial" w:hAnsi="Arial"/>
          <w:sz w:val="18"/>
          <w:szCs w:val="18"/>
          <w:color w:val="auto"/>
        </w:rPr>
        <w:t>(S/ per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154940</wp:posOffset>
            </wp:positionV>
            <wp:extent cx="3181350" cy="19723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81350"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960"/>
        <w:spacing w:after="0"/>
        <w:rPr>
          <w:sz w:val="20"/>
          <w:szCs w:val="20"/>
          <w:color w:val="auto"/>
        </w:rPr>
      </w:pPr>
      <w:r>
        <w:rPr>
          <w:rFonts w:ascii="Arial" w:cs="Arial" w:eastAsia="Arial" w:hAnsi="Arial"/>
          <w:sz w:val="18"/>
          <w:szCs w:val="18"/>
          <w:i w:val="1"/>
          <w:iCs w:val="1"/>
          <w:color w:val="auto"/>
        </w:rPr>
        <w:t>Source: SBS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2Q19 the exchange rate closed at USDPEN 3.287; this reflects a 0.9% appreciation in the value of the Peruvian Sol against the US Dollar with regard to the end of 1Q19 (USDPEN 3.318). In the second quarter of the year, periods of high volatility were observed due to uncertainty in the international environment amid trade disputes between the United States and the rest of the world. Nevertheless, toward the end of the quarter, financial markets and emerging assets received a positive impulse from expectations that the Federal Reserved would lower its monetary policy rate.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2Q19, the vast majority of the region’s currencies appreciated, the Brazilian Real (1.8%), Mexican Peso (1.1%), Peruvian Sol (0.9%) and Chilean Peso (0.1%). With the exception of the Colombian Peso, which depreciated 0.7%. In 2Q19, the BCRP engaged in two FX interventions: (i) through the issuance of FX Swaps (sell) toward the end of May, when the exchange rate escalated to USDPEN 3.38, and (ii) by buying USD 20 million in mid-June (when the exchange rate situated at USDPEN 3.285) after trade relationships between USA and the rest of the world eased and the Federal Reserve gave signs that may ease its monetary policy stance.</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 Forward-looking statements are neither historical facts nor assurances of future performance. Instead, they are based only on the Company’s current beliefs, expectations and assumptions regarding the future of our business, future plans and strategies, projections, anticipated events and trends, the economy and other future conditions.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Forward-looking statements can be identified by words such as: "anticipate”, "intend", "plan", "goal”, "seek”, "believe”, "project", "estimate”, "expect", "strategy”, "future”, "likely”, "may”, "should”, "will" and similar references to future periods. Examples of forward-looking statements include, among others, statements or estimates we make regarding guidance relating to Return on Average Equity, Sustainable Return on Average Equity, Cost of Risk, Loan growth, Efficiency ratio, BCP Stand-alone Common Equity Tier 1 Capital ratio and Net Interest Margin, current or future volatility in the credit markets and future market conditions, expected macroeconomic conditions, our belief that we have sufficient liquidity to fund our business operations during the next year, expectations of the effect on our financial condition of claims, litigation, environmental costs, contingent liabilities and governmental and regulatory investigations and proceedings, strategy for customer retention, growth, product development, market position, financial results and reserves and strategy for risk management.</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 Our actual results and financial condition may differ materially from those indicated in the forward-looking statements. Therefore, you should not rely on any of these forward-looking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forward-looking statement made in this material is based only on information currently available to the Company and speaks only as of the date on which it is made. 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ind w:left="520" w:hanging="512"/>
        <w:spacing w:after="0"/>
        <w:tabs>
          <w:tab w:leader="none" w:pos="52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Appendix</w:t>
      </w:r>
    </w:p>
    <w:p>
      <w:pPr>
        <w:spacing w:after="0" w:line="225" w:lineRule="exact"/>
        <w:rPr>
          <w:rFonts w:ascii="Arial" w:cs="Arial" w:eastAsia="Arial" w:hAnsi="Arial"/>
          <w:sz w:val="18"/>
          <w:szCs w:val="18"/>
          <w:b w:val="1"/>
          <w:bCs w:val="1"/>
          <w:color w:val="auto"/>
        </w:rPr>
      </w:pPr>
    </w:p>
    <w:p>
      <w:pPr>
        <w:ind w:left="400" w:hanging="392"/>
        <w:spacing w:after="0"/>
        <w:tabs>
          <w:tab w:leader="none" w:pos="400"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Credicorp</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As of</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 18</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 19</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 19</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Cash and due from banks </w:t>
            </w:r>
            <w:r>
              <w:rPr>
                <w:rFonts w:ascii="Arial" w:cs="Arial" w:eastAsia="Arial" w:hAnsi="Arial"/>
                <w:sz w:val="29"/>
                <w:szCs w:val="29"/>
                <w:b w:val="1"/>
                <w:bCs w:val="1"/>
                <w:color w:val="auto"/>
                <w:vertAlign w:val="superscript"/>
              </w:rPr>
              <w:t>(1)</w:t>
            </w: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6,553,569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7,015,680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6,350,168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14,792,348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15,104,170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17,488,649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cash and due from banks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21,345,917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22,119,850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23,838,817</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7"/>
              </w:rPr>
              <w:t>Cash collateral, reverse repurchase agreements and securities borrowing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4,252,568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4,026,447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4,445,749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Fair value through profit or loss investments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4,590,059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4,136,148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4,024,490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Fair value through other comprehensive income investments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23,291,981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27,184,560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26,800,577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Amortized cost investments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4,156,770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3,639,821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3,589,360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102,766,633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108,350,384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109,381,123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Current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99,653,619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105,197,197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106,095,844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Internal overdue loans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3,113,014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3,153,187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3,285,279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Less - allowance for loan losses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(4,819,704)</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(4,862,801)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(4,878,150)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Loans, net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97,946,929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103,487,583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104,502,973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7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Financial assets designated at fair value through profit or loss </w:t>
            </w:r>
            <w:r>
              <w:rPr>
                <w:rFonts w:ascii="Arial" w:cs="Arial" w:eastAsia="Arial" w:hAnsi="Arial"/>
                <w:sz w:val="29"/>
                <w:szCs w:val="29"/>
                <w:color w:val="auto"/>
                <w:vertAlign w:val="superscript"/>
              </w:rPr>
              <w:t>(2)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550,438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576,618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588,074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Accounts receivable from reinsurers and coinsurers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706,419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805,009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862,521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Premiums and other policyholder receivables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709,294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845,702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884,572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tcPr>
          <w:p>
            <w:pPr>
              <w:spacing w:after="0" w:line="256" w:lineRule="exact"/>
              <w:rPr>
                <w:sz w:val="20"/>
                <w:szCs w:val="20"/>
                <w:color w:val="auto"/>
              </w:rPr>
            </w:pPr>
            <w:r>
              <w:rPr>
                <w:rFonts w:ascii="Arial" w:cs="Arial" w:eastAsia="Arial" w:hAnsi="Arial"/>
                <w:sz w:val="18"/>
                <w:szCs w:val="18"/>
                <w:color w:val="auto"/>
              </w:rPr>
              <w:t xml:space="preserve">Property, plant and equipment, net </w:t>
            </w:r>
            <w:r>
              <w:rPr>
                <w:rFonts w:ascii="Arial" w:cs="Arial" w:eastAsia="Arial" w:hAnsi="Arial"/>
                <w:sz w:val="29"/>
                <w:szCs w:val="29"/>
                <w:color w:val="auto"/>
                <w:vertAlign w:val="superscript"/>
              </w:rPr>
              <w:t>(3)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1,449,356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2,953,039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2,918,795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Due from customers on acceptances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801,248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611,142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534,637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tcPr>
          <w:p>
            <w:pPr>
              <w:spacing w:after="0" w:line="256" w:lineRule="exact"/>
              <w:rPr>
                <w:sz w:val="20"/>
                <w:szCs w:val="20"/>
                <w:color w:val="auto"/>
              </w:rPr>
            </w:pPr>
            <w:r>
              <w:rPr>
                <w:rFonts w:ascii="Arial" w:cs="Arial" w:eastAsia="Arial" w:hAnsi="Arial"/>
                <w:sz w:val="18"/>
                <w:szCs w:val="18"/>
                <w:color w:val="auto"/>
              </w:rPr>
              <w:t xml:space="preserve">Investments in associates </w:t>
            </w:r>
            <w:r>
              <w:rPr>
                <w:rFonts w:ascii="Arial" w:cs="Arial" w:eastAsia="Arial" w:hAnsi="Arial"/>
                <w:sz w:val="29"/>
                <w:szCs w:val="29"/>
                <w:color w:val="auto"/>
                <w:vertAlign w:val="superscript"/>
              </w:rPr>
              <w:t>(4)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560,407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574,283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576,333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and goodwill, net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1,966,475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2,050,664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2,061,611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tcPr>
          <w:p>
            <w:pPr>
              <w:spacing w:after="0" w:line="256"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9"/>
                <w:szCs w:val="29"/>
                <w:color w:val="auto"/>
                <w:vertAlign w:val="superscript"/>
              </w:rPr>
              <w:t>(2) (5)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4,794,915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5,218,166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5,536,544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340"/>
              <w:spacing w:after="0"/>
              <w:rPr>
                <w:sz w:val="20"/>
                <w:szCs w:val="20"/>
                <w:color w:val="auto"/>
              </w:rPr>
            </w:pPr>
            <w:r>
              <w:rPr>
                <w:rFonts w:ascii="Arial" w:cs="Arial" w:eastAsia="Arial" w:hAnsi="Arial"/>
                <w:sz w:val="18"/>
                <w:szCs w:val="18"/>
                <w:b w:val="1"/>
                <w:bCs w:val="1"/>
                <w:color w:val="auto"/>
              </w:rPr>
              <w:t>Total Assets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167,122,776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178,229,032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181,165,053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Non-interest bearing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24,630,138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26,856,618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25,339,482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bearing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72,914,097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76,870,639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77,817,562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Total deposits and obligations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97,544,235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103,727,257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103,157,044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Payables from repurchase agreements and securities lending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9,194,678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8,806,221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10,448,517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BCRP instruments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4,652,218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4,984,192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6,304,186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Repurchase agreements with third parties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2,637,361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2,324,385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2,455,665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agreements with customers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1,905,099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1,497,644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1,688,666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8,057,222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7,219,120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9,222,278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Bonds and notes issued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15,283,893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15,472,882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15,058,760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Banker’s acceptances outstanding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801,248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611,142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534,637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Reserves for property and casualty claims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1,244,312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1,465,338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1,525,832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Reserve for unearned premiums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6,617,540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7,238,393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7,412,792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Accounts payable to reinsurers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227,246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280,663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302,079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Financial liabilities at fair value through profit or loss </w:t>
            </w:r>
            <w:r>
              <w:rPr>
                <w:rFonts w:ascii="Arial" w:cs="Arial" w:eastAsia="Arial" w:hAnsi="Arial"/>
                <w:sz w:val="29"/>
                <w:szCs w:val="29"/>
                <w:color w:val="auto"/>
                <w:vertAlign w:val="superscript"/>
              </w:rPr>
              <w:t>(6)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604,381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517,255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548,367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 liabilities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5,246,196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8,782,774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7,288,567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200"/>
              <w:spacing w:after="0"/>
              <w:rPr>
                <w:sz w:val="20"/>
                <w:szCs w:val="20"/>
                <w:color w:val="auto"/>
              </w:rPr>
            </w:pPr>
            <w:r>
              <w:rPr>
                <w:rFonts w:ascii="Arial" w:cs="Arial" w:eastAsia="Arial" w:hAnsi="Arial"/>
                <w:sz w:val="18"/>
                <w:szCs w:val="18"/>
                <w:b w:val="1"/>
                <w:bCs w:val="1"/>
                <w:color w:val="auto"/>
              </w:rPr>
              <w:t>Total Liabilities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144,820,951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154,121,045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155,498,873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0.9%</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Net equity</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21,889,218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23,692,091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25,221,894</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6.5%</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1,318,993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1,318,993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1,318,993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Treasury stock</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(208,754)</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(207,897)</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(207,839)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248,535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222,349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227,380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Reserves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17,555,308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19,408,876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19,423,324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and losses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816,708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1,128,884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1,541,235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Retained earnings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2,158,428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1,820,886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2,918,801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412,607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415,896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444,286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20" w:type="dxa"/>
            <w:vAlign w:val="bottom"/>
          </w:tcPr>
          <w:p>
            <w:pPr>
              <w:ind w:left="2160"/>
              <w:spacing w:after="0"/>
              <w:rPr>
                <w:sz w:val="20"/>
                <w:szCs w:val="20"/>
                <w:color w:val="auto"/>
              </w:rPr>
            </w:pPr>
            <w:r>
              <w:rPr>
                <w:rFonts w:ascii="Arial" w:cs="Arial" w:eastAsia="Arial" w:hAnsi="Arial"/>
                <w:sz w:val="18"/>
                <w:szCs w:val="18"/>
                <w:b w:val="1"/>
                <w:bCs w:val="1"/>
                <w:color w:val="auto"/>
              </w:rPr>
              <w:t>Total Net Equity</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22,301,825</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24,107,987</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25,666,180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6.5%</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167,122,776</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178,229,032</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181,165,053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Off-balance sheet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114,863,672</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121,965,125</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125,418,778</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performance bonds, stand-by and L/Cs.</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18,891,761</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18,784,417</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19,666,170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Undrawn credit lines, advised but not committed</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72,238,593</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76,521,908</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76,368,545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(notional) and others</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23,733,318</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26,658,800</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29,384,063</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4" w:lineRule="auto"/>
        <w:tabs>
          <w:tab w:leader="none" w:pos="268"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amounts differ from those previously reported due to the reclassification to the item "Cash collateral, reverse repurchase agreements and securities borrowing" mainly for the cash collateral in dollars delivered to the BCRP, previously presented in the item "Cash and due from banks".</w:t>
      </w:r>
    </w:p>
    <w:p>
      <w:pPr>
        <w:ind w:left="260" w:hanging="252"/>
        <w:spacing w:after="0"/>
        <w:tabs>
          <w:tab w:leader="none" w:pos="2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1Q19 this item was opened in the statement of financial position; previously presented under the item "Investments at fair value through profit or loss".</w:t>
      </w:r>
    </w:p>
    <w:p>
      <w:pPr>
        <w:spacing w:after="0" w:line="32" w:lineRule="exact"/>
        <w:rPr>
          <w:rFonts w:ascii="Arial" w:cs="Arial" w:eastAsia="Arial" w:hAnsi="Arial"/>
          <w:sz w:val="16"/>
          <w:szCs w:val="16"/>
          <w:color w:val="auto"/>
        </w:rPr>
      </w:pPr>
    </w:p>
    <w:p>
      <w:pPr>
        <w:ind w:right="20" w:firstLine="8"/>
        <w:spacing w:after="0" w:line="281" w:lineRule="auto"/>
        <w:tabs>
          <w:tab w:leader="none" w:pos="262"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amounts differ from those previously reported due to the reclassification of the expenses on improvements in building for rent, previously presented in the item “Other assets”. Likewise, in the first quarter of 2019, the asset for the right to use the lease contracts was incorporated, in application of IFRS 16.</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investments in associates, mainly Banmedica and Visanet, among others.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mainly accounts receivables from brokerage and others.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1Q19 this item was opened in the statement of financial position; previously presented in the item "Other liabilities".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 change</w:t>
            </w:r>
          </w:p>
        </w:tc>
        <w:tc>
          <w:tcPr>
            <w:tcW w:w="1040" w:type="dxa"/>
            <w:vAlign w:val="bottom"/>
            <w:gridSpan w:val="3"/>
          </w:tcPr>
          <w:p>
            <w:pPr>
              <w:ind w:left="700"/>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2Q18</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1Q19</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2Q19</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QoQ</w:t>
            </w: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YoY</w:t>
            </w: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rPr>
              <w:t>Jun 18</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Jun 19</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1"/>
              </w:rPr>
              <w:t>Jun 19 / Jun 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2,812,623</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3,001,674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3,083,623</w:t>
            </w:r>
          </w:p>
        </w:tc>
        <w:tc>
          <w:tcPr>
            <w:tcW w:w="2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9.6%</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5,601,764</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6,085,297</w:t>
            </w:r>
          </w:p>
        </w:tc>
        <w:tc>
          <w:tcPr>
            <w:tcW w:w="22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1"/>
                <w:szCs w:val="21"/>
                <w:color w:val="auto"/>
                <w:vertAlign w:val="superscript"/>
              </w:rPr>
              <w:t>(1)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(749,805)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(812,756)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(826,866)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(1,496,045)</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7"/>
              </w:rPr>
              <w:t>(1,639,622)</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2,062,818</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2,188,918</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2,256,757</w:t>
            </w:r>
          </w:p>
        </w:tc>
        <w:tc>
          <w:tcPr>
            <w:tcW w:w="2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3.1%</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9.4%</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4,105,719</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4,445,675</w:t>
            </w:r>
          </w:p>
        </w:tc>
        <w:tc>
          <w:tcPr>
            <w:tcW w:w="2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8.3%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Gross provision for credit losses on loan portfolio</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(385,130)</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(453,285)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(510,045)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32.4%</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(824,003)</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(963,330)</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Recoveries of written-off loans</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71,959</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70,074</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61,751</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-14.2%</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139,808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131,825</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80" w:type="dxa"/>
            <w:vAlign w:val="bottom"/>
          </w:tcPr>
          <w:p>
            <w:pPr>
              <w:spacing w:after="0" w:line="126" w:lineRule="exact"/>
              <w:rPr>
                <w:sz w:val="20"/>
                <w:szCs w:val="20"/>
                <w:color w:val="auto"/>
              </w:rPr>
            </w:pPr>
            <w:r>
              <w:rPr>
                <w:rFonts w:ascii="Arial" w:cs="Arial" w:eastAsia="Arial" w:hAnsi="Arial"/>
                <w:sz w:val="14"/>
                <w:szCs w:val="14"/>
                <w:b w:val="1"/>
                <w:bCs w:val="1"/>
                <w:color w:val="auto"/>
              </w:rPr>
              <w:t>Provision for credit losses on loan portfolio, net of</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(313,171)</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(383,211)</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(448,294)</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17.0%</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43.1%</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(684,195)</w:t>
            </w:r>
          </w:p>
        </w:tc>
        <w:tc>
          <w:tcPr>
            <w:tcW w:w="8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(831,505)</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21.5%</w:t>
            </w:r>
          </w:p>
        </w:tc>
        <w:tc>
          <w:tcPr>
            <w:tcW w:w="0" w:type="dxa"/>
            <w:vAlign w:val="bottom"/>
          </w:tcPr>
          <w:p>
            <w:pPr>
              <w:spacing w:after="0"/>
              <w:rPr>
                <w:sz w:val="1"/>
                <w:szCs w:val="1"/>
                <w:color w:val="auto"/>
              </w:rPr>
            </w:pPr>
          </w:p>
        </w:tc>
      </w:tr>
      <w:tr>
        <w:trPr>
          <w:trHeight w:val="171"/>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recoveries</w:t>
            </w:r>
          </w:p>
        </w:tc>
        <w:tc>
          <w:tcPr>
            <w:tcW w:w="9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Risk-adjusted net interest income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1,749,647</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1,805,707</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1,808,463</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0.2%</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3.4%</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3,421,524</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3,614,170</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b w:val="1"/>
                <w:bCs w:val="1"/>
                <w:color w:val="auto"/>
              </w:rPr>
              <w:t>Non-financial income</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Fee income</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766,994</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782,922</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787,250</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1,516,686</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1,570,172</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180,669</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178,423</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188,358</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342,964</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366,781</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Net gain on sales of securities </w:t>
            </w:r>
            <w:r>
              <w:rPr>
                <w:rFonts w:ascii="Arial" w:cs="Arial" w:eastAsia="Arial" w:hAnsi="Arial"/>
                <w:sz w:val="21"/>
                <w:szCs w:val="21"/>
                <w:color w:val="auto"/>
                <w:vertAlign w:val="superscript"/>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(16,680)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113,545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100,987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-705.4%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73,244</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214,532</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Net gain from associates </w:t>
            </w:r>
            <w:r>
              <w:rPr>
                <w:rFonts w:ascii="Arial" w:cs="Arial" w:eastAsia="Arial" w:hAnsi="Arial"/>
                <w:sz w:val="21"/>
                <w:szCs w:val="21"/>
                <w:color w:val="auto"/>
                <w:vertAlign w:val="superscript"/>
              </w:rPr>
              <w:t>(2)(3)</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21,219</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14,786</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20,478</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38.5%</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-3.5%</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37,712</w:t>
            </w:r>
          </w:p>
        </w:tc>
        <w:tc>
          <w:tcPr>
            <w:tcW w:w="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35,264</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 on derivatives held for trading</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14,597</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(2,434)</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(724)</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-70.3%</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-105.0%</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14,285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(3,158)</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Net gain from exchange differences</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1,031</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7,660</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(3,603)</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-147.0%</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-449.5%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6,920</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4,057</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non-financial income</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84,009</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75,605</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98,703</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30.6%</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17.5%</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166,885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174,308</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non-financial income</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1,051,839</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1,170,507</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1,191,449</w:t>
            </w:r>
          </w:p>
        </w:tc>
        <w:tc>
          <w:tcPr>
            <w:tcW w:w="2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1.8%</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13.3%</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2,158,696</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2,361,956</w:t>
            </w:r>
          </w:p>
        </w:tc>
        <w:tc>
          <w:tcPr>
            <w:tcW w:w="2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Insurance underwriting result</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Net earned premiums</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512,258</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587,156</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590,066</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15.2%</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1,020,707</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1,177,222</w:t>
            </w:r>
          </w:p>
        </w:tc>
        <w:tc>
          <w:tcPr>
            <w:tcW w:w="22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claims</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(300,845)</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(386,521)</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(379,718)</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(595,590)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(766,239)</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Acquisition cost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(98,556)</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(91,281)</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(91,666)</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(196,104)</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(182,947)</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insurance underwriting result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112,857</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109,354</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118,682</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8.5%</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5.2%</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229,013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228,036</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b w:val="1"/>
                <w:bCs w:val="1"/>
                <w:color w:val="auto"/>
              </w:rPr>
              <w:t>Total expenses</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Salaries and employee benefits</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(780,827)</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(834,317)</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(845,835)</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(1,558,172)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(1,680,152)</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general and tax expenses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(560,814)</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(513,140)</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(531,336)</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(1,057,436)</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(1,044,476)</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1"/>
                <w:szCs w:val="21"/>
                <w:color w:val="auto"/>
                <w:vertAlign w:val="superscript"/>
              </w:rPr>
              <w:t>(4)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(106,333)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(140,697)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(180,381)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69.6%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(213,193)</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(321,078)</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Impairment loss on goodwill</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Association in participation </w:t>
            </w:r>
            <w:r>
              <w:rPr>
                <w:rFonts w:ascii="Arial" w:cs="Arial" w:eastAsia="Arial" w:hAnsi="Arial"/>
                <w:sz w:val="21"/>
                <w:szCs w:val="21"/>
                <w:color w:val="auto"/>
                <w:vertAlign w:val="superscript"/>
              </w:rPr>
              <w:t>(5)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(3,789)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(2,736)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(4,746)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73.5%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(8,644)</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(7,482)</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Other expenses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(76,165)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(47,441)</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(20,555)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-56.7%</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-73.0%</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(135,329)</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(67,996)</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expenses</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(1,527,928)</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(1,538,331)</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(1,582,853)</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2.9%</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3.6%</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(2,972,774)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(3,121,184)</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b w:val="1"/>
                <w:bCs w:val="1"/>
                <w:color w:val="auto"/>
              </w:rPr>
              <w:t>Profit before income tax</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1,386,415</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1,547,237</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1,535,741</w:t>
            </w:r>
          </w:p>
        </w:tc>
        <w:tc>
          <w:tcPr>
            <w:tcW w:w="2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-0.7%</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2,836,459</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3,082,978</w:t>
            </w:r>
          </w:p>
        </w:tc>
        <w:tc>
          <w:tcPr>
            <w:tcW w:w="2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Income tax</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(388,011)</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(423,973)</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(415,210)</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(773,403)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(839,183)</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b w:val="1"/>
                <w:bCs w:val="1"/>
                <w:color w:val="auto"/>
              </w:rPr>
              <w:t>Net profit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998,404</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1,123,264</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1,120,531</w:t>
            </w:r>
          </w:p>
        </w:tc>
        <w:tc>
          <w:tcPr>
            <w:tcW w:w="2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-0.2%</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12.2%</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2,063,056</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2,243,795</w:t>
            </w:r>
          </w:p>
        </w:tc>
        <w:tc>
          <w:tcPr>
            <w:tcW w:w="2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20,566</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22,397</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21,958</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47,410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44,355</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4"/>
                <w:szCs w:val="14"/>
                <w:b w:val="1"/>
                <w:bCs w:val="1"/>
                <w:color w:val="auto"/>
              </w:rPr>
              <w:t>Net profit attributable to Credicorp</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977,838</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1,100,867</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1,098,573</w:t>
            </w:r>
          </w:p>
        </w:tc>
        <w:tc>
          <w:tcPr>
            <w:tcW w:w="2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-0.2%</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12.3%</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2,015,646</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2,199,440</w:t>
            </w:r>
          </w:p>
        </w:tc>
        <w:tc>
          <w:tcPr>
            <w:tcW w:w="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Starting in 2019, financing expenses related to lease agreements is included according to the application of IFRS 16.</w:t>
      </w:r>
    </w:p>
    <w:p>
      <w:pPr>
        <w:spacing w:after="0" w:line="23" w:lineRule="exact"/>
        <w:rPr>
          <w:rFonts w:ascii="Arial" w:cs="Arial" w:eastAsia="Arial" w:hAnsi="Arial"/>
          <w:sz w:val="18"/>
          <w:szCs w:val="18"/>
          <w:color w:val="auto"/>
        </w:rPr>
      </w:pPr>
    </w:p>
    <w:p>
      <w:pPr>
        <w:ind w:firstLine="8"/>
        <w:spacing w:after="0" w:line="250" w:lineRule="auto"/>
        <w:tabs>
          <w:tab w:leader="none" w:pos="278" w:val="left"/>
        </w:tabs>
        <w:numPr>
          <w:ilvl w:val="0"/>
          <w:numId w:val="93"/>
        </w:numPr>
        <w:rPr>
          <w:rFonts w:ascii="Arial" w:cs="Arial" w:eastAsia="Arial" w:hAnsi="Arial"/>
          <w:sz w:val="18"/>
          <w:szCs w:val="18"/>
          <w:color w:val="auto"/>
        </w:rPr>
      </w:pPr>
      <w:r>
        <w:rPr>
          <w:rFonts w:ascii="Arial" w:cs="Arial" w:eastAsia="Arial" w:hAnsi="Arial"/>
          <w:sz w:val="18"/>
          <w:szCs w:val="18"/>
          <w:color w:val="auto"/>
        </w:rPr>
        <w:t>Starting in 2019 the gain from other investments in related companies has been included in the item "Net gain in associates"; which previously was presented in the item "Net gain on securities".</w:t>
      </w: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gains on other investments, mainly made up of the profit of Banmedica.</w:t>
      </w:r>
    </w:p>
    <w:p>
      <w:pPr>
        <w:spacing w:after="0" w:line="9" w:lineRule="exact"/>
        <w:rPr>
          <w:rFonts w:ascii="Arial" w:cs="Arial" w:eastAsia="Arial" w:hAnsi="Arial"/>
          <w:sz w:val="18"/>
          <w:szCs w:val="18"/>
          <w:color w:val="auto"/>
        </w:rPr>
      </w:pPr>
    </w:p>
    <w:p>
      <w:pPr>
        <w:ind w:firstLine="8"/>
        <w:spacing w:after="0" w:line="265" w:lineRule="auto"/>
        <w:tabs>
          <w:tab w:leader="none" w:pos="271" w:val="left"/>
        </w:tabs>
        <w:numPr>
          <w:ilvl w:val="0"/>
          <w:numId w:val="93"/>
        </w:numPr>
        <w:rPr>
          <w:rFonts w:ascii="Arial" w:cs="Arial" w:eastAsia="Arial" w:hAnsi="Arial"/>
          <w:sz w:val="17"/>
          <w:szCs w:val="17"/>
          <w:color w:val="auto"/>
        </w:rPr>
      </w:pPr>
      <w:r>
        <w:rPr>
          <w:rFonts w:ascii="Arial" w:cs="Arial" w:eastAsia="Arial" w:hAnsi="Arial"/>
          <w:sz w:val="17"/>
          <w:szCs w:val="17"/>
          <w:color w:val="auto"/>
        </w:rPr>
        <w:t>From 1Q19,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From 1Q19, the item “Association in participation” was incorporated, which previously was presented in the item “Net gain on securities”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ind w:left="20"/>
        <w:spacing w:after="0"/>
        <w:rPr>
          <w:sz w:val="20"/>
          <w:szCs w:val="20"/>
          <w:color w:val="auto"/>
        </w:rPr>
      </w:pPr>
      <w:r>
        <w:rPr>
          <w:rFonts w:ascii="Arial" w:cs="Arial" w:eastAsia="Arial" w:hAnsi="Arial"/>
          <w:sz w:val="18"/>
          <w:szCs w:val="18"/>
          <w:b w:val="1"/>
          <w:bCs w:val="1"/>
          <w:color w:val="auto"/>
        </w:rPr>
        <w:t>11.2. BCP Consolidated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3"/>
          </w:tcPr>
          <w:p>
            <w:pPr>
              <w:ind w:left="780"/>
              <w:spacing w:after="0"/>
              <w:rPr>
                <w:sz w:val="20"/>
                <w:szCs w:val="20"/>
                <w:color w:val="auto"/>
              </w:rPr>
            </w:pPr>
            <w:r>
              <w:rPr>
                <w:rFonts w:ascii="Arial" w:cs="Arial" w:eastAsia="Arial" w:hAnsi="Arial"/>
                <w:sz w:val="18"/>
                <w:szCs w:val="18"/>
                <w:b w:val="1"/>
                <w:bCs w:val="1"/>
                <w:color w:val="auto"/>
                <w:w w:val="95"/>
              </w:rPr>
              <w:t>% change</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 18</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 19</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 19</w:t>
            </w:r>
          </w:p>
        </w:tc>
        <w:tc>
          <w:tcPr>
            <w:tcW w:w="160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5,089,101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5,816,012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5,039,035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14,240,244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14,327,957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16,660,085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cash and due from banks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19,329,345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20,143,969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21,699,120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collateral, reverse repurchase agreements and securities</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borrowing</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3,321,915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3,103,156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3,255,249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Fair value through profit or loss investments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796,848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598,964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516,973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Fair value through other comprehensive income investments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12,640,745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16,114,399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15,626,554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Amortized cost investments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3,854,695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3,370,918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3,347,118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93,710,313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99,021,030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99,791,392</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Current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90,728,345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96,026,987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96,649,966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Internal overdue loans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2,981,968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2,994,043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3,141,426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Less - allowance for loan losses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(4,590,459)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(4,619,470)</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(4,637,969)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89,119,854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94,401,560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95,153,423</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2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Property, furniture and equipment, net </w:t>
            </w:r>
            <w:r>
              <w:rPr>
                <w:rFonts w:ascii="Arial" w:cs="Arial" w:eastAsia="Arial" w:hAnsi="Arial"/>
                <w:sz w:val="29"/>
                <w:szCs w:val="29"/>
                <w:b w:val="1"/>
                <w:bCs w:val="1"/>
                <w:color w:val="auto"/>
                <w:vertAlign w:val="superscript"/>
              </w:rPr>
              <w:t>(1)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1,254,596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2,710,998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2,663,641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2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801,248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611,142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534,637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-12.5%</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-33.3%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3,378,165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4,242,388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4,638,680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9.3%</w:t>
            </w:r>
          </w:p>
        </w:tc>
        <w:tc>
          <w:tcPr>
            <w:tcW w:w="2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5"/>
              </w:rPr>
              <w:t>Total Assets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134,497,411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145,297,494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147,435,395</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25,664,800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28,436,099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27,442,740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60,260,717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64,385,457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65,011,206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deposits and obligations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85,925,517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92,821,556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92,453,946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Payables from repurchase agreements and securities lending</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6,556,789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6,634,166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8,019,941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BCRP instruments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4,652,218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4,984,192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6,304,186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agreements with third parties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1,904,571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1,649,974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1,715,756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8,368,396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7,307,596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9,280,977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27.0%</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Bonds and notes issued</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14,524,087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14,808,551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14,429,601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Banker’s acceptances outstanding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801,248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611,142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534,637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-12.5%</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 at fair value through profit or loss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33,727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177,013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70,459</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-60.2%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108.9%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2,826,499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6,308,115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4,992,245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-20.9%</w:t>
            </w:r>
          </w:p>
        </w:tc>
        <w:tc>
          <w:tcPr>
            <w:tcW w:w="2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119,036,263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128,668,139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129,781,806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0.9%</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Net equity</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15,326,366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16,520,005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17,539,343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6.2%</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stock</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8,476,984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9,924,006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9,924,006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Reserves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3,965,441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4,476,247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4,476,256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gains and losses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28,364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120,338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235,391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2,855,577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1,999,414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2,903,690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45.2%</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134,782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109,350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114,246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Total Net Equity</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15,461,148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16,629,355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17,653,589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6.2%</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134,497,411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145,297,494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147,435,395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Off-balance sheet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103,835,732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109,963,761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112,550,680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performance bonds, stand-by and L/Cs.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17,380,910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16,877,145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17,678,879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Undrawn credit lines, advised but not committed</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64,520,719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67,926,878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67,316,327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(notional) and others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21,934,103</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25,159,738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27,555,474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8"/>
        <w:spacing w:after="0" w:line="291" w:lineRule="auto"/>
        <w:tabs>
          <w:tab w:leader="none" w:pos="255"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amounts differ from those previously reported due to the reclassification of the expenses on improvements in building for rent, previously presented in the item “Other assets”. Likewise, in the 2019 the asset is incorporated for the right to use the lease contracts, in application of the IFRS 16.</w:t>
      </w: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ectPr>
          <w:pgSz w:w="11900" w:h="16838" w:orient="portrait"/>
          <w:cols w:equalWidth="0" w:num="1">
            <w:col w:w="11420"/>
          </w:cols>
          <w:pgMar w:left="240" w:top="905" w:right="239" w:bottom="0" w:gutter="0" w:footer="0" w:header="0"/>
        </w:sectPr>
      </w:pPr>
    </w:p>
    <w:bookmarkStart w:id="58" w:name="page59"/>
    <w:bookmarkEnd w:id="58"/>
    <w:p>
      <w:pPr>
        <w:ind w:left="1004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 change</w:t>
            </w:r>
          </w:p>
        </w:tc>
        <w:tc>
          <w:tcPr>
            <w:tcW w:w="1160" w:type="dxa"/>
            <w:vAlign w:val="bottom"/>
            <w:gridSpan w:val="3"/>
          </w:tcPr>
          <w:p>
            <w:pPr>
              <w:ind w:left="780"/>
              <w:spacing w:after="0"/>
              <w:rPr>
                <w:sz w:val="20"/>
                <w:szCs w:val="20"/>
                <w:color w:val="auto"/>
              </w:rPr>
            </w:pPr>
            <w:r>
              <w:rPr>
                <w:rFonts w:ascii="Arial" w:cs="Arial" w:eastAsia="Arial" w:hAnsi="Arial"/>
                <w:sz w:val="18"/>
                <w:szCs w:val="18"/>
                <w:b w:val="1"/>
                <w:bCs w:val="1"/>
                <w:color w:val="auto"/>
                <w:w w:val="99"/>
              </w:rPr>
              <w:t>YTD</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296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2Q18</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1Q19</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2Q19</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QoQ</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YoY</w:t>
            </w:r>
          </w:p>
        </w:tc>
        <w:tc>
          <w:tcPr>
            <w:tcW w:w="1160" w:type="dxa"/>
            <w:vAlign w:val="bottom"/>
            <w:gridSpan w:val="3"/>
          </w:tcPr>
          <w:p>
            <w:pPr>
              <w:ind w:left="180"/>
              <w:spacing w:after="0"/>
              <w:rPr>
                <w:sz w:val="20"/>
                <w:szCs w:val="20"/>
                <w:color w:val="auto"/>
              </w:rPr>
            </w:pPr>
            <w:r>
              <w:rPr>
                <w:rFonts w:ascii="Arial" w:cs="Arial" w:eastAsia="Arial" w:hAnsi="Arial"/>
                <w:sz w:val="18"/>
                <w:szCs w:val="18"/>
                <w:b w:val="1"/>
                <w:bCs w:val="1"/>
                <w:color w:val="auto"/>
              </w:rPr>
              <w:t>Jun 18</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Jun 19</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Jun 19 / Jun 18</w:t>
            </w: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 income and expense</w:t>
            </w: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color w:val="auto"/>
              </w:rPr>
              <w:t>Interest and dividend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2,494,735</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2,656,215</w:t>
            </w:r>
          </w:p>
        </w:tc>
        <w:tc>
          <w:tcPr>
            <w:tcW w:w="880" w:type="dxa"/>
            <w:vAlign w:val="bottom"/>
          </w:tcPr>
          <w:p>
            <w:pPr>
              <w:jc w:val="right"/>
              <w:spacing w:after="0"/>
              <w:rPr>
                <w:sz w:val="20"/>
                <w:szCs w:val="20"/>
                <w:color w:val="auto"/>
              </w:rPr>
            </w:pPr>
            <w:r>
              <w:rPr>
                <w:rFonts w:ascii="Arial" w:cs="Arial" w:eastAsia="Arial" w:hAnsi="Arial"/>
                <w:sz w:val="18"/>
                <w:szCs w:val="18"/>
                <w:color w:val="auto"/>
              </w:rPr>
              <w:t>2,727,447</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880" w:type="dxa"/>
            <w:vAlign w:val="bottom"/>
          </w:tcPr>
          <w:p>
            <w:pPr>
              <w:jc w:val="right"/>
              <w:spacing w:after="0"/>
              <w:rPr>
                <w:sz w:val="20"/>
                <w:szCs w:val="20"/>
                <w:color w:val="auto"/>
              </w:rPr>
            </w:pPr>
            <w:r>
              <w:rPr>
                <w:rFonts w:ascii="Arial" w:cs="Arial" w:eastAsia="Arial" w:hAnsi="Arial"/>
                <w:sz w:val="18"/>
                <w:szCs w:val="18"/>
                <w:color w:val="auto"/>
              </w:rPr>
              <w:t>4,974,189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5,383,662</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8.2%</w:t>
            </w:r>
          </w:p>
        </w:tc>
      </w:tr>
      <w:tr>
        <w:trPr>
          <w:trHeight w:val="257"/>
        </w:trPr>
        <w:tc>
          <w:tcPr>
            <w:tcW w:w="29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9"/>
                <w:szCs w:val="29"/>
                <w:color w:val="auto"/>
                <w:vertAlign w:val="superscript"/>
              </w:rPr>
              <w:t>(1)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(648,776)</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(698,406)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(716,567)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(1,300,431)</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(1,414,973)</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b w:val="1"/>
                <w:bCs w:val="1"/>
                <w:color w:val="auto"/>
              </w:rPr>
              <w:t>Net interest income</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1,845,959</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1,957,809</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2,010,880</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8.9%</w:t>
            </w:r>
          </w:p>
        </w:tc>
        <w:tc>
          <w:tcPr>
            <w:tcW w:w="880" w:type="dxa"/>
            <w:vAlign w:val="bottom"/>
          </w:tcPr>
          <w:p>
            <w:pPr>
              <w:jc w:val="right"/>
              <w:spacing w:after="0"/>
              <w:rPr>
                <w:sz w:val="20"/>
                <w:szCs w:val="20"/>
                <w:color w:val="auto"/>
              </w:rPr>
            </w:pPr>
            <w:r>
              <w:rPr>
                <w:rFonts w:ascii="Arial" w:cs="Arial" w:eastAsia="Arial" w:hAnsi="Arial"/>
                <w:sz w:val="18"/>
                <w:szCs w:val="18"/>
                <w:color w:val="auto"/>
              </w:rPr>
              <w:t>3,673,758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3,968,689</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8.0%</w:t>
            </w: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Provision for credit losses on loan</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portfolio</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(377,424)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(437,214)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(494,492)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(800,123)</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(931,706)</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Recoveries of written-off loans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70,431</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69,836</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60,861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138,012</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130,697</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r>
      <w:tr>
        <w:trPr>
          <w:trHeight w:val="198"/>
        </w:trPr>
        <w:tc>
          <w:tcPr>
            <w:tcW w:w="29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Provision for credit losses on loan</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net of recoveries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(306,993)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(367,378)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(433,631)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(662,111)</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(801,009)</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r>
      <w:tr>
        <w:trPr>
          <w:trHeight w:val="216"/>
        </w:trPr>
        <w:tc>
          <w:tcPr>
            <w:tcW w:w="2960" w:type="dxa"/>
            <w:vAlign w:val="bottom"/>
          </w:tcPr>
          <w:p>
            <w:pPr>
              <w:spacing w:after="0"/>
              <w:rPr>
                <w:sz w:val="20"/>
                <w:szCs w:val="20"/>
                <w:color w:val="auto"/>
              </w:rPr>
            </w:pPr>
            <w:r>
              <w:rPr>
                <w:rFonts w:ascii="Arial" w:cs="Arial" w:eastAsia="Arial" w:hAnsi="Arial"/>
                <w:sz w:val="18"/>
                <w:szCs w:val="18"/>
                <w:b w:val="1"/>
                <w:bCs w:val="1"/>
                <w:color w:val="auto"/>
              </w:rPr>
              <w:t>Risk-adjusted net interest income</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1,538,966</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1,590,431</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1,577,249</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3,011,647</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3,167,680</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Non-financial income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color w:val="auto"/>
              </w:rPr>
              <w:t>Fee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613,102</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632,326</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635,782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880" w:type="dxa"/>
            <w:vAlign w:val="bottom"/>
          </w:tcPr>
          <w:p>
            <w:pPr>
              <w:jc w:val="right"/>
              <w:spacing w:after="0"/>
              <w:rPr>
                <w:sz w:val="20"/>
                <w:szCs w:val="20"/>
                <w:color w:val="auto"/>
              </w:rPr>
            </w:pPr>
            <w:r>
              <w:rPr>
                <w:rFonts w:ascii="Arial" w:cs="Arial" w:eastAsia="Arial" w:hAnsi="Arial"/>
                <w:sz w:val="18"/>
                <w:szCs w:val="18"/>
                <w:color w:val="auto"/>
              </w:rPr>
              <w:t>1,210,527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1,268,108</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r>
      <w:tr>
        <w:trPr>
          <w:trHeight w:val="202"/>
        </w:trPr>
        <w:tc>
          <w:tcPr>
            <w:tcW w:w="2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 gain on foreign exchange</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171,602</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170,019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184,131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326,621</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354,150</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color w:val="auto"/>
              </w:rPr>
              <w:t>Net gain on securities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(30,665)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5,870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20,431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248.1%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-166.6%</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7,623</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26,301</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245.0%</w:t>
            </w:r>
          </w:p>
        </w:tc>
      </w:tr>
      <w:tr>
        <w:trPr>
          <w:trHeight w:val="202"/>
        </w:trPr>
        <w:tc>
          <w:tcPr>
            <w:tcW w:w="2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 gain on derivatives held for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trading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12,670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12,918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109.5%</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25,588</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823.8%</w:t>
            </w: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color w:val="auto"/>
                <w:w w:val="97"/>
              </w:rPr>
              <w:t>Net gain from exchange differences</w:t>
            </w:r>
          </w:p>
        </w:tc>
        <w:tc>
          <w:tcPr>
            <w:tcW w:w="880" w:type="dxa"/>
            <w:vAlign w:val="bottom"/>
          </w:tcPr>
          <w:p>
            <w:pPr>
              <w:jc w:val="right"/>
              <w:spacing w:after="0"/>
              <w:rPr>
                <w:sz w:val="20"/>
                <w:szCs w:val="20"/>
                <w:color w:val="auto"/>
              </w:rPr>
            </w:pPr>
            <w:r>
              <w:rPr>
                <w:rFonts w:ascii="Arial" w:cs="Arial" w:eastAsia="Arial" w:hAnsi="Arial"/>
                <w:sz w:val="18"/>
                <w:szCs w:val="18"/>
                <w:color w:val="auto"/>
              </w:rPr>
              <w:t>7,638</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5,031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952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-81.1%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-87.5%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13,366</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5,983</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-55.2%</w:t>
            </w:r>
          </w:p>
        </w:tc>
      </w:tr>
      <w:tr>
        <w:trPr>
          <w:trHeight w:val="216"/>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64,259</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50,785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47,128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128,189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97,913</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b w:val="1"/>
                <w:bCs w:val="1"/>
                <w:color w:val="auto"/>
              </w:rPr>
              <w:t>Total other income</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832,101</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876,701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901,342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w:t>
            </w:r>
          </w:p>
        </w:tc>
        <w:tc>
          <w:tcPr>
            <w:tcW w:w="880" w:type="dxa"/>
            <w:vAlign w:val="bottom"/>
          </w:tcPr>
          <w:p>
            <w:pPr>
              <w:jc w:val="right"/>
              <w:spacing w:after="0"/>
              <w:rPr>
                <w:sz w:val="20"/>
                <w:szCs w:val="20"/>
                <w:color w:val="auto"/>
              </w:rPr>
            </w:pPr>
            <w:r>
              <w:rPr>
                <w:rFonts w:ascii="Arial" w:cs="Arial" w:eastAsia="Arial" w:hAnsi="Arial"/>
                <w:sz w:val="18"/>
                <w:szCs w:val="18"/>
                <w:color w:val="auto"/>
              </w:rPr>
              <w:t>1,689,096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1,778,043</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color w:val="auto"/>
              </w:rPr>
              <w:t>Salaries and employee benefits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(591,780)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(626,768)</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(638,802)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(1,177,628)</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(1,265,570)</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7.5%</w:t>
            </w:r>
          </w:p>
        </w:tc>
      </w:tr>
      <w:tr>
        <w:trPr>
          <w:trHeight w:val="216"/>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(441,698)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(434,106)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(482,213)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(830,038)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(916,319)</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r>
      <w:tr>
        <w:trPr>
          <w:trHeight w:val="257"/>
        </w:trPr>
        <w:tc>
          <w:tcPr>
            <w:tcW w:w="296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9"/>
                <w:szCs w:val="29"/>
                <w:color w:val="auto"/>
                <w:vertAlign w:val="superscript"/>
              </w:rPr>
              <w:t>(2)</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(81,079)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(80,726)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(85,311)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(163,084)</w:t>
            </w:r>
          </w:p>
        </w:tc>
        <w:tc>
          <w:tcPr>
            <w:tcW w:w="10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(166,037)</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(62,938)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(31,090)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(27,943)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-55.6%</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(110,843)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(59,033)</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-46.7%</w:t>
            </w: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b w:val="1"/>
                <w:bCs w:val="1"/>
                <w:color w:val="auto"/>
              </w:rPr>
              <w:t>Total expenses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(1,177,495)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(1,172,690)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(1,234,269)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(2,281,593)</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(2,406,959)</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before income tax</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1,193,572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1,294,442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1,244,322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2,419,150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2,538,764</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color w:val="auto"/>
              </w:rPr>
              <w:t>Income tax</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(340,186)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(356,886)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(335,202)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(676,694)</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(692,088)</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853,386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937,556</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909,120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1,742,456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1,846,676</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(6,259)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(4,931)</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(4,844)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(13,809)</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(9,775)</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-29.2%</w:t>
            </w:r>
          </w:p>
        </w:tc>
      </w:tr>
      <w:tr>
        <w:trPr>
          <w:trHeight w:val="198"/>
        </w:trPr>
        <w:tc>
          <w:tcPr>
            <w:tcW w:w="29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profit attributable to BCP</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8"/>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847,127</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932,625</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904,276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1,728,647</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1,836,901</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r>
      <w:tr>
        <w:trPr>
          <w:trHeight w:val="20"/>
        </w:trPr>
        <w:tc>
          <w:tcPr>
            <w:tcW w:w="2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of 2019, financing expenses related to lease agreements is included according to the application of IFRS 16.</w:t>
      </w:r>
    </w:p>
    <w:p>
      <w:pPr>
        <w:spacing w:after="0" w:line="23" w:lineRule="exact"/>
        <w:rPr>
          <w:rFonts w:ascii="Arial" w:cs="Arial" w:eastAsia="Arial" w:hAnsi="Arial"/>
          <w:sz w:val="18"/>
          <w:szCs w:val="18"/>
          <w:color w:val="auto"/>
        </w:rPr>
      </w:pPr>
    </w:p>
    <w:p>
      <w:pPr>
        <w:ind w:right="20" w:firstLine="8"/>
        <w:spacing w:after="0" w:line="290" w:lineRule="auto"/>
        <w:tabs>
          <w:tab w:leader="none" w:pos="268" w:val="left"/>
        </w:tabs>
        <w:numPr>
          <w:ilvl w:val="0"/>
          <w:numId w:val="95"/>
        </w:numPr>
        <w:rPr>
          <w:rFonts w:ascii="Arial" w:cs="Arial" w:eastAsia="Arial" w:hAnsi="Arial"/>
          <w:sz w:val="17"/>
          <w:szCs w:val="17"/>
          <w:color w:val="auto"/>
        </w:rPr>
      </w:pPr>
      <w:r>
        <w:rPr>
          <w:rFonts w:ascii="Arial" w:cs="Arial" w:eastAsia="Arial" w:hAnsi="Arial"/>
          <w:sz w:val="17"/>
          <w:szCs w:val="17"/>
          <w:color w:val="auto"/>
        </w:rPr>
        <w:t>From this quarter,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8"/>
              </w:rPr>
              <w:t>Quarter</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4"/>
          </w:tcPr>
          <w:p>
            <w:pPr>
              <w:ind w:left="1080"/>
              <w:spacing w:after="0"/>
              <w:rPr>
                <w:sz w:val="20"/>
                <w:szCs w:val="20"/>
                <w:color w:val="auto"/>
              </w:rPr>
            </w:pPr>
            <w:r>
              <w:rPr>
                <w:rFonts w:ascii="Arial" w:cs="Arial" w:eastAsia="Arial" w:hAnsi="Arial"/>
                <w:sz w:val="18"/>
                <w:szCs w:val="18"/>
                <w:b w:val="1"/>
                <w:bCs w:val="1"/>
                <w:color w:val="auto"/>
              </w:rPr>
              <w:t>YTD</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ind w:left="360"/>
              <w:spacing w:after="0"/>
              <w:rPr>
                <w:sz w:val="20"/>
                <w:szCs w:val="20"/>
                <w:color w:val="auto"/>
              </w:rPr>
            </w:pPr>
            <w:r>
              <w:rPr>
                <w:rFonts w:ascii="Arial" w:cs="Arial" w:eastAsia="Arial" w:hAnsi="Arial"/>
                <w:sz w:val="18"/>
                <w:szCs w:val="18"/>
                <w:b w:val="1"/>
                <w:bCs w:val="1"/>
                <w:color w:val="auto"/>
              </w:rPr>
              <w:t>2Q18</w:t>
            </w: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1Q19</w:t>
            </w:r>
          </w:p>
        </w:tc>
        <w:tc>
          <w:tcPr>
            <w:tcW w:w="1400" w:type="dxa"/>
            <w:vAlign w:val="bottom"/>
            <w:gridSpan w:val="3"/>
          </w:tcPr>
          <w:p>
            <w:pPr>
              <w:ind w:left="360"/>
              <w:spacing w:after="0"/>
              <w:rPr>
                <w:sz w:val="20"/>
                <w:szCs w:val="20"/>
                <w:color w:val="auto"/>
              </w:rPr>
            </w:pPr>
            <w:r>
              <w:rPr>
                <w:rFonts w:ascii="Arial" w:cs="Arial" w:eastAsia="Arial" w:hAnsi="Arial"/>
                <w:sz w:val="18"/>
                <w:szCs w:val="18"/>
                <w:b w:val="1"/>
                <w:bCs w:val="1"/>
                <w:color w:val="auto"/>
              </w:rPr>
              <w:t>2Q19</w:t>
            </w:r>
          </w:p>
        </w:tc>
        <w:tc>
          <w:tcPr>
            <w:tcW w:w="1580" w:type="dxa"/>
            <w:vAlign w:val="bottom"/>
            <w:gridSpan w:val="4"/>
          </w:tcPr>
          <w:p>
            <w:pPr>
              <w:ind w:left="300"/>
              <w:spacing w:after="0"/>
              <w:rPr>
                <w:sz w:val="20"/>
                <w:szCs w:val="20"/>
                <w:color w:val="auto"/>
              </w:rPr>
            </w:pPr>
            <w:r>
              <w:rPr>
                <w:rFonts w:ascii="Arial" w:cs="Arial" w:eastAsia="Arial" w:hAnsi="Arial"/>
                <w:sz w:val="18"/>
                <w:szCs w:val="18"/>
                <w:b w:val="1"/>
                <w:bCs w:val="1"/>
                <w:color w:val="auto"/>
              </w:rPr>
              <w:t>Jun 18</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 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Profitability</w:t>
            </w: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9"/>
                <w:szCs w:val="29"/>
                <w:color w:val="auto"/>
                <w:vertAlign w:val="superscript"/>
              </w:rPr>
              <w:t>(1)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0.083</w:t>
            </w:r>
          </w:p>
        </w:tc>
        <w:tc>
          <w:tcPr>
            <w:tcW w:w="12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0.091</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0.089</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0.169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0.180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2"/>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ROAA</w:t>
            </w:r>
            <w:r>
              <w:rPr>
                <w:rFonts w:ascii="Arial" w:cs="Arial" w:eastAsia="Arial" w:hAnsi="Arial"/>
                <w:sz w:val="13"/>
                <w:szCs w:val="13"/>
                <w:color w:val="auto"/>
              </w:rPr>
              <w:t xml:space="preserve"> (2)(3)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2"/>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(2)(3)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color w:val="auto"/>
                <w:vertAlign w:val="superscript"/>
              </w:rPr>
              <w:t>(2)(3)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Risk adjusted NIM </w:t>
            </w:r>
            <w:r>
              <w:rPr>
                <w:rFonts w:ascii="Arial" w:cs="Arial" w:eastAsia="Arial" w:hAnsi="Arial"/>
                <w:sz w:val="29"/>
                <w:szCs w:val="29"/>
                <w:color w:val="auto"/>
                <w:vertAlign w:val="superscript"/>
              </w:rPr>
              <w:t>(2)(3)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Funding Cost </w:t>
            </w:r>
            <w:r>
              <w:rPr>
                <w:rFonts w:ascii="Arial" w:cs="Arial" w:eastAsia="Arial" w:hAnsi="Arial"/>
                <w:sz w:val="29"/>
                <w:szCs w:val="29"/>
                <w:color w:val="auto"/>
                <w:vertAlign w:val="superscript"/>
              </w:rPr>
              <w:t>(2)(3)(4)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Quality of loan portfolio</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IOL ratio</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NPL ratio</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of IOLs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Coverage of NPLs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Operating efficiency</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5"/>
              </w:rPr>
              <w:t xml:space="preserve">Oper. expenses as a percent. of total income - reported </w:t>
            </w:r>
            <w:r>
              <w:rPr>
                <w:rFonts w:ascii="Arial" w:cs="Arial" w:eastAsia="Arial" w:hAnsi="Arial"/>
                <w:sz w:val="29"/>
                <w:szCs w:val="29"/>
                <w:color w:val="auto"/>
                <w:w w:val="95"/>
                <w:vertAlign w:val="superscript"/>
              </w:rPr>
              <w:t>(6)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gridSpan w:val="2"/>
          </w:tcPr>
          <w:p>
            <w:pPr>
              <w:spacing w:after="0" w:line="201" w:lineRule="exact"/>
              <w:rPr>
                <w:sz w:val="20"/>
                <w:szCs w:val="20"/>
                <w:color w:val="auto"/>
              </w:rPr>
            </w:pPr>
            <w:r>
              <w:rPr>
                <w:rFonts w:ascii="Arial" w:cs="Arial" w:eastAsia="Arial" w:hAnsi="Arial"/>
                <w:sz w:val="18"/>
                <w:szCs w:val="18"/>
                <w:color w:val="auto"/>
                <w:w w:val="96"/>
              </w:rPr>
              <w:t>Oper. expenses as a percent. of total income - including all</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rPr>
              <w:t>other items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Oper. expenses as a percent. of av. tot. assets </w:t>
            </w:r>
            <w:r>
              <w:rPr>
                <w:rFonts w:ascii="Arial" w:cs="Arial" w:eastAsia="Arial" w:hAnsi="Arial"/>
                <w:sz w:val="29"/>
                <w:szCs w:val="29"/>
                <w:color w:val="auto"/>
                <w:vertAlign w:val="superscript"/>
              </w:rPr>
              <w:t>(2)(3)(6)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 xml:space="preserve">Capital adequacy </w:t>
            </w:r>
            <w:r>
              <w:rPr>
                <w:rFonts w:ascii="Arial" w:cs="Arial" w:eastAsia="Arial" w:hAnsi="Arial"/>
                <w:sz w:val="29"/>
                <w:szCs w:val="29"/>
                <w:b w:val="1"/>
                <w:bCs w:val="1"/>
                <w:color w:val="auto"/>
                <w:vertAlign w:val="superscript"/>
              </w:rPr>
              <w:t>(7)</w:t>
            </w: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regulatory capital (S/ Million)</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17,437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19,169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19,138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Tier 1 capital (S/ Million) </w:t>
            </w:r>
            <w:r>
              <w:rPr>
                <w:rFonts w:ascii="Arial" w:cs="Arial" w:eastAsia="Arial" w:hAnsi="Arial"/>
                <w:sz w:val="29"/>
                <w:szCs w:val="29"/>
                <w:color w:val="auto"/>
                <w:vertAlign w:val="superscript"/>
              </w:rPr>
              <w:t>(8)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12,825</w:t>
            </w:r>
          </w:p>
        </w:tc>
        <w:tc>
          <w:tcPr>
            <w:tcW w:w="12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14,510</w:t>
            </w:r>
          </w:p>
        </w:tc>
        <w:tc>
          <w:tcPr>
            <w:tcW w:w="10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14,504</w:t>
            </w:r>
          </w:p>
        </w:tc>
        <w:tc>
          <w:tcPr>
            <w:tcW w:w="10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12,825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14,504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(10)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Share Information</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of outstanding shares (Million)</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10,217</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10,217</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10,217</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10,217.39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10,217.39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Shares outstanding of 10,217 million is used for all periods since shares have been issued only for capitalization of profits.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right="20" w:firstLine="8"/>
        <w:spacing w:after="0" w:line="281" w:lineRule="auto"/>
        <w:tabs>
          <w:tab w:leader="none" w:pos="268"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Cost of risk: Annualized provision for loan losses / Total loans.</w:t>
      </w:r>
    </w:p>
    <w:p>
      <w:pPr>
        <w:spacing w:after="0" w:line="9" w:lineRule="exact"/>
        <w:rPr>
          <w:rFonts w:ascii="Arial" w:cs="Arial" w:eastAsia="Arial" w:hAnsi="Arial"/>
          <w:sz w:val="18"/>
          <w:szCs w:val="18"/>
          <w:color w:val="auto"/>
        </w:rPr>
      </w:pPr>
    </w:p>
    <w:p>
      <w:pPr>
        <w:ind w:firstLine="8"/>
        <w:spacing w:after="0" w:line="265" w:lineRule="auto"/>
        <w:tabs>
          <w:tab w:leader="none" w:pos="292"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ind w:left="260" w:hanging="252"/>
        <w:spacing w:after="0"/>
        <w:tabs>
          <w:tab w:leader="none" w:pos="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capital ratios are for BCP Stand-alone and based on Peru GAAP</w:t>
      </w:r>
    </w:p>
    <w:p>
      <w:pPr>
        <w:spacing w:after="0" w:line="9" w:lineRule="exact"/>
        <w:rPr>
          <w:rFonts w:ascii="Arial" w:cs="Arial" w:eastAsia="Arial" w:hAnsi="Arial"/>
          <w:sz w:val="18"/>
          <w:szCs w:val="18"/>
          <w:color w:val="auto"/>
        </w:rPr>
      </w:pPr>
    </w:p>
    <w:p>
      <w:pPr>
        <w:jc w:val="both"/>
        <w:ind w:firstLine="8"/>
        <w:spacing w:after="0" w:line="265" w:lineRule="auto"/>
        <w:tabs>
          <w:tab w:leader="none" w:pos="29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firstLine="8"/>
        <w:spacing w:after="0" w:line="250" w:lineRule="auto"/>
        <w:tabs>
          <w:tab w:leader="none" w:pos="256"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left="360" w:hanging="352"/>
        <w:spacing w:after="0"/>
        <w:tabs>
          <w:tab w:leader="none" w:pos="3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11.3. Mibanco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MIBANCO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ind w:left="560"/>
              <w:spacing w:after="0"/>
              <w:rPr>
                <w:sz w:val="20"/>
                <w:szCs w:val="20"/>
                <w:color w:val="auto"/>
              </w:rPr>
            </w:pPr>
            <w:r>
              <w:rPr>
                <w:rFonts w:ascii="Arial" w:cs="Arial" w:eastAsia="Arial" w:hAnsi="Arial"/>
                <w:sz w:val="14"/>
                <w:szCs w:val="14"/>
                <w:b w:val="1"/>
                <w:bCs w:val="1"/>
                <w:color w:val="auto"/>
                <w:w w:val="94"/>
              </w:rPr>
              <w:t>% change</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Jun 18</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Mar 19</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 19</w:t>
            </w:r>
          </w:p>
        </w:tc>
        <w:tc>
          <w:tcPr>
            <w:tcW w:w="1200" w:type="dxa"/>
            <w:vAlign w:val="bottom"/>
            <w:gridSpan w:val="3"/>
          </w:tcPr>
          <w:p>
            <w:pPr>
              <w:ind w:left="220"/>
              <w:spacing w:after="0"/>
              <w:rPr>
                <w:sz w:val="20"/>
                <w:szCs w:val="20"/>
                <w:color w:val="auto"/>
              </w:rPr>
            </w:pPr>
            <w:r>
              <w:rPr>
                <w:rFonts w:ascii="Arial" w:cs="Arial" w:eastAsia="Arial" w:hAnsi="Arial"/>
                <w:sz w:val="14"/>
                <w:szCs w:val="14"/>
                <w:b w:val="1"/>
                <w:bCs w:val="1"/>
                <w:color w:val="auto"/>
              </w:rPr>
              <w:t>QoQ</w:t>
            </w:r>
          </w:p>
        </w:tc>
        <w:tc>
          <w:tcPr>
            <w:tcW w:w="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YoY</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4"/>
                <w:szCs w:val="14"/>
                <w:color w:val="auto"/>
              </w:rPr>
              <w:t>Cash and due from banks</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891,262</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1,013,959</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1,021,867</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0.8%</w:t>
            </w: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14.7%</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2,062,243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1,910,967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1,807,917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-12.3%</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Total loans</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9,804,137</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10,192,327</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10,256,643</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0.6%</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4.6%</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Current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9,146,397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9,534,598</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9,591,920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4"/>
                <w:szCs w:val="14"/>
                <w:color w:val="auto"/>
              </w:rPr>
              <w:t>Internal overdue loans</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530,593</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539,299</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548,278</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3.3%</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Refinanced</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127,147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118,431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116,445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-8.4%</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4"/>
                <w:szCs w:val="14"/>
                <w:color w:val="auto"/>
              </w:rPr>
              <w:t>Allowance for loan losses</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-894,680</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-908,751</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-909,004</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0.0%</w:t>
            </w: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1.6%</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loans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8,909,457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9,283,576</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9,347,640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0.7%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4.9%</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4"/>
                <w:szCs w:val="14"/>
                <w:color w:val="auto"/>
              </w:rPr>
              <w:t>Property, plant and equipment, net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177,891</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185,620</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187,951</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5.7%</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541,482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978,521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840,950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55.3%</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360"/>
              <w:spacing w:after="0"/>
              <w:rPr>
                <w:sz w:val="20"/>
                <w:szCs w:val="20"/>
                <w:color w:val="auto"/>
              </w:rPr>
            </w:pPr>
            <w:r>
              <w:rPr>
                <w:rFonts w:ascii="Arial" w:cs="Arial" w:eastAsia="Arial" w:hAnsi="Arial"/>
                <w:sz w:val="14"/>
                <w:szCs w:val="14"/>
                <w:b w:val="1"/>
                <w:bCs w:val="1"/>
                <w:color w:val="auto"/>
              </w:rPr>
              <w:t>Total assets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12,582,334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13,372,643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13,206,324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5.0%</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AND NET SHAREHOLDERS' EQUITY</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4"/>
                <w:szCs w:val="14"/>
                <w:color w:val="auto"/>
              </w:rPr>
              <w:t>Deposits and obligations</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7,871,279</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8,426,560</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8,216,878</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4.4%</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Due to banks and correspondents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1,760,587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1,705,072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1,823,461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4"/>
                <w:szCs w:val="14"/>
                <w:color w:val="auto"/>
              </w:rPr>
              <w:t>Bonds and subordinated debt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467,469</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367,579</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263,613</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-28.3%</w:t>
            </w: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-43.6%</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662,248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939,018</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867,815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31.0%</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260"/>
              <w:spacing w:after="0"/>
              <w:rPr>
                <w:sz w:val="20"/>
                <w:szCs w:val="20"/>
                <w:color w:val="auto"/>
              </w:rPr>
            </w:pPr>
            <w:r>
              <w:rPr>
                <w:rFonts w:ascii="Arial" w:cs="Arial" w:eastAsia="Arial" w:hAnsi="Arial"/>
                <w:sz w:val="14"/>
                <w:szCs w:val="14"/>
                <w:b w:val="1"/>
                <w:bCs w:val="1"/>
                <w:color w:val="auto"/>
              </w:rPr>
              <w:t>Total liabilities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10,761,582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11,438,229</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11,171,768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3.8%</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equity</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1,820,752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1,934,414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2,034,557</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11.7%</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60" w:type="dxa"/>
            <w:vAlign w:val="bottom"/>
          </w:tcPr>
          <w:p>
            <w:pPr>
              <w:spacing w:after="0" w:line="126" w:lineRule="exact"/>
              <w:rPr>
                <w:sz w:val="20"/>
                <w:szCs w:val="20"/>
                <w:color w:val="auto"/>
              </w:rPr>
            </w:pPr>
            <w:r>
              <w:rPr>
                <w:rFonts w:ascii="Arial" w:cs="Arial" w:eastAsia="Arial" w:hAnsi="Arial"/>
                <w:sz w:val="14"/>
                <w:szCs w:val="14"/>
                <w:b w:val="1"/>
                <w:bCs w:val="1"/>
                <w:color w:val="auto"/>
              </w:rPr>
              <w:t>TOTAL LIABILITIES AND NET SHAREHOLDERS'</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12,582,334</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13,372,643</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13,206,324</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-1.2%</w:t>
            </w:r>
          </w:p>
        </w:tc>
        <w:tc>
          <w:tcPr>
            <w:tcW w:w="2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5.0%</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EQUITY</w:t>
            </w:r>
          </w:p>
        </w:tc>
        <w:tc>
          <w:tcPr>
            <w:tcW w:w="98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Quarter</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ind w:left="560"/>
              <w:spacing w:after="0"/>
              <w:rPr>
                <w:sz w:val="20"/>
                <w:szCs w:val="20"/>
                <w:color w:val="auto"/>
              </w:rPr>
            </w:pPr>
            <w:r>
              <w:rPr>
                <w:rFonts w:ascii="Arial" w:cs="Arial" w:eastAsia="Arial" w:hAnsi="Arial"/>
                <w:sz w:val="14"/>
                <w:szCs w:val="14"/>
                <w:b w:val="1"/>
                <w:bCs w:val="1"/>
                <w:color w:val="auto"/>
                <w:w w:val="94"/>
              </w:rPr>
              <w:t>% change</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3"/>
          </w:tcPr>
          <w:p>
            <w:pPr>
              <w:ind w:left="640"/>
              <w:spacing w:after="0"/>
              <w:rPr>
                <w:sz w:val="20"/>
                <w:szCs w:val="20"/>
                <w:color w:val="auto"/>
              </w:rPr>
            </w:pPr>
            <w:r>
              <w:rPr>
                <w:rFonts w:ascii="Arial" w:cs="Arial" w:eastAsia="Arial" w:hAnsi="Arial"/>
                <w:sz w:val="14"/>
                <w:szCs w:val="14"/>
                <w:b w:val="1"/>
                <w:bCs w:val="1"/>
                <w:color w:val="auto"/>
              </w:rPr>
              <w:t>YTD</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2Q18</w:t>
            </w:r>
          </w:p>
        </w:tc>
        <w:tc>
          <w:tcPr>
            <w:tcW w:w="2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1Q19</w:t>
            </w:r>
          </w:p>
        </w:tc>
        <w:tc>
          <w:tcPr>
            <w:tcW w:w="2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2Q19</w:t>
            </w:r>
          </w:p>
        </w:tc>
        <w:tc>
          <w:tcPr>
            <w:tcW w:w="2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Jun 18</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9"/>
              </w:rPr>
              <w:t>Jun 19</w:t>
            </w:r>
          </w:p>
        </w:tc>
        <w:tc>
          <w:tcPr>
            <w:tcW w:w="2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Jun 19 / Jun 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490,270</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467,942</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473,889</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-3.3%</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981,187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941,830</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Provision for loan losses, net of recoveries</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-102,861</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-90,492</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-105,550</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16.6%</w:t>
            </w:r>
          </w:p>
        </w:tc>
        <w:tc>
          <w:tcPr>
            <w:tcW w:w="2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-181,813</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-196,042</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 after provisions</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387,409</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377,449</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368,339</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-2.4%</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-4.9%</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799,373</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745,788</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Non-financial income</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60,365</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45,011</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43,129</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w:t>
            </w:r>
          </w:p>
        </w:tc>
        <w:tc>
          <w:tcPr>
            <w:tcW w:w="2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-28.6%</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84,197</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88,140</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-270,950</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-280,396</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-273,032</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0.8%</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-528,423</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-553,428</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Translation result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-51,168</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-40,155</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-39,294</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-23.2%</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-99,857</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-79,449</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125,655</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101,910</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99,142</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-2.7%</w:t>
            </w:r>
          </w:p>
        </w:tc>
        <w:tc>
          <w:tcPr>
            <w:tcW w:w="2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-21.1%</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255,291</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201,052</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Efficiency ratio</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49.0%</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54.8%</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53.1%</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-169</w:t>
            </w: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410</w:t>
            </w:r>
          </w:p>
        </w:tc>
        <w:tc>
          <w:tcPr>
            <w:tcW w:w="2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49.3%</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54.1%</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ROAE</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29.1%</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21.3%</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-129</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20.4%</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ROAE incl. goowdill</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26.4%</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19.8%</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18.6%</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w:t>
            </w: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-776</w:t>
            </w:r>
          </w:p>
        </w:tc>
        <w:tc>
          <w:tcPr>
            <w:tcW w:w="2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26.8%</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19.1%</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L/D ratio</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124.6%</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121.0%</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IOL ratio</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NPL ratio</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Coverage of IOLs</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168.6%</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168.5%</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165.8%</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-271</w:t>
            </w: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-283</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Coverage of NPLs</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136.0%</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138.2%</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136.7%</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-142</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line="189" w:lineRule="exact"/>
              <w:rPr>
                <w:sz w:val="20"/>
                <w:szCs w:val="20"/>
                <w:color w:val="auto"/>
              </w:rPr>
            </w:pPr>
            <w:r>
              <w:rPr>
                <w:rFonts w:ascii="Arial" w:cs="Arial" w:eastAsia="Arial" w:hAnsi="Arial"/>
                <w:sz w:val="13"/>
                <w:szCs w:val="13"/>
                <w:color w:val="auto"/>
              </w:rPr>
              <w:t xml:space="preserve">Branches </w:t>
            </w:r>
            <w:r>
              <w:rPr>
                <w:rFonts w:ascii="Arial" w:cs="Arial" w:eastAsia="Arial" w:hAnsi="Arial"/>
                <w:sz w:val="21"/>
                <w:szCs w:val="21"/>
                <w:color w:val="auto"/>
                <w:vertAlign w:val="superscript"/>
              </w:rPr>
              <w:t>(1)</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327</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324</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324</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Employees</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10,165</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10,699</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11,545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1,380</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-5547995</wp:posOffset>
            </wp:positionV>
            <wp:extent cx="190373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03730" cy="13716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-5273675</wp:posOffset>
            </wp:positionV>
            <wp:extent cx="190373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03730" cy="13716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-4999355</wp:posOffset>
            </wp:positionV>
            <wp:extent cx="190373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03730" cy="13716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-4724400</wp:posOffset>
            </wp:positionV>
            <wp:extent cx="190373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03730" cy="13716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-4450080</wp:posOffset>
            </wp:positionV>
            <wp:extent cx="190373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03730" cy="13716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-4175760</wp:posOffset>
            </wp:positionV>
            <wp:extent cx="190373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03730" cy="13716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-3901440</wp:posOffset>
            </wp:positionV>
            <wp:extent cx="190373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03730" cy="13716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-3627120</wp:posOffset>
            </wp:positionV>
            <wp:extent cx="190373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03730" cy="13716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-3352800</wp:posOffset>
            </wp:positionV>
            <wp:extent cx="190373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03730" cy="13716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-3077845</wp:posOffset>
            </wp:positionV>
            <wp:extent cx="190373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03730" cy="13716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-2803525</wp:posOffset>
            </wp:positionV>
            <wp:extent cx="190373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03730" cy="13716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-2529205</wp:posOffset>
            </wp:positionV>
            <wp:extent cx="190373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03730" cy="1371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(1) Includes Banco de la Nacion branches, which in June 18 were 38, in March 19 were 35 and in June 19 were 35.</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11.4. BCP Bolivia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BOLIVIA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Jun 18</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Mar 19</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Jun 19</w:t>
            </w:r>
          </w:p>
        </w:tc>
        <w:tc>
          <w:tcPr>
            <w:tcW w:w="1240" w:type="dxa"/>
            <w:vAlign w:val="bottom"/>
            <w:gridSpan w:val="3"/>
          </w:tcPr>
          <w:p>
            <w:pPr>
              <w:ind w:left="240"/>
              <w:spacing w:after="0"/>
              <w:rPr>
                <w:sz w:val="20"/>
                <w:szCs w:val="20"/>
                <w:color w:val="auto"/>
              </w:rPr>
            </w:pPr>
            <w:r>
              <w:rPr>
                <w:rFonts w:ascii="Arial" w:cs="Arial" w:eastAsia="Arial" w:hAnsi="Arial"/>
                <w:sz w:val="14"/>
                <w:szCs w:val="14"/>
                <w:b w:val="1"/>
                <w:bCs w:val="1"/>
                <w:color w:val="auto"/>
              </w:rPr>
              <w:t>QoQ</w:t>
            </w:r>
          </w:p>
        </w:tc>
        <w:tc>
          <w:tcPr>
            <w:tcW w:w="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YoY</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1,437,539</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1,170,662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1,437,175</w:t>
            </w:r>
          </w:p>
        </w:tc>
        <w:tc>
          <w:tcPr>
            <w:tcW w:w="24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22.8%</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1,304,908</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1,467,974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1,214,420</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-17.3%</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b w:val="1"/>
                <w:bCs w:val="1"/>
                <w:color w:val="auto"/>
              </w:rPr>
              <w:t>Total loans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6,836,296</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7,275,812</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7,277,055</w:t>
            </w: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0.0%</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6.4%</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Current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6,685,572</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7,095,956</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7,115,507</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0.3%</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Internal overdue loans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127,607</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155,155</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139,487</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Refinanced</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23,117</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24,701</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22,061</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Allowance for loan losses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-220,997</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-235,077</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-231,814</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loans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6,615,299</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7,040,735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7,045,241</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0.1%</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6.5%</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76,561</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45,074</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45,862</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-40.1%</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90,140</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123,197</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101,709</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-17.4%</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12.8%</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420"/>
              <w:spacing w:after="0" w:line="149" w:lineRule="exact"/>
              <w:rPr>
                <w:sz w:val="20"/>
                <w:szCs w:val="20"/>
                <w:color w:val="auto"/>
              </w:rPr>
            </w:pPr>
            <w:r>
              <w:rPr>
                <w:rFonts w:ascii="Arial" w:cs="Arial" w:eastAsia="Arial" w:hAnsi="Arial"/>
                <w:sz w:val="14"/>
                <w:szCs w:val="14"/>
                <w:b w:val="1"/>
                <w:bCs w:val="1"/>
                <w:color w:val="auto"/>
              </w:rPr>
              <w:t>Total assets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9,524,447</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9,847,642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9,844,408</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0.0%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3.4%</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NET SHAREHOLDERS' EQUITY</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8,511,654</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8,728,073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8,589,045</w:t>
            </w:r>
          </w:p>
        </w:tc>
        <w:tc>
          <w:tcPr>
            <w:tcW w:w="24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30,156</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29,034</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27,151</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Bonds and subordinated debt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102,337</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103,559</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102,966</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-0.6%</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0.6%</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247,139</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320,461</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434,668</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75.9%</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320"/>
              <w:spacing w:after="0" w:line="149" w:lineRule="exact"/>
              <w:rPr>
                <w:sz w:val="20"/>
                <w:szCs w:val="20"/>
                <w:color w:val="auto"/>
              </w:rPr>
            </w:pPr>
            <w:r>
              <w:rPr>
                <w:rFonts w:ascii="Arial" w:cs="Arial" w:eastAsia="Arial" w:hAnsi="Arial"/>
                <w:sz w:val="14"/>
                <w:szCs w:val="14"/>
                <w:b w:val="1"/>
                <w:bCs w:val="1"/>
                <w:color w:val="auto"/>
              </w:rPr>
              <w:t>Total liabilities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8,891,285</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9,181,126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9,153,830</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-0.3%</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3.0%</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equity</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633,162</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666,516</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690,579</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9.1%</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80" w:type="dxa"/>
            <w:vAlign w:val="bottom"/>
          </w:tcPr>
          <w:p>
            <w:pPr>
              <w:spacing w:after="0" w:line="126" w:lineRule="exact"/>
              <w:rPr>
                <w:sz w:val="20"/>
                <w:szCs w:val="20"/>
                <w:color w:val="auto"/>
              </w:rPr>
            </w:pPr>
            <w:r>
              <w:rPr>
                <w:rFonts w:ascii="Arial" w:cs="Arial" w:eastAsia="Arial" w:hAnsi="Arial"/>
                <w:sz w:val="14"/>
                <w:szCs w:val="14"/>
                <w:b w:val="1"/>
                <w:bCs w:val="1"/>
                <w:color w:val="auto"/>
              </w:rPr>
              <w:t>TOTAL LIABILITIES AND NET SHAREHOLDERS'</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9,524,447</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9,847,642</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9,844,408</w:t>
            </w:r>
          </w:p>
        </w:tc>
        <w:tc>
          <w:tcPr>
            <w:tcW w:w="240" w:type="dxa"/>
            <w:vAlign w:val="bottom"/>
          </w:tcPr>
          <w:p>
            <w:pPr>
              <w:spacing w:after="0"/>
              <w:rPr>
                <w:sz w:val="10"/>
                <w:szCs w:val="10"/>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0.0%</w:t>
            </w:r>
          </w:p>
        </w:tc>
        <w:tc>
          <w:tcPr>
            <w:tcW w:w="22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3.4%</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EQUITY</w:t>
            </w:r>
          </w:p>
        </w:tc>
        <w:tc>
          <w:tcPr>
            <w:tcW w:w="9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Quarter</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3"/>
          </w:tcPr>
          <w:p>
            <w:pPr>
              <w:ind w:left="640"/>
              <w:spacing w:after="0"/>
              <w:rPr>
                <w:sz w:val="20"/>
                <w:szCs w:val="20"/>
                <w:color w:val="auto"/>
              </w:rPr>
            </w:pPr>
            <w:r>
              <w:rPr>
                <w:rFonts w:ascii="Arial" w:cs="Arial" w:eastAsia="Arial" w:hAnsi="Arial"/>
                <w:sz w:val="14"/>
                <w:szCs w:val="14"/>
                <w:b w:val="1"/>
                <w:bCs w:val="1"/>
                <w:color w:val="auto"/>
              </w:rPr>
              <w:t>YTD</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2Q18</w:t>
            </w: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1Q19</w:t>
            </w: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2Q19</w:t>
            </w:r>
          </w:p>
        </w:tc>
        <w:tc>
          <w:tcPr>
            <w:tcW w:w="2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Jun 18</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9"/>
              </w:rPr>
              <w:t>Jun 19</w:t>
            </w:r>
          </w:p>
        </w:tc>
        <w:tc>
          <w:tcPr>
            <w:tcW w:w="2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Jun 19 / Jun 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73,589</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77,694</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81,048</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4.3%</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10.1%</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144,376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158,742</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Provision for loan losses, net of recoveries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-5,072</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-14,560</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-13,459</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165.4%</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-19,944</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-28,019</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 after provisions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68,517</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63,134</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67,589</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7.1%</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-1.4%</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124,431</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130,723</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Non-financial income</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34,833</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29,012</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30,232</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-13.2%</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70,070</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59,244</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-69,929</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-72,995</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-60,149</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-132,772</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-133,145</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Translation result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-54</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-91.5%</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-98.9%</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-156</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-11,823</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-6,505</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-10,864</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-21,549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-17,369</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21,544</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12,640</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26,807</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112.1%</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24.4%</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40,024</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39,446</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Efficiency ratio</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65.0%</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61.8%</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61.7%</w:t>
            </w:r>
          </w:p>
        </w:tc>
        <w:tc>
          <w:tcPr>
            <w:tcW w:w="12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-14 pbs</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-336 pbs</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63.8%</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61.7%</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-210 pbs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ROAE</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15.8%</w:t>
            </w:r>
          </w:p>
        </w:tc>
        <w:tc>
          <w:tcPr>
            <w:tcW w:w="12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835 pbs</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195 pbs</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11.4%</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L/D ratio</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80.3%</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83.4%</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84.7%</w:t>
            </w:r>
          </w:p>
        </w:tc>
        <w:tc>
          <w:tcPr>
            <w:tcW w:w="12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136 pbs</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440 pbs</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IOL ratio</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1.87%</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2.13%</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1.92%</w:t>
            </w:r>
          </w:p>
        </w:tc>
        <w:tc>
          <w:tcPr>
            <w:tcW w:w="12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-21 pbs</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 pbs</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NPL ratio</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2.20%</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2.47%</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2.22%</w:t>
            </w:r>
          </w:p>
        </w:tc>
        <w:tc>
          <w:tcPr>
            <w:tcW w:w="12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-2 pbs</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 pbs</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Coverage of IOLs</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173.2%</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151.5%</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166.2%</w:t>
            </w:r>
          </w:p>
        </w:tc>
        <w:tc>
          <w:tcPr>
            <w:tcW w:w="12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1468 pbs</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-700 pbs</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Coverage of NPLs</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146.6%</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130.7%</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143.5%</w:t>
            </w:r>
          </w:p>
        </w:tc>
        <w:tc>
          <w:tcPr>
            <w:tcW w:w="12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1280 pbs</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-312 pbs</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Branches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54</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Agentes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289</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388</w:t>
            </w:r>
          </w:p>
        </w:tc>
        <w:tc>
          <w:tcPr>
            <w:tcW w:w="24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ATMs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274</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80" w:type="dxa"/>
            <w:vAlign w:val="bottom"/>
          </w:tcPr>
          <w:p>
            <w:pPr>
              <w:spacing w:after="0"/>
              <w:rPr>
                <w:sz w:val="20"/>
                <w:szCs w:val="20"/>
                <w:color w:val="auto"/>
              </w:rPr>
            </w:pPr>
            <w:r>
              <w:rPr>
                <w:rFonts w:ascii="Arial" w:cs="Arial" w:eastAsia="Arial" w:hAnsi="Arial"/>
                <w:sz w:val="14"/>
                <w:szCs w:val="14"/>
                <w:color w:val="auto"/>
              </w:rPr>
              <w:t>Employees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1,726</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1,663</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1,713</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50</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-4574540</wp:posOffset>
            </wp:positionV>
            <wp:extent cx="1903730" cy="1028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03730" cy="10287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-4377055</wp:posOffset>
            </wp:positionV>
            <wp:extent cx="1903730" cy="946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03730" cy="9461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-4188460</wp:posOffset>
            </wp:positionV>
            <wp:extent cx="1903730" cy="946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03730" cy="9461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-3999865</wp:posOffset>
            </wp:positionV>
            <wp:extent cx="1903730" cy="946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03730" cy="9461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-3811270</wp:posOffset>
            </wp:positionV>
            <wp:extent cx="1903730" cy="946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03730" cy="9461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-3622675</wp:posOffset>
            </wp:positionV>
            <wp:extent cx="1903730" cy="946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03730" cy="9461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-3434080</wp:posOffset>
            </wp:positionV>
            <wp:extent cx="1903730" cy="946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903730" cy="9461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-3245485</wp:posOffset>
            </wp:positionV>
            <wp:extent cx="1903730" cy="946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03730" cy="9461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-3056890</wp:posOffset>
            </wp:positionV>
            <wp:extent cx="1903730" cy="946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03730" cy="9461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-2867660</wp:posOffset>
            </wp:positionV>
            <wp:extent cx="1903730" cy="946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903730" cy="9461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-2679065</wp:posOffset>
            </wp:positionV>
            <wp:extent cx="1903730" cy="946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03730" cy="9461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-2490470</wp:posOffset>
            </wp:positionV>
            <wp:extent cx="1903730" cy="2832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03730" cy="28321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(1) Figures differ from previously reported, please consider the data presented on this report.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11.5. Credicorp Capital</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Credicorp Capital</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Quarter</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 change</w:t>
            </w:r>
          </w:p>
        </w:tc>
        <w:tc>
          <w:tcPr>
            <w:tcW w:w="1040" w:type="dxa"/>
            <w:vAlign w:val="bottom"/>
            <w:gridSpan w:val="3"/>
          </w:tcPr>
          <w:p>
            <w:pPr>
              <w:ind w:left="660"/>
              <w:spacing w:after="0"/>
              <w:rPr>
                <w:sz w:val="20"/>
                <w:szCs w:val="20"/>
                <w:color w:val="auto"/>
              </w:rPr>
            </w:pPr>
            <w:r>
              <w:rPr>
                <w:rFonts w:ascii="Arial" w:cs="Arial" w:eastAsia="Arial" w:hAnsi="Arial"/>
                <w:sz w:val="18"/>
                <w:szCs w:val="18"/>
                <w:b w:val="1"/>
                <w:bCs w:val="1"/>
                <w:color w:val="auto"/>
                <w:w w:val="99"/>
              </w:rPr>
              <w:t>YTD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2Q18</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1Q19</w:t>
            </w:r>
          </w:p>
        </w:tc>
        <w:tc>
          <w:tcPr>
            <w:tcW w:w="1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2Q19</w:t>
            </w: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Jun 18</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Jun 19</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Jun 19 / Jun 18</w:t>
            </w:r>
          </w:p>
        </w:tc>
        <w:tc>
          <w:tcPr>
            <w:tcW w:w="180" w:type="dxa"/>
            <w:vAlign w:val="bottom"/>
            <w:tcBorders>
              <w:bottom w:val="single" w:sz="8" w:color="CCEEFF"/>
            </w:tcBorders>
          </w:tcPr>
          <w:p>
            <w:pPr>
              <w:spacing w:after="0"/>
              <w:rPr>
                <w:sz w:val="20"/>
                <w:szCs w:val="20"/>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-31.7%</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Non-financial income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142,357</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151,689</w:t>
            </w:r>
          </w:p>
        </w:tc>
        <w:tc>
          <w:tcPr>
            <w:tcW w:w="760" w:type="dxa"/>
            <w:vAlign w:val="bottom"/>
          </w:tcPr>
          <w:p>
            <w:pPr>
              <w:jc w:val="right"/>
              <w:spacing w:after="0"/>
              <w:rPr>
                <w:sz w:val="20"/>
                <w:szCs w:val="20"/>
                <w:color w:val="auto"/>
              </w:rPr>
            </w:pPr>
            <w:r>
              <w:rPr>
                <w:rFonts w:ascii="Arial" w:cs="Arial" w:eastAsia="Arial" w:hAnsi="Arial"/>
                <w:sz w:val="18"/>
                <w:szCs w:val="18"/>
                <w:color w:val="auto"/>
              </w:rPr>
              <w:t>139,041</w:t>
            </w:r>
          </w:p>
        </w:tc>
        <w:tc>
          <w:tcPr>
            <w:tcW w:w="18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-8.3%</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-2.3%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291,899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290,730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102,284</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94,650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90,644</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204,243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185,294</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3500" w:type="dxa"/>
            <w:vAlign w:val="bottom"/>
            <w:gridSpan w:val="2"/>
          </w:tcPr>
          <w:p>
            <w:pPr>
              <w:ind w:left="180"/>
              <w:spacing w:after="0"/>
              <w:rPr>
                <w:sz w:val="20"/>
                <w:szCs w:val="20"/>
                <w:color w:val="auto"/>
              </w:rPr>
            </w:pPr>
            <w:r>
              <w:rPr>
                <w:rFonts w:ascii="Arial" w:cs="Arial" w:eastAsia="Arial" w:hAnsi="Arial"/>
                <w:sz w:val="18"/>
                <w:szCs w:val="18"/>
                <w:color w:val="auto"/>
                <w:w w:val="97"/>
              </w:rPr>
              <w:t>Net gain on foreign exchange transactions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9,576</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10,125</w:t>
            </w:r>
          </w:p>
        </w:tc>
        <w:tc>
          <w:tcPr>
            <w:tcW w:w="760" w:type="dxa"/>
            <w:vAlign w:val="bottom"/>
          </w:tcPr>
          <w:p>
            <w:pPr>
              <w:jc w:val="right"/>
              <w:spacing w:after="0"/>
              <w:rPr>
                <w:sz w:val="20"/>
                <w:szCs w:val="20"/>
                <w:color w:val="auto"/>
              </w:rPr>
            </w:pPr>
            <w:r>
              <w:rPr>
                <w:rFonts w:ascii="Arial" w:cs="Arial" w:eastAsia="Arial" w:hAnsi="Arial"/>
                <w:sz w:val="18"/>
                <w:szCs w:val="18"/>
                <w:color w:val="auto"/>
              </w:rPr>
              <w:t>9,041</w:t>
            </w:r>
          </w:p>
        </w:tc>
        <w:tc>
          <w:tcPr>
            <w:tcW w:w="18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-10.7%</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-5.6%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15,354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19,166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 on sales of securities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23,404</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50,485</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47,452</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102.8%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57,302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97,937</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16"/>
        </w:trPr>
        <w:tc>
          <w:tcPr>
            <w:tcW w:w="3500" w:type="dxa"/>
            <w:vAlign w:val="bottom"/>
            <w:gridSpan w:val="2"/>
          </w:tcPr>
          <w:p>
            <w:pPr>
              <w:ind w:left="180"/>
              <w:spacing w:after="0"/>
              <w:rPr>
                <w:sz w:val="20"/>
                <w:szCs w:val="20"/>
                <w:color w:val="auto"/>
              </w:rPr>
            </w:pPr>
            <w:r>
              <w:rPr>
                <w:rFonts w:ascii="Arial" w:cs="Arial" w:eastAsia="Arial" w:hAnsi="Arial"/>
                <w:sz w:val="18"/>
                <w:szCs w:val="18"/>
                <w:color w:val="auto"/>
              </w:rPr>
              <w:t>Derivative Result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8,886</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-15,470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-13,806</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-10.8%</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-255.4%</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11,423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-29,276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-356.3%</w:t>
            </w:r>
          </w:p>
        </w:tc>
      </w:tr>
      <w:tr>
        <w:trPr>
          <w:trHeight w:val="21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Result from exposure to the exchange rate</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-6,289</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-163.7%</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-82.9%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-6,515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16"/>
        </w:trPr>
        <w:tc>
          <w:tcPr>
            <w:tcW w:w="3500" w:type="dxa"/>
            <w:vAlign w:val="bottom"/>
            <w:gridSpan w:val="2"/>
          </w:tcPr>
          <w:p>
            <w:pPr>
              <w:ind w:left="180"/>
              <w:spacing w:after="0"/>
              <w:rPr>
                <w:sz w:val="20"/>
                <w:szCs w:val="20"/>
                <w:color w:val="auto"/>
              </w:rPr>
            </w:pPr>
            <w:r>
              <w:rPr>
                <w:rFonts w:ascii="Arial" w:cs="Arial" w:eastAsia="Arial" w:hAnsi="Arial"/>
                <w:sz w:val="18"/>
                <w:szCs w:val="18"/>
                <w:color w:val="auto"/>
              </w:rPr>
              <w:t>Other income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4,496</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10,211</w:t>
            </w:r>
          </w:p>
        </w:tc>
        <w:tc>
          <w:tcPr>
            <w:tcW w:w="760" w:type="dxa"/>
            <w:vAlign w:val="bottom"/>
          </w:tcPr>
          <w:p>
            <w:pPr>
              <w:jc w:val="right"/>
              <w:spacing w:after="0"/>
              <w:rPr>
                <w:sz w:val="20"/>
                <w:szCs w:val="20"/>
                <w:color w:val="auto"/>
              </w:rPr>
            </w:pPr>
            <w:r>
              <w:rPr>
                <w:rFonts w:ascii="Arial" w:cs="Arial" w:eastAsia="Arial" w:hAnsi="Arial"/>
                <w:sz w:val="18"/>
                <w:szCs w:val="18"/>
                <w:color w:val="auto"/>
              </w:rPr>
              <w:t>6,785</w:t>
            </w:r>
          </w:p>
        </w:tc>
        <w:tc>
          <w:tcPr>
            <w:tcW w:w="18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-33.6%</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50.9%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10,092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16,996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68.4%</w:t>
            </w:r>
          </w:p>
        </w:tc>
      </w:tr>
      <w:tr>
        <w:trPr>
          <w:trHeight w:val="270"/>
        </w:trPr>
        <w:tc>
          <w:tcPr>
            <w:tcW w:w="350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30"/>
                <w:szCs w:val="30"/>
                <w:color w:val="auto"/>
                <w:vertAlign w:val="superscript"/>
              </w:rPr>
              <w:t>(1)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-112,857</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-122,277</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-118,246</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-225,639</w:t>
            </w: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-240,523</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0"/>
        </w:trPr>
        <w:tc>
          <w:tcPr>
            <w:tcW w:w="3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18,504</w:t>
            </w:r>
          </w:p>
        </w:tc>
        <w:tc>
          <w:tcPr>
            <w:tcW w:w="2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20,321</w:t>
            </w: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14,589</w:t>
            </w:r>
          </w:p>
        </w:tc>
        <w:tc>
          <w:tcPr>
            <w:tcW w:w="18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45,283</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34,910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-28.5%</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-52.6%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70"/>
        </w:trPr>
        <w:tc>
          <w:tcPr>
            <w:tcW w:w="350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30"/>
                <w:szCs w:val="30"/>
                <w:color w:val="auto"/>
                <w:vertAlign w:val="superscript"/>
              </w:rPr>
              <w:t>(2)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-211</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-152</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-372</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144.7%</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76.3%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16.2%</w:t>
            </w:r>
          </w:p>
        </w:tc>
      </w:tr>
      <w:tr>
        <w:trPr>
          <w:trHeight w:val="210"/>
        </w:trPr>
        <w:tc>
          <w:tcPr>
            <w:tcW w:w="3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11,129</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15,419</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10,823</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32,203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26,242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Unaudited results.</w:t>
      </w:r>
    </w:p>
    <w:p>
      <w:pPr>
        <w:spacing w:after="0" w:line="23" w:lineRule="exact"/>
        <w:rPr>
          <w:sz w:val="20"/>
          <w:szCs w:val="20"/>
          <w:color w:val="auto"/>
        </w:rPr>
      </w:pPr>
    </w:p>
    <w:p>
      <w:pPr>
        <w:ind w:firstLine="8"/>
        <w:spacing w:after="0" w:line="250" w:lineRule="auto"/>
        <w:tabs>
          <w:tab w:leader="none" w:pos="272"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Salaries and employees benefits + Administrative expenses + Assigned expenses + Depreciation and amortization + Tax and contributions + Other expenses.</w:t>
      </w:r>
    </w:p>
    <w:p>
      <w:pPr>
        <w:ind w:left="260" w:hanging="252"/>
        <w:spacing w:after="0"/>
        <w:tabs>
          <w:tab w:leader="none" w:pos="2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Since 4Q17 Credicorp Capital Holding Colombia and Credicorp Capital Holding Chile have 100% percentage of Correval and IM Trust, respectively.</w:t>
      </w:r>
    </w:p>
    <w:p>
      <w:pPr>
        <w:spacing w:after="0" w:line="200" w:lineRule="exact"/>
        <w:rPr>
          <w:sz w:val="20"/>
          <w:szCs w:val="20"/>
          <w:color w:val="auto"/>
        </w:rPr>
      </w:pPr>
    </w:p>
    <w:p>
      <w:pPr>
        <w:spacing w:after="0" w:line="23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11.6. Atlantic Security Bank</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ASB</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Quarter</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ind w:left="640"/>
              <w:spacing w:after="0"/>
              <w:rPr>
                <w:sz w:val="20"/>
                <w:szCs w:val="20"/>
                <w:color w:val="auto"/>
              </w:rPr>
            </w:pPr>
            <w:r>
              <w:rPr>
                <w:rFonts w:ascii="Arial" w:cs="Arial" w:eastAsia="Arial" w:hAnsi="Arial"/>
                <w:sz w:val="18"/>
                <w:szCs w:val="18"/>
                <w:b w:val="1"/>
                <w:bCs w:val="1"/>
                <w:color w:val="auto"/>
                <w:w w:val="90"/>
              </w:rPr>
              <w:t>% change</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Millions</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2Q18</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1Q19</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2Q19</w:t>
            </w:r>
          </w:p>
        </w:tc>
        <w:tc>
          <w:tcPr>
            <w:tcW w:w="1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880" w:type="dxa"/>
            <w:vAlign w:val="bottom"/>
          </w:tcPr>
          <w:p>
            <w:pPr>
              <w:jc w:val="right"/>
              <w:spacing w:after="0"/>
              <w:rPr>
                <w:sz w:val="20"/>
                <w:szCs w:val="20"/>
                <w:color w:val="auto"/>
              </w:rPr>
            </w:pPr>
            <w:r>
              <w:rPr>
                <w:rFonts w:ascii="Arial" w:cs="Arial" w:eastAsia="Arial" w:hAnsi="Arial"/>
                <w:sz w:val="18"/>
                <w:szCs w:val="18"/>
                <w:color w:val="auto"/>
              </w:rPr>
              <w:t>968.7</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899.7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808.4</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880" w:type="dxa"/>
            <w:vAlign w:val="bottom"/>
          </w:tcPr>
          <w:p>
            <w:pPr>
              <w:jc w:val="right"/>
              <w:spacing w:after="0"/>
              <w:rPr>
                <w:sz w:val="20"/>
                <w:szCs w:val="20"/>
                <w:color w:val="auto"/>
              </w:rPr>
            </w:pPr>
            <w:r>
              <w:rPr>
                <w:rFonts w:ascii="Arial" w:cs="Arial" w:eastAsia="Arial" w:hAnsi="Arial"/>
                <w:sz w:val="18"/>
                <w:szCs w:val="18"/>
                <w:color w:val="auto"/>
              </w:rPr>
              <w:t>1,590.3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1,258.3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1,267.4</w:t>
            </w:r>
          </w:p>
        </w:tc>
        <w:tc>
          <w:tcPr>
            <w:tcW w:w="16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248.4</w:t>
            </w: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10"/>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426"/>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7"/>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Quarter</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ind w:left="640"/>
              <w:spacing w:after="0"/>
              <w:rPr>
                <w:sz w:val="20"/>
                <w:szCs w:val="20"/>
                <w:color w:val="auto"/>
              </w:rPr>
            </w:pPr>
            <w:r>
              <w:rPr>
                <w:rFonts w:ascii="Arial" w:cs="Arial" w:eastAsia="Arial" w:hAnsi="Arial"/>
                <w:sz w:val="18"/>
                <w:szCs w:val="18"/>
                <w:b w:val="1"/>
                <w:bCs w:val="1"/>
                <w:color w:val="auto"/>
                <w:w w:val="90"/>
              </w:rPr>
              <w:t>% change</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2Q18</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1Q19</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2Q19</w:t>
            </w:r>
          </w:p>
        </w:tc>
        <w:tc>
          <w:tcPr>
            <w:tcW w:w="1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Due from banks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765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732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736</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762</w:t>
            </w: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10"/>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1,997</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1,670</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1,640</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Excludes investments in equities and mutual funds.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ind w:left="640"/>
              <w:spacing w:after="0"/>
              <w:rPr>
                <w:sz w:val="20"/>
                <w:szCs w:val="20"/>
                <w:color w:val="auto"/>
              </w:rPr>
            </w:pPr>
            <w:r>
              <w:rPr>
                <w:rFonts w:ascii="Arial" w:cs="Arial" w:eastAsia="Arial" w:hAnsi="Arial"/>
                <w:sz w:val="18"/>
                <w:szCs w:val="18"/>
                <w:b w:val="1"/>
                <w:bCs w:val="1"/>
                <w:color w:val="auto"/>
                <w:w w:val="90"/>
              </w:rPr>
              <w:t>% change</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2Q18</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1Q19</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2Q19</w:t>
            </w:r>
          </w:p>
        </w:tc>
        <w:tc>
          <w:tcPr>
            <w:tcW w:w="1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Borrowed Funds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-32.3%</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191.8%</w:t>
            </w:r>
          </w:p>
        </w:tc>
      </w:tr>
      <w:tr>
        <w:trPr>
          <w:trHeight w:val="210"/>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1,848</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1,754</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1,672</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jc w:val="center"/>
        <w:ind w:right="1200"/>
        <w:spacing w:after="0"/>
        <w:rPr>
          <w:sz w:val="20"/>
          <w:szCs w:val="20"/>
          <w:color w:val="auto"/>
        </w:rPr>
      </w:pPr>
      <w:r>
        <w:rPr>
          <w:rFonts w:ascii="Arial" w:cs="Arial" w:eastAsia="Arial" w:hAnsi="Arial"/>
          <w:sz w:val="15"/>
          <w:szCs w:val="15"/>
          <w:b w:val="1"/>
          <w:bCs w:val="1"/>
          <w:color w:val="auto"/>
        </w:rPr>
        <w:t>Assets under management and Deposits</w:t>
      </w:r>
    </w:p>
    <w:p>
      <w:pPr>
        <w:spacing w:after="0" w:line="6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967105</wp:posOffset>
            </wp:positionH>
            <wp:positionV relativeFrom="paragraph">
              <wp:posOffset>142875</wp:posOffset>
            </wp:positionV>
            <wp:extent cx="3807460" cy="25901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0746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Portfolio distribution as of June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154305</wp:posOffset>
            </wp:positionV>
            <wp:extent cx="3944620" cy="21355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94462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11.7. Grupo Pacifico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GRUPO PACIFICO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in thousands )</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3"/>
          </w:tcPr>
          <w:p>
            <w:pPr>
              <w:ind w:left="560"/>
              <w:spacing w:after="0"/>
              <w:rPr>
                <w:sz w:val="20"/>
                <w:szCs w:val="20"/>
                <w:color w:val="auto"/>
              </w:rPr>
            </w:pPr>
            <w:r>
              <w:rPr>
                <w:rFonts w:ascii="Arial" w:cs="Arial" w:eastAsia="Arial" w:hAnsi="Arial"/>
                <w:sz w:val="14"/>
                <w:szCs w:val="14"/>
                <w:b w:val="1"/>
                <w:bCs w:val="1"/>
                <w:color w:val="auto"/>
                <w:w w:val="94"/>
              </w:rPr>
              <w:t>% change</w:t>
            </w:r>
          </w:p>
        </w:tc>
        <w:tc>
          <w:tcPr>
            <w:tcW w:w="5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01"/>
        </w:trPr>
        <w:tc>
          <w:tcPr>
            <w:tcW w:w="3420" w:type="dxa"/>
            <w:vAlign w:val="bottom"/>
          </w:tcPr>
          <w:p>
            <w:pPr>
              <w:spacing w:after="0"/>
              <w:rPr>
                <w:sz w:val="17"/>
                <w:szCs w:val="17"/>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 18</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 19</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 19</w:t>
            </w:r>
          </w:p>
        </w:tc>
        <w:tc>
          <w:tcPr>
            <w:tcW w:w="1200" w:type="dxa"/>
            <w:vAlign w:val="bottom"/>
            <w:gridSpan w:val="3"/>
          </w:tcPr>
          <w:p>
            <w:pPr>
              <w:ind w:left="220"/>
              <w:spacing w:after="0"/>
              <w:rPr>
                <w:sz w:val="20"/>
                <w:szCs w:val="20"/>
                <w:color w:val="auto"/>
              </w:rPr>
            </w:pPr>
            <w:r>
              <w:rPr>
                <w:rFonts w:ascii="Arial" w:cs="Arial" w:eastAsia="Arial" w:hAnsi="Arial"/>
                <w:sz w:val="14"/>
                <w:szCs w:val="14"/>
                <w:b w:val="1"/>
                <w:bCs w:val="1"/>
                <w:color w:val="auto"/>
              </w:rPr>
              <w:t>QoQ</w:t>
            </w:r>
          </w:p>
        </w:tc>
        <w:tc>
          <w:tcPr>
            <w:tcW w:w="3760" w:type="dxa"/>
            <w:vAlign w:val="bottom"/>
            <w:gridSpan w:val="2"/>
          </w:tcPr>
          <w:p>
            <w:pPr>
              <w:jc w:val="right"/>
              <w:ind w:right="3460"/>
              <w:spacing w:after="0"/>
              <w:rPr>
                <w:sz w:val="20"/>
                <w:szCs w:val="20"/>
                <w:color w:val="auto"/>
              </w:rPr>
            </w:pPr>
            <w:r>
              <w:rPr>
                <w:rFonts w:ascii="Arial" w:cs="Arial" w:eastAsia="Arial" w:hAnsi="Arial"/>
                <w:sz w:val="14"/>
                <w:szCs w:val="14"/>
                <w:b w:val="1"/>
                <w:bCs w:val="1"/>
                <w:color w:val="auto"/>
              </w:rPr>
              <w:t>YoY</w:t>
            </w:r>
          </w:p>
        </w:tc>
      </w:tr>
      <w:tr>
        <w:trPr>
          <w:trHeight w:val="196"/>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w:t>
            </w: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20" w:type="dxa"/>
            <w:vAlign w:val="bottom"/>
            <w:tcBorders>
              <w:top w:val="single" w:sz="8" w:color="CCEEFF"/>
            </w:tcBorders>
            <w:shd w:val="clear" w:color="auto" w:fill="CCEEFF"/>
          </w:tcPr>
          <w:p>
            <w:pPr>
              <w:spacing w:after="0"/>
              <w:rPr>
                <w:sz w:val="17"/>
                <w:szCs w:val="17"/>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4"/>
                <w:szCs w:val="14"/>
                <w:color w:val="auto"/>
              </w:rPr>
              <w:t>Total assets</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11,491,618</w:t>
            </w:r>
          </w:p>
        </w:tc>
        <w:tc>
          <w:tcPr>
            <w:tcW w:w="760" w:type="dxa"/>
            <w:vAlign w:val="bottom"/>
          </w:tcPr>
          <w:p>
            <w:pPr>
              <w:jc w:val="right"/>
              <w:spacing w:after="0"/>
              <w:rPr>
                <w:sz w:val="20"/>
                <w:szCs w:val="20"/>
                <w:color w:val="auto"/>
              </w:rPr>
            </w:pPr>
            <w:r>
              <w:rPr>
                <w:rFonts w:ascii="Arial" w:cs="Arial" w:eastAsia="Arial" w:hAnsi="Arial"/>
                <w:sz w:val="14"/>
                <w:szCs w:val="14"/>
                <w:color w:val="auto"/>
              </w:rPr>
              <w:t>12,695,204</w:t>
            </w:r>
          </w:p>
        </w:tc>
        <w:tc>
          <w:tcPr>
            <w:tcW w:w="2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13,154,757</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3.6%</w:t>
            </w:r>
          </w:p>
        </w:tc>
        <w:tc>
          <w:tcPr>
            <w:tcW w:w="220" w:type="dxa"/>
            <w:vAlign w:val="bottom"/>
          </w:tcPr>
          <w:p>
            <w:pPr>
              <w:spacing w:after="0"/>
              <w:rPr>
                <w:sz w:val="18"/>
                <w:szCs w:val="18"/>
                <w:color w:val="auto"/>
              </w:rPr>
            </w:pPr>
          </w:p>
        </w:tc>
        <w:tc>
          <w:tcPr>
            <w:tcW w:w="3760" w:type="dxa"/>
            <w:vAlign w:val="bottom"/>
            <w:gridSpan w:val="2"/>
          </w:tcPr>
          <w:p>
            <w:pPr>
              <w:jc w:val="right"/>
              <w:ind w:right="3100"/>
              <w:spacing w:after="0"/>
              <w:rPr>
                <w:sz w:val="20"/>
                <w:szCs w:val="20"/>
                <w:color w:val="auto"/>
              </w:rPr>
            </w:pPr>
            <w:r>
              <w:rPr>
                <w:rFonts w:ascii="Arial" w:cs="Arial" w:eastAsia="Arial" w:hAnsi="Arial"/>
                <w:sz w:val="14"/>
                <w:szCs w:val="14"/>
                <w:color w:val="auto"/>
              </w:rPr>
              <w:t>14.5%</w:t>
            </w:r>
          </w:p>
        </w:tc>
      </w:tr>
      <w:tr>
        <w:trPr>
          <w:trHeight w:val="216"/>
        </w:trPr>
        <w:tc>
          <w:tcPr>
            <w:tcW w:w="342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 xml:space="preserve">Invesment on securities </w:t>
            </w:r>
            <w:r>
              <w:rPr>
                <w:rFonts w:ascii="Arial" w:cs="Arial" w:eastAsia="Arial" w:hAnsi="Arial"/>
                <w:sz w:val="23"/>
                <w:szCs w:val="23"/>
                <w:color w:val="auto"/>
                <w:vertAlign w:val="superscript"/>
              </w:rPr>
              <w:t>(1)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8,324,108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9,264,180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9,642,535</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right"/>
              <w:ind w:right="3100"/>
              <w:spacing w:after="0"/>
              <w:rPr>
                <w:sz w:val="20"/>
                <w:szCs w:val="20"/>
                <w:color w:val="auto"/>
              </w:rPr>
            </w:pPr>
            <w:r>
              <w:rPr>
                <w:rFonts w:ascii="Arial" w:cs="Arial" w:eastAsia="Arial" w:hAnsi="Arial"/>
                <w:sz w:val="14"/>
                <w:szCs w:val="14"/>
                <w:color w:val="auto"/>
              </w:rPr>
              <w:t>15.8%</w:t>
            </w:r>
          </w:p>
        </w:tc>
      </w:tr>
      <w:tr>
        <w:trPr>
          <w:trHeight w:val="216"/>
        </w:trPr>
        <w:tc>
          <w:tcPr>
            <w:tcW w:w="3420" w:type="dxa"/>
            <w:vAlign w:val="bottom"/>
          </w:tcPr>
          <w:p>
            <w:pPr>
              <w:spacing w:after="0"/>
              <w:rPr>
                <w:sz w:val="20"/>
                <w:szCs w:val="20"/>
                <w:color w:val="auto"/>
              </w:rPr>
            </w:pPr>
            <w:r>
              <w:rPr>
                <w:rFonts w:ascii="Arial" w:cs="Arial" w:eastAsia="Arial" w:hAnsi="Arial"/>
                <w:sz w:val="14"/>
                <w:szCs w:val="14"/>
                <w:color w:val="auto"/>
              </w:rPr>
              <w:t>Technical reserves</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7,880,089</w:t>
            </w:r>
          </w:p>
        </w:tc>
        <w:tc>
          <w:tcPr>
            <w:tcW w:w="760" w:type="dxa"/>
            <w:vAlign w:val="bottom"/>
          </w:tcPr>
          <w:p>
            <w:pPr>
              <w:jc w:val="right"/>
              <w:spacing w:after="0"/>
              <w:rPr>
                <w:sz w:val="20"/>
                <w:szCs w:val="20"/>
                <w:color w:val="auto"/>
              </w:rPr>
            </w:pPr>
            <w:r>
              <w:rPr>
                <w:rFonts w:ascii="Arial" w:cs="Arial" w:eastAsia="Arial" w:hAnsi="Arial"/>
                <w:sz w:val="14"/>
                <w:szCs w:val="14"/>
                <w:color w:val="auto"/>
              </w:rPr>
              <w:t>8,710,591</w:t>
            </w:r>
          </w:p>
        </w:tc>
        <w:tc>
          <w:tcPr>
            <w:tcW w:w="2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8,946,136</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8"/>
                <w:szCs w:val="18"/>
                <w:color w:val="auto"/>
              </w:rPr>
            </w:pPr>
          </w:p>
        </w:tc>
        <w:tc>
          <w:tcPr>
            <w:tcW w:w="3760" w:type="dxa"/>
            <w:vAlign w:val="bottom"/>
            <w:gridSpan w:val="2"/>
          </w:tcPr>
          <w:p>
            <w:pPr>
              <w:jc w:val="right"/>
              <w:ind w:right="3100"/>
              <w:spacing w:after="0"/>
              <w:rPr>
                <w:sz w:val="20"/>
                <w:szCs w:val="20"/>
                <w:color w:val="auto"/>
              </w:rPr>
            </w:pPr>
            <w:r>
              <w:rPr>
                <w:rFonts w:ascii="Arial" w:cs="Arial" w:eastAsia="Arial" w:hAnsi="Arial"/>
                <w:sz w:val="14"/>
                <w:szCs w:val="14"/>
                <w:color w:val="auto"/>
              </w:rPr>
              <w:t>13.5%</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Net equity</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2,479,023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2,663,129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3,097,078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16.3%</w:t>
            </w:r>
          </w:p>
        </w:tc>
        <w:tc>
          <w:tcPr>
            <w:tcW w:w="2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right"/>
              <w:ind w:right="3100"/>
              <w:spacing w:after="0"/>
              <w:rPr>
                <w:sz w:val="20"/>
                <w:szCs w:val="20"/>
                <w:color w:val="auto"/>
              </w:rPr>
            </w:pPr>
            <w:r>
              <w:rPr>
                <w:rFonts w:ascii="Arial" w:cs="Arial" w:eastAsia="Arial" w:hAnsi="Arial"/>
                <w:sz w:val="14"/>
                <w:szCs w:val="14"/>
                <w:color w:val="auto"/>
              </w:rPr>
              <w:t>24.9%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-685165</wp:posOffset>
            </wp:positionV>
            <wp:extent cx="1955165"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55165" cy="13716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-410845</wp:posOffset>
            </wp:positionV>
            <wp:extent cx="1955165"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95516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274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400"/>
              <w:spacing w:after="0" w:line="139" w:lineRule="exact"/>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tcPr>
          <w:p>
            <w:pPr>
              <w:ind w:left="560"/>
              <w:spacing w:after="0" w:line="139" w:lineRule="exact"/>
              <w:rPr>
                <w:sz w:val="20"/>
                <w:szCs w:val="20"/>
                <w:color w:val="auto"/>
              </w:rPr>
            </w:pPr>
            <w:r>
              <w:rPr>
                <w:rFonts w:ascii="Arial" w:cs="Arial" w:eastAsia="Arial" w:hAnsi="Arial"/>
                <w:sz w:val="14"/>
                <w:szCs w:val="14"/>
                <w:b w:val="1"/>
                <w:bCs w:val="1"/>
                <w:color w:val="auto"/>
                <w:w w:val="94"/>
              </w:rPr>
              <w:t>% change</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tcPr>
          <w:p>
            <w:pPr>
              <w:ind w:left="680"/>
              <w:spacing w:after="0" w:line="139" w:lineRule="exact"/>
              <w:rPr>
                <w:sz w:val="20"/>
                <w:szCs w:val="20"/>
                <w:color w:val="auto"/>
              </w:rPr>
            </w:pPr>
            <w:r>
              <w:rPr>
                <w:rFonts w:ascii="Arial" w:cs="Arial" w:eastAsia="Arial" w:hAnsi="Arial"/>
                <w:sz w:val="14"/>
                <w:szCs w:val="14"/>
                <w:b w:val="1"/>
                <w:bCs w:val="1"/>
                <w:color w:val="auto"/>
              </w:rPr>
              <w:t>YTD</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300"/>
              <w:spacing w:after="0" w:line="139"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2Q18</w:t>
            </w: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1Q19</w:t>
            </w:r>
          </w:p>
        </w:tc>
        <w:tc>
          <w:tcPr>
            <w:tcW w:w="2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2Q19</w:t>
            </w:r>
          </w:p>
        </w:tc>
        <w:tc>
          <w:tcPr>
            <w:tcW w:w="2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Jun 18</w:t>
            </w:r>
          </w:p>
        </w:tc>
        <w:tc>
          <w:tcPr>
            <w:tcW w:w="2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Jun 19</w:t>
            </w:r>
          </w:p>
        </w:tc>
        <w:tc>
          <w:tcPr>
            <w:tcW w:w="2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Jun 19 / Jun 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earned premiums</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512,847</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588,942</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592,546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0.6%</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15.5%</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1,024,706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1,181,488</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Net claims</w:t>
            </w:r>
          </w:p>
        </w:tc>
        <w:tc>
          <w:tcPr>
            <w:tcW w:w="11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300,846</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386,521</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379,718</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2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26.2%</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595,590</w:t>
            </w:r>
          </w:p>
        </w:tc>
        <w:tc>
          <w:tcPr>
            <w:tcW w:w="6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766,239</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fees</w:t>
            </w:r>
          </w:p>
        </w:tc>
        <w:tc>
          <w:tcPr>
            <w:tcW w:w="11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142,596</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134,507</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138,357</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282,777</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272,864</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Net underwriting expenses</w:t>
            </w:r>
          </w:p>
        </w:tc>
        <w:tc>
          <w:tcPr>
            <w:tcW w:w="11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33,204</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37,011</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33,761</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w:t>
            </w:r>
          </w:p>
        </w:tc>
        <w:tc>
          <w:tcPr>
            <w:tcW w:w="2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66,478</w:t>
            </w:r>
          </w:p>
        </w:tc>
        <w:tc>
          <w:tcPr>
            <w:tcW w:w="6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70,772</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Underwriting result</w:t>
            </w:r>
          </w:p>
        </w:tc>
        <w:tc>
          <w:tcPr>
            <w:tcW w:w="11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36,202</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30,902</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40,710</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31.7%</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12.5%</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79,861</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71,612</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Net financial income</w:t>
            </w:r>
          </w:p>
        </w:tc>
        <w:tc>
          <w:tcPr>
            <w:tcW w:w="11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119,643</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143,356</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150,249</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2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25.6%</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239,669</w:t>
            </w:r>
          </w:p>
        </w:tc>
        <w:tc>
          <w:tcPr>
            <w:tcW w:w="6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293,605</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11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104,412</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107,450</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107,614</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208,528</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215,064</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11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9,393</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7,098</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8,772</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23.6%</w:t>
            </w:r>
          </w:p>
        </w:tc>
        <w:tc>
          <w:tcPr>
            <w:tcW w:w="2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20,865</w:t>
            </w:r>
          </w:p>
        </w:tc>
        <w:tc>
          <w:tcPr>
            <w:tcW w:w="6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15,870</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Traslations results</w:t>
            </w:r>
          </w:p>
        </w:tc>
        <w:tc>
          <w:tcPr>
            <w:tcW w:w="11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1,850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-478</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-125.8%</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2,402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-978</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tcPr>
          <w:p>
            <w:pPr>
              <w:spacing w:after="0" w:line="130" w:lineRule="exact"/>
              <w:rPr>
                <w:sz w:val="20"/>
                <w:szCs w:val="20"/>
                <w:color w:val="auto"/>
              </w:rPr>
            </w:pPr>
            <w:r>
              <w:rPr>
                <w:rFonts w:ascii="Arial" w:cs="Arial" w:eastAsia="Arial" w:hAnsi="Arial"/>
                <w:sz w:val="14"/>
                <w:szCs w:val="14"/>
                <w:color w:val="auto"/>
              </w:rPr>
              <w:t>Net gain on associates - EPS business and medical</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20" w:type="dxa"/>
            <w:vAlign w:val="bottom"/>
            <w:gridSpan w:val="2"/>
          </w:tcPr>
          <w:p>
            <w:pPr>
              <w:spacing w:after="0"/>
              <w:rPr>
                <w:sz w:val="20"/>
                <w:szCs w:val="20"/>
                <w:color w:val="auto"/>
              </w:rPr>
            </w:pPr>
            <w:r>
              <w:rPr>
                <w:rFonts w:ascii="Arial" w:cs="Arial" w:eastAsia="Arial" w:hAnsi="Arial"/>
                <w:sz w:val="14"/>
                <w:szCs w:val="14"/>
                <w:color w:val="auto"/>
              </w:rPr>
              <w:t>services</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color w:val="auto"/>
              </w:rPr>
              <w:t>13,295</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8,918</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12,758</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43.1%</w:t>
            </w:r>
          </w:p>
        </w:tc>
        <w:tc>
          <w:tcPr>
            <w:tcW w:w="2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-4.0%</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17,893</w:t>
            </w:r>
          </w:p>
        </w:tc>
        <w:tc>
          <w:tcPr>
            <w:tcW w:w="6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14,194</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Medical Assistance insurance deduction</w:t>
            </w:r>
          </w:p>
        </w:tc>
        <w:tc>
          <w:tcPr>
            <w:tcW w:w="11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3,789</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2,736</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4,746</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11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2,292</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1,517</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1,359</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-10.4%</w:t>
            </w:r>
          </w:p>
        </w:tc>
        <w:tc>
          <w:tcPr>
            <w:tcW w:w="2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-40.7%</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4,054</w:t>
            </w:r>
          </w:p>
        </w:tc>
        <w:tc>
          <w:tcPr>
            <w:tcW w:w="6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2,875</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before minority interest</w:t>
            </w:r>
          </w:p>
        </w:tc>
        <w:tc>
          <w:tcPr>
            <w:tcW w:w="11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69,891</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78,070</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98,293</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25.9%</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40.6%</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148,108</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176,363</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Non-controlling interest</w:t>
            </w:r>
          </w:p>
        </w:tc>
        <w:tc>
          <w:tcPr>
            <w:tcW w:w="11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2,349</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2,592</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2,454</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w:t>
            </w:r>
          </w:p>
        </w:tc>
        <w:tc>
          <w:tcPr>
            <w:tcW w:w="2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4,374</w:t>
            </w:r>
          </w:p>
        </w:tc>
        <w:tc>
          <w:tcPr>
            <w:tcW w:w="6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5,046</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1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67,542</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75,478</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95,839</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27.0%</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41.9%</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143,734</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171,317</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Ratios</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4"/>
                <w:szCs w:val="14"/>
                <w:color w:val="auto"/>
              </w:rPr>
              <w:t>Ceded</w:t>
            </w: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13.5%</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12.2%</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18.5%</w:t>
            </w:r>
          </w:p>
        </w:tc>
        <w:tc>
          <w:tcPr>
            <w:tcW w:w="1200" w:type="dxa"/>
            <w:vAlign w:val="bottom"/>
            <w:gridSpan w:val="3"/>
          </w:tcPr>
          <w:p>
            <w:pPr>
              <w:jc w:val="right"/>
              <w:ind w:right="460"/>
              <w:spacing w:after="0"/>
              <w:rPr>
                <w:sz w:val="20"/>
                <w:szCs w:val="20"/>
                <w:color w:val="auto"/>
              </w:rPr>
            </w:pPr>
            <w:r>
              <w:rPr>
                <w:rFonts w:ascii="Arial" w:cs="Arial" w:eastAsia="Arial" w:hAnsi="Arial"/>
                <w:sz w:val="14"/>
                <w:szCs w:val="14"/>
                <w:color w:val="auto"/>
              </w:rPr>
              <w:t>630 bps</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w w:val="92"/>
              </w:rPr>
              <w:t xml:space="preserve">500 </w:t>
            </w:r>
            <w:r>
              <w:rPr>
                <w:rFonts w:ascii="Arial" w:cs="Arial" w:eastAsia="Arial" w:hAnsi="Arial"/>
                <w:sz w:val="18"/>
                <w:szCs w:val="18"/>
                <w:color w:val="auto"/>
                <w:w w:val="92"/>
              </w:rPr>
              <w:t>bps</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13.8%</w:t>
            </w:r>
          </w:p>
        </w:tc>
        <w:tc>
          <w:tcPr>
            <w:tcW w:w="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15.4%</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160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(2)</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58.7%</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65.6%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64.1%</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-150 bps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540 bps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58.1%</w:t>
            </w: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680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w w:val="91"/>
              </w:rPr>
              <w:t>Fees + underwriting expenses, net / net earned premiums</w:t>
            </w:r>
          </w:p>
        </w:tc>
        <w:tc>
          <w:tcPr>
            <w:tcW w:w="11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34.3%</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29.1%</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29.0%</w:t>
            </w:r>
          </w:p>
        </w:tc>
        <w:tc>
          <w:tcPr>
            <w:tcW w:w="12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-10 bps</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5"/>
              </w:rPr>
              <w:t>-530 bps</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34.1%</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29.1%</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Underwriting results / net earned premiums</w:t>
            </w:r>
          </w:p>
        </w:tc>
        <w:tc>
          <w:tcPr>
            <w:tcW w:w="11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w:t>
            </w:r>
          </w:p>
        </w:tc>
        <w:tc>
          <w:tcPr>
            <w:tcW w:w="12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170 bps</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 bps</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Operating expenses / net earned premiums</w:t>
            </w:r>
          </w:p>
        </w:tc>
        <w:tc>
          <w:tcPr>
            <w:tcW w:w="11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20.4%</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18.2%</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18.2%</w:t>
            </w:r>
          </w:p>
        </w:tc>
        <w:tc>
          <w:tcPr>
            <w:tcW w:w="12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0 bps</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5"/>
              </w:rPr>
              <w:t>-220 bps</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20.4%</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18.2%</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shd w:val="clear" w:color="auto" w:fill="CCEEFF"/>
          </w:tcPr>
          <w:p>
            <w:pPr>
              <w:spacing w:after="0" w:line="189" w:lineRule="exact"/>
              <w:rPr>
                <w:sz w:val="20"/>
                <w:szCs w:val="20"/>
                <w:color w:val="auto"/>
              </w:rPr>
            </w:pPr>
            <w:r>
              <w:rPr>
                <w:rFonts w:ascii="Arial" w:cs="Arial" w:eastAsia="Arial" w:hAnsi="Arial"/>
                <w:sz w:val="21"/>
                <w:szCs w:val="21"/>
                <w:color w:val="auto"/>
                <w:vertAlign w:val="subscript"/>
              </w:rPr>
              <w:t>ROAE</w:t>
            </w:r>
            <w:r>
              <w:rPr>
                <w:rFonts w:ascii="Arial" w:cs="Arial" w:eastAsia="Arial" w:hAnsi="Arial"/>
                <w:sz w:val="10"/>
                <w:szCs w:val="10"/>
                <w:color w:val="auto"/>
              </w:rPr>
              <w:t xml:space="preserve"> (3)(4)</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10.9%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11.8%</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13.7%</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190 bps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280 bps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11.1%</w:t>
            </w: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Return on written premiums</w:t>
            </w:r>
          </w:p>
        </w:tc>
        <w:tc>
          <w:tcPr>
            <w:tcW w:w="11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8.1%</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10.2%</w:t>
            </w:r>
          </w:p>
        </w:tc>
        <w:tc>
          <w:tcPr>
            <w:tcW w:w="12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180 bps</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210 bps</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1"/>
                <w:szCs w:val="21"/>
                <w:color w:val="auto"/>
                <w:vertAlign w:val="superscript"/>
              </w:rPr>
              <w:t>(5)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101.2%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104.4%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97.5%</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-690 bps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w w:val="91"/>
              </w:rPr>
              <w:t>-370 bps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100.3%</w:t>
            </w: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100.9%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60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without consolidation adjustments.</w:t>
      </w:r>
    </w:p>
    <w:p>
      <w:pPr>
        <w:spacing w:after="0" w:line="23" w:lineRule="exact"/>
        <w:rPr>
          <w:sz w:val="20"/>
          <w:szCs w:val="20"/>
          <w:color w:val="auto"/>
        </w:rPr>
      </w:pPr>
    </w:p>
    <w:p>
      <w:pPr>
        <w:ind w:left="260" w:hanging="252"/>
        <w:spacing w:after="0"/>
        <w:tabs>
          <w:tab w:leader="none" w:pos="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Excluding investments in real estate.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Net claims / Net earned premiums.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Includes unrealized gains.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Annualized and average are determined as the average of period beginning and period ending.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(Net claims / Net earned premiums) + [(Acquisition cost + total expenses) / Net earned premiums].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From 1Q15 and on, Grupo Pacifico’s financial statements reflect the association with Banmedica. This partnership includes:</w:t>
      </w:r>
    </w:p>
    <w:p>
      <w:pPr>
        <w:spacing w:after="0" w:line="225" w:lineRule="exact"/>
        <w:rPr>
          <w:sz w:val="20"/>
          <w:szCs w:val="20"/>
          <w:color w:val="auto"/>
        </w:rPr>
      </w:pPr>
    </w:p>
    <w:p>
      <w:pPr>
        <w:ind w:left="880" w:hanging="494"/>
        <w:spacing w:after="0"/>
        <w:tabs>
          <w:tab w:leader="none" w:pos="8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private health insurance business, which is managed by Grupo Pacifico and incorporated in each line of Grupo Pacifico’s financial statements;</w:t>
      </w:r>
    </w:p>
    <w:p>
      <w:pPr>
        <w:spacing w:after="0" w:line="248" w:lineRule="exact"/>
        <w:rPr>
          <w:rFonts w:ascii="Arial" w:cs="Arial" w:eastAsia="Arial" w:hAnsi="Arial"/>
          <w:sz w:val="16"/>
          <w:szCs w:val="16"/>
          <w:color w:val="auto"/>
        </w:rPr>
      </w:pPr>
    </w:p>
    <w:p>
      <w:pPr>
        <w:ind w:left="880" w:hanging="49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corporate health insurance for payroll employees; and</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225" w:lineRule="exact"/>
        <w:rPr>
          <w:sz w:val="20"/>
          <w:szCs w:val="20"/>
          <w:color w:val="auto"/>
        </w:rPr>
      </w:pPr>
    </w:p>
    <w:p>
      <w:pPr>
        <w:ind w:left="60" w:right="20"/>
        <w:spacing w:after="0" w:line="308"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43" w:lineRule="exact"/>
        <w:rPr>
          <w:sz w:val="20"/>
          <w:szCs w:val="20"/>
          <w:color w:val="auto"/>
        </w:rPr>
      </w:pPr>
    </w:p>
    <w:p>
      <w:pPr>
        <w:ind w:left="60" w:right="20"/>
        <w:spacing w:after="0" w:line="282" w:lineRule="auto"/>
        <w:rPr>
          <w:sz w:val="20"/>
          <w:szCs w:val="20"/>
          <w:color w:val="auto"/>
        </w:rPr>
      </w:pPr>
      <w:r>
        <w:rPr>
          <w:rFonts w:ascii="Arial" w:cs="Arial" w:eastAsia="Arial" w:hAnsi="Arial"/>
          <w:sz w:val="18"/>
          <w:szCs w:val="18"/>
          <w:color w:val="auto"/>
        </w:rPr>
        <w:t xml:space="preserve">As explained before, </w:t>
      </w:r>
      <w:r>
        <w:rPr>
          <w:rFonts w:ascii="Arial" w:cs="Arial" w:eastAsia="Arial" w:hAnsi="Arial"/>
          <w:sz w:val="18"/>
          <w:szCs w:val="18"/>
          <w:b w:val="1"/>
          <w:bCs w:val="1"/>
          <w:color w:val="auto"/>
        </w:rPr>
        <w:t>corporate health insurance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medical services</w:t>
      </w:r>
      <w:r>
        <w:rPr>
          <w:rFonts w:ascii="Arial" w:cs="Arial" w:eastAsia="Arial" w:hAnsi="Arial"/>
          <w:sz w:val="18"/>
          <w:szCs w:val="18"/>
          <w:color w:val="auto"/>
        </w:rPr>
        <w:t xml:space="preserve"> businesses are consolidated by Banmedica. The following table reflects the consolidated results from which Grupo Pacifico receives the 50% net income.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jc w:val="center"/>
        <w:ind w:right="-59"/>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Quarter</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 change</w:t>
            </w:r>
          </w:p>
        </w:tc>
        <w:tc>
          <w:tcPr>
            <w:tcW w:w="1080" w:type="dxa"/>
            <w:vAlign w:val="bottom"/>
            <w:gridSpan w:val="3"/>
          </w:tcPr>
          <w:p>
            <w:pPr>
              <w:ind w:left="680"/>
              <w:spacing w:after="0"/>
              <w:rPr>
                <w:sz w:val="20"/>
                <w:szCs w:val="20"/>
                <w:color w:val="auto"/>
              </w:rPr>
            </w:pPr>
            <w:r>
              <w:rPr>
                <w:rFonts w:ascii="Arial" w:cs="Arial" w:eastAsia="Arial" w:hAnsi="Arial"/>
                <w:sz w:val="18"/>
                <w:szCs w:val="18"/>
                <w:b w:val="1"/>
                <w:bCs w:val="1"/>
                <w:color w:val="auto"/>
              </w:rPr>
              <w:t>YTD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2Q18</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1Q19</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2Q19</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QoQ</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YoY</w:t>
            </w:r>
          </w:p>
        </w:tc>
        <w:tc>
          <w:tcPr>
            <w:tcW w:w="1080" w:type="dxa"/>
            <w:vAlign w:val="bottom"/>
            <w:gridSpan w:val="3"/>
          </w:tcPr>
          <w:p>
            <w:pPr>
              <w:ind w:left="120"/>
              <w:spacing w:after="0"/>
              <w:rPr>
                <w:sz w:val="20"/>
                <w:szCs w:val="20"/>
                <w:color w:val="auto"/>
              </w:rPr>
            </w:pPr>
            <w:r>
              <w:rPr>
                <w:rFonts w:ascii="Arial" w:cs="Arial" w:eastAsia="Arial" w:hAnsi="Arial"/>
                <w:sz w:val="18"/>
                <w:szCs w:val="18"/>
                <w:b w:val="1"/>
                <w:bCs w:val="1"/>
                <w:color w:val="auto"/>
              </w:rPr>
              <w:t>Jun 18</w:t>
            </w: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Jun 19</w:t>
            </w:r>
          </w:p>
        </w:tc>
        <w:tc>
          <w:tcPr>
            <w:tcW w:w="14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7"/>
              </w:rPr>
              <w:t>Jun 19 / Jun 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Results</w:t>
            </w: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Net earned premiums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249,216</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258,455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264,725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489,641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523,181</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claims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-208,490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-233,597</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-225,704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-402,854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-459,301</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Net fees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-10,918</w:t>
            </w:r>
          </w:p>
        </w:tc>
        <w:tc>
          <w:tcPr>
            <w:tcW w:w="740" w:type="dxa"/>
            <w:vAlign w:val="bottom"/>
          </w:tcPr>
          <w:p>
            <w:pPr>
              <w:jc w:val="right"/>
              <w:spacing w:after="0"/>
              <w:rPr>
                <w:sz w:val="20"/>
                <w:szCs w:val="20"/>
                <w:color w:val="auto"/>
              </w:rPr>
            </w:pPr>
            <w:r>
              <w:rPr>
                <w:rFonts w:ascii="Arial" w:cs="Arial" w:eastAsia="Arial" w:hAnsi="Arial"/>
                <w:sz w:val="18"/>
                <w:szCs w:val="18"/>
                <w:color w:val="auto"/>
              </w:rPr>
              <w:t>-11,879</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-11,697</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-21,743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-23,576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-2,956</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-5,404</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Underwriting result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26,852</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10,068</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24,832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146.6%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58,769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34,900</w:t>
            </w: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-40.6%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Net financial income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1,169</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1,505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1,070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-28.9%</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2,575</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-17,353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-17,535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-18,203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-36,487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-35,739</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Other income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1,012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621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-38.6%</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1,633</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669.9%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Income tax</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-3,555</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1,615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-2,670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-265.3%</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-8,361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-1,055</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Net income before Medical services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7,210</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-3,353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5,452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-262.6%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16,596</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2,100</w:t>
            </w: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-87.3%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Net income of Medical services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19,299</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21,108</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19,983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36,318</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41,091</w:t>
            </w: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26,509</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17,756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25,435</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52,913</w:t>
            </w: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43,191</w:t>
            </w: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-18.4%</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63</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11.8. Prima AFP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 change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3"/>
          </w:tcPr>
          <w:p>
            <w:pPr>
              <w:ind w:left="640"/>
              <w:spacing w:after="0"/>
              <w:rPr>
                <w:sz w:val="20"/>
                <w:szCs w:val="20"/>
                <w:color w:val="auto"/>
              </w:rPr>
            </w:pPr>
            <w:r>
              <w:rPr>
                <w:rFonts w:ascii="Arial" w:cs="Arial" w:eastAsia="Arial" w:hAnsi="Arial"/>
                <w:sz w:val="14"/>
                <w:szCs w:val="14"/>
                <w:b w:val="1"/>
                <w:bCs w:val="1"/>
                <w:color w:val="auto"/>
              </w:rPr>
              <w:t>YTD</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6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2Q18</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1Q19</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2Q19</w:t>
            </w: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Jun 18</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Jun 19</w:t>
            </w:r>
          </w:p>
        </w:tc>
        <w:tc>
          <w:tcPr>
            <w:tcW w:w="2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Jun 19 / Jun 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Income from commissions</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98,816</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99,758</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105,867</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6.1%</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7.1%</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191,221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205,624</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3660" w:type="dxa"/>
            <w:vAlign w:val="bottom"/>
          </w:tcPr>
          <w:p>
            <w:pPr>
              <w:spacing w:after="0" w:line="149" w:lineRule="exact"/>
              <w:rPr>
                <w:sz w:val="20"/>
                <w:szCs w:val="20"/>
                <w:color w:val="auto"/>
              </w:rPr>
            </w:pPr>
            <w:r>
              <w:rPr>
                <w:rFonts w:ascii="Arial" w:cs="Arial" w:eastAsia="Arial" w:hAnsi="Arial"/>
                <w:sz w:val="14"/>
                <w:szCs w:val="14"/>
                <w:color w:val="auto"/>
              </w:rPr>
              <w:t>Administrative and sale expenses</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(37,650)</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(37,292)</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(38,358)</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-79,089</w:t>
            </w: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-75,650</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(4,816)</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(4,473)</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(4,725)</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-9,560</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-9,198</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366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56,350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57,993</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62,783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8.3%</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11.4%</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102,572</w:t>
            </w: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120,776</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17.7%</w:t>
            </w: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and expenses, net (profitability of lace) (*)</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(6,497)</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17,712</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8,108</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-54.2%</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-224.8%</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-1,957</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25,820</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-1419.4%</w:t>
            </w:r>
          </w:p>
        </w:tc>
        <w:tc>
          <w:tcPr>
            <w:tcW w:w="0" w:type="dxa"/>
            <w:vAlign w:val="bottom"/>
          </w:tcPr>
          <w:p>
            <w:pPr>
              <w:spacing w:after="0"/>
              <w:rPr>
                <w:sz w:val="1"/>
                <w:szCs w:val="1"/>
                <w:color w:val="auto"/>
              </w:rPr>
            </w:pPr>
          </w:p>
        </w:tc>
      </w:tr>
      <w:tr>
        <w:trPr>
          <w:trHeight w:val="149"/>
        </w:trPr>
        <w:tc>
          <w:tcPr>
            <w:tcW w:w="366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(17,425)</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(18,829)</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(20,495)</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17.6%</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-32,921</w:t>
            </w: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-39,324</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before translation results</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32,429</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56,876</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50,396</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-11.4%</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55.4%</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67,694</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107,272</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58.5%</w:t>
            </w:r>
          </w:p>
        </w:tc>
        <w:tc>
          <w:tcPr>
            <w:tcW w:w="0" w:type="dxa"/>
            <w:vAlign w:val="bottom"/>
          </w:tcPr>
          <w:p>
            <w:pPr>
              <w:spacing w:after="0"/>
              <w:rPr>
                <w:sz w:val="1"/>
                <w:szCs w:val="1"/>
                <w:color w:val="auto"/>
              </w:rPr>
            </w:pPr>
          </w:p>
        </w:tc>
      </w:tr>
      <w:tr>
        <w:trPr>
          <w:trHeight w:val="149"/>
        </w:trPr>
        <w:tc>
          <w:tcPr>
            <w:tcW w:w="3660" w:type="dxa"/>
            <w:vAlign w:val="bottom"/>
          </w:tcPr>
          <w:p>
            <w:pPr>
              <w:spacing w:after="0" w:line="149" w:lineRule="exact"/>
              <w:rPr>
                <w:sz w:val="20"/>
                <w:szCs w:val="20"/>
                <w:color w:val="auto"/>
              </w:rPr>
            </w:pPr>
            <w:r>
              <w:rPr>
                <w:rFonts w:ascii="Arial" w:cs="Arial" w:eastAsia="Arial" w:hAnsi="Arial"/>
                <w:sz w:val="14"/>
                <w:szCs w:val="14"/>
                <w:color w:val="auto"/>
              </w:rPr>
              <w:t>Translations results</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124</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-123.2%</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-38.3%</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-55</w:t>
            </w: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-274.2%</w:t>
            </w:r>
          </w:p>
        </w:tc>
        <w:tc>
          <w:tcPr>
            <w:tcW w:w="0" w:type="dxa"/>
            <w:vAlign w:val="bottom"/>
          </w:tcPr>
          <w:p>
            <w:pPr>
              <w:spacing w:after="0"/>
              <w:rPr>
                <w:sz w:val="1"/>
                <w:szCs w:val="1"/>
                <w:color w:val="auto"/>
              </w:rPr>
            </w:pPr>
          </w:p>
        </w:tc>
      </w:tr>
      <w:tr>
        <w:trPr>
          <w:trHeight w:val="162"/>
        </w:trPr>
        <w:tc>
          <w:tcPr>
            <w:tcW w:w="3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32,383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57,000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50,367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-11.6%</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55.5%</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67,639</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107,367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58.7%</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line="202" w:lineRule="exact"/>
              <w:rPr>
                <w:sz w:val="20"/>
                <w:szCs w:val="20"/>
                <w:color w:val="auto"/>
              </w:rPr>
            </w:pPr>
            <w:r>
              <w:rPr>
                <w:rFonts w:ascii="Arial" w:cs="Arial" w:eastAsia="Arial" w:hAnsi="Arial"/>
                <w:sz w:val="14"/>
                <w:szCs w:val="14"/>
                <w:b w:val="1"/>
                <w:bCs w:val="1"/>
                <w:color w:val="auto"/>
              </w:rPr>
              <w:t xml:space="preserve">ROAE </w:t>
            </w:r>
            <w:r>
              <w:rPr>
                <w:rFonts w:ascii="Arial" w:cs="Arial" w:eastAsia="Arial" w:hAnsi="Arial"/>
                <w:sz w:val="23"/>
                <w:szCs w:val="23"/>
                <w:b w:val="1"/>
                <w:bCs w:val="1"/>
                <w:color w:val="auto"/>
                <w:vertAlign w:val="superscript"/>
              </w:rPr>
              <w:t>(1)</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vMerge w:val="continue"/>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23.0%</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37.6%</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b w:val="1"/>
                <w:bCs w:val="1"/>
                <w:color w:val="auto"/>
              </w:rPr>
              <w:t>-428 pbs</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1027 pbs</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22.5%</w:t>
            </w:r>
          </w:p>
        </w:tc>
        <w:tc>
          <w:tcPr>
            <w:tcW w:w="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34.0%</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1146 pbs</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3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 change</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6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2Q18</w:t>
            </w:r>
          </w:p>
        </w:tc>
        <w:tc>
          <w:tcPr>
            <w:tcW w:w="2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1Q19</w:t>
            </w:r>
          </w:p>
        </w:tc>
        <w:tc>
          <w:tcPr>
            <w:tcW w:w="2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2Q19</w:t>
            </w:r>
          </w:p>
        </w:tc>
        <w:tc>
          <w:tcPr>
            <w:tcW w:w="2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791,528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982,264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868,192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-11.6%</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9.7%</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4"/>
                <w:szCs w:val="14"/>
                <w:color w:val="auto"/>
              </w:rPr>
              <w:t>Total liabilities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210,632</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402,446</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238,247</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-40.8%</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13.1%</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Net shareholders' equity</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580,896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579,818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629,945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8.4%</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-694055</wp:posOffset>
            </wp:positionV>
            <wp:extent cx="1938020" cy="4114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38020" cy="41148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-145415</wp:posOffset>
            </wp:positionV>
            <wp:extent cx="19380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38020" cy="137160"/>
                    </a:xfrm>
                    <a:prstGeom prst="rect">
                      <a:avLst/>
                    </a:prstGeom>
                    <a:noFill/>
                  </pic:spPr>
                </pic:pic>
              </a:graphicData>
            </a:graphic>
          </wp:anchor>
        </w:drawing>
      </w:r>
    </w:p>
    <w:p>
      <w:pPr>
        <w:spacing w:after="0" w:line="182" w:lineRule="exact"/>
        <w:rPr>
          <w:sz w:val="20"/>
          <w:szCs w:val="20"/>
          <w:color w:val="auto"/>
        </w:rPr>
      </w:pPr>
    </w:p>
    <w:p>
      <w:pPr>
        <w:ind w:firstLine="8"/>
        <w:spacing w:after="0" w:line="258" w:lineRule="auto"/>
        <w:tabs>
          <w:tab w:leader="none" w:pos="27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Gain on profitability of the legal reserve account and FuM after taxes, to which a retroactive change was applied (previously, the gross amount was reported).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Net shareholders' equity includes unrealized gains from Prima's investment portfolio.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gridSpan w:val="6"/>
          </w:tcPr>
          <w:p>
            <w:pPr>
              <w:spacing w:after="0"/>
              <w:rPr>
                <w:sz w:val="20"/>
                <w:szCs w:val="20"/>
                <w:color w:val="auto"/>
              </w:rPr>
            </w:pPr>
            <w:r>
              <w:rPr>
                <w:rFonts w:ascii="Arial" w:cs="Arial" w:eastAsia="Arial" w:hAnsi="Arial"/>
                <w:sz w:val="18"/>
                <w:szCs w:val="18"/>
                <w:b w:val="1"/>
                <w:bCs w:val="1"/>
                <w:color w:val="auto"/>
              </w:rPr>
              <w:t>Funds under management</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460" w:type="dxa"/>
            <w:vAlign w:val="bottom"/>
            <w:gridSpan w:val="6"/>
          </w:tcPr>
          <w:p>
            <w:pPr>
              <w:spacing w:after="0"/>
              <w:rPr>
                <w:sz w:val="20"/>
                <w:szCs w:val="20"/>
                <w:color w:val="auto"/>
              </w:rPr>
            </w:pPr>
            <w:r>
              <w:rPr>
                <w:rFonts w:ascii="Arial" w:cs="Arial" w:eastAsia="Arial" w:hAnsi="Arial"/>
                <w:sz w:val="18"/>
                <w:szCs w:val="18"/>
                <w:b w:val="1"/>
                <w:bCs w:val="1"/>
                <w:color w:val="auto"/>
              </w:rPr>
              <w:t>Funds under management</w:t>
            </w:r>
          </w:p>
        </w:tc>
        <w:tc>
          <w:tcPr>
            <w:tcW w:w="6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4"/>
              </w:rPr>
              <w:t>Mar 19</w:t>
            </w:r>
          </w:p>
        </w:tc>
        <w:tc>
          <w:tcPr>
            <w:tcW w:w="860" w:type="dxa"/>
            <w:vAlign w:val="bottom"/>
            <w:gridSpan w:val="2"/>
          </w:tcPr>
          <w:p>
            <w:pPr>
              <w:jc w:val="right"/>
              <w:ind w:right="175"/>
              <w:spacing w:after="0"/>
              <w:rPr>
                <w:sz w:val="20"/>
                <w:szCs w:val="20"/>
                <w:color w:val="auto"/>
              </w:rPr>
            </w:pPr>
            <w:r>
              <w:rPr>
                <w:rFonts w:ascii="Arial" w:cs="Arial" w:eastAsia="Arial" w:hAnsi="Arial"/>
                <w:sz w:val="18"/>
                <w:szCs w:val="18"/>
                <w:b w:val="1"/>
                <w:bCs w:val="1"/>
                <w:color w:val="auto"/>
                <w:w w:val="89"/>
              </w:rPr>
              <w:t>% share</w:t>
            </w: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Jun 19</w:t>
            </w:r>
          </w:p>
        </w:tc>
        <w:tc>
          <w:tcPr>
            <w:tcW w:w="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 share</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Fund 0</w:t>
            </w:r>
          </w:p>
        </w:tc>
        <w:tc>
          <w:tcPr>
            <w:tcW w:w="6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c>
          <w:tcPr>
            <w:tcW w:w="8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vMerge w:val="continue"/>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Arial" w:cs="Arial" w:eastAsia="Arial" w:hAnsi="Arial"/>
                <w:sz w:val="18"/>
                <w:szCs w:val="18"/>
                <w:color w:val="auto"/>
              </w:rPr>
              <w:t>Fund 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5,586</w:t>
            </w:r>
          </w:p>
        </w:tc>
        <w:tc>
          <w:tcPr>
            <w:tcW w:w="860" w:type="dxa"/>
            <w:vAlign w:val="bottom"/>
            <w:gridSpan w:val="2"/>
          </w:tcPr>
          <w:p>
            <w:pPr>
              <w:jc w:val="right"/>
              <w:ind w:right="35"/>
              <w:spacing w:after="0"/>
              <w:rPr>
                <w:sz w:val="20"/>
                <w:szCs w:val="20"/>
                <w:color w:val="auto"/>
              </w:rPr>
            </w:pPr>
            <w:r>
              <w:rPr>
                <w:rFonts w:ascii="Arial" w:cs="Arial" w:eastAsia="Arial" w:hAnsi="Arial"/>
                <w:sz w:val="18"/>
                <w:szCs w:val="18"/>
                <w:color w:val="auto"/>
              </w:rPr>
              <w:t>11.0%</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5,774</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11.2%</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Fund 2</w:t>
            </w:r>
          </w:p>
        </w:tc>
        <w:tc>
          <w:tcPr>
            <w:tcW w:w="6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37,432</w:t>
            </w:r>
          </w:p>
        </w:tc>
        <w:tc>
          <w:tcPr>
            <w:tcW w:w="8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73.8%</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38,467</w:t>
            </w:r>
          </w:p>
        </w:tc>
        <w:tc>
          <w:tcPr>
            <w:tcW w:w="9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0" w:type="dxa"/>
            <w:vAlign w:val="bottom"/>
            <w:gridSpan w:val="3"/>
          </w:tcPr>
          <w:p>
            <w:pPr>
              <w:spacing w:after="0"/>
              <w:rPr>
                <w:sz w:val="20"/>
                <w:szCs w:val="20"/>
                <w:color w:val="auto"/>
              </w:rPr>
            </w:pPr>
            <w:r>
              <w:rPr>
                <w:rFonts w:ascii="Arial" w:cs="Arial" w:eastAsia="Arial" w:hAnsi="Arial"/>
                <w:sz w:val="18"/>
                <w:szCs w:val="18"/>
                <w:color w:val="auto"/>
              </w:rPr>
              <w:t>Fund 3</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7,089</w:t>
            </w:r>
          </w:p>
        </w:tc>
        <w:tc>
          <w:tcPr>
            <w:tcW w:w="860" w:type="dxa"/>
            <w:vAlign w:val="bottom"/>
            <w:gridSpan w:val="2"/>
          </w:tcPr>
          <w:p>
            <w:pPr>
              <w:jc w:val="right"/>
              <w:ind w:right="35"/>
              <w:spacing w:after="0"/>
              <w:rPr>
                <w:sz w:val="20"/>
                <w:szCs w:val="20"/>
                <w:color w:val="auto"/>
              </w:rPr>
            </w:pPr>
            <w:r>
              <w:rPr>
                <w:rFonts w:ascii="Arial" w:cs="Arial" w:eastAsia="Arial" w:hAnsi="Arial"/>
                <w:sz w:val="18"/>
                <w:szCs w:val="18"/>
                <w:color w:val="auto"/>
              </w:rPr>
              <w:t>14.0%</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6,793</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13.1%</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S/ Millions</w:t>
            </w:r>
          </w:p>
        </w:tc>
        <w:tc>
          <w:tcPr>
            <w:tcW w:w="62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50,736</w:t>
            </w: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w w:val="74"/>
              </w:rPr>
              <w:t>%</w:t>
            </w:r>
          </w:p>
        </w:tc>
        <w:tc>
          <w:tcPr>
            <w:tcW w:w="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51,724</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820" w:type="dxa"/>
            <w:vAlign w:val="bottom"/>
            <w:gridSpan w:val="4"/>
          </w:tcPr>
          <w:p>
            <w:pPr>
              <w:spacing w:after="0"/>
              <w:rPr>
                <w:sz w:val="20"/>
                <w:szCs w:val="20"/>
                <w:color w:val="auto"/>
              </w:rPr>
            </w:pPr>
            <w:r>
              <w:rPr>
                <w:rFonts w:ascii="Arial" w:cs="Arial" w:eastAsia="Arial" w:hAnsi="Arial"/>
                <w:sz w:val="18"/>
                <w:szCs w:val="18"/>
                <w:i w:val="1"/>
                <w:iCs w:val="1"/>
                <w:color w:val="auto"/>
              </w:rPr>
              <w:t>Source: SBS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0" w:type="dxa"/>
            <w:vAlign w:val="bottom"/>
            <w:gridSpan w:val="10"/>
          </w:tcPr>
          <w:p>
            <w:pPr>
              <w:spacing w:after="0"/>
              <w:rPr>
                <w:sz w:val="20"/>
                <w:szCs w:val="20"/>
                <w:color w:val="auto"/>
              </w:rPr>
            </w:pPr>
            <w:r>
              <w:rPr>
                <w:rFonts w:ascii="Arial" w:cs="Arial" w:eastAsia="Arial" w:hAnsi="Arial"/>
                <w:sz w:val="18"/>
                <w:szCs w:val="18"/>
                <w:b w:val="1"/>
                <w:bCs w:val="1"/>
                <w:color w:val="auto"/>
              </w:rPr>
              <w:t>Nominal profitability over the last 12 months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7"/>
              </w:rPr>
              <w:t>Mar 19 / Mar 18</w:t>
            </w:r>
          </w:p>
        </w:tc>
        <w:tc>
          <w:tcPr>
            <w:tcW w:w="2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Jun 19 / Jun 18</w:t>
            </w:r>
          </w:p>
        </w:tc>
        <w:tc>
          <w:tcPr>
            <w:tcW w:w="160" w:type="dxa"/>
            <w:vAlign w:val="bottom"/>
            <w:tcBorders>
              <w:bottom w:val="single" w:sz="8" w:color="CCEEFF"/>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Fund 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8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Arial" w:cs="Arial" w:eastAsia="Arial" w:hAnsi="Arial"/>
                <w:sz w:val="18"/>
                <w:szCs w:val="18"/>
                <w:color w:val="auto"/>
              </w:rPr>
              <w:t>Fund 1</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Fund 2</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Fund 3</w:t>
            </w:r>
          </w:p>
        </w:tc>
        <w:tc>
          <w:tcPr>
            <w:tcW w:w="640" w:type="dxa"/>
            <w:vAlign w:val="bottom"/>
            <w:gridSpan w:val="2"/>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4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AFP fees</w:t>
            </w:r>
          </w:p>
        </w:tc>
        <w:tc>
          <w:tcPr>
            <w:tcW w:w="640" w:type="dxa"/>
            <w:vAlign w:val="bottom"/>
            <w:tcBorders>
              <w:top w:val="single" w:sz="8" w:color="auto"/>
            </w:tcBorders>
            <w:gridSpan w:val="2"/>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820" w:type="dxa"/>
            <w:vAlign w:val="bottom"/>
            <w:gridSpan w:val="4"/>
          </w:tcPr>
          <w:p>
            <w:pPr>
              <w:spacing w:after="0"/>
              <w:rPr>
                <w:sz w:val="20"/>
                <w:szCs w:val="20"/>
                <w:color w:val="auto"/>
              </w:rPr>
            </w:pPr>
            <w:r>
              <w:rPr>
                <w:rFonts w:ascii="Arial" w:cs="Arial" w:eastAsia="Arial" w:hAnsi="Arial"/>
                <w:sz w:val="18"/>
                <w:szCs w:val="18"/>
                <w:b w:val="1"/>
                <w:bCs w:val="1"/>
                <w:color w:val="auto"/>
              </w:rPr>
              <w:t>Fee based on flow</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w w:val="90"/>
              </w:rPr>
              <w:t>1.60%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80" w:type="dxa"/>
            <w:vAlign w:val="bottom"/>
            <w:gridSpan w:val="11"/>
          </w:tcPr>
          <w:p>
            <w:pPr>
              <w:spacing w:after="0"/>
              <w:rPr>
                <w:sz w:val="20"/>
                <w:szCs w:val="20"/>
                <w:color w:val="auto"/>
              </w:rPr>
            </w:pPr>
            <w:r>
              <w:rPr>
                <w:rFonts w:ascii="Arial" w:cs="Arial" w:eastAsia="Arial" w:hAnsi="Arial"/>
                <w:sz w:val="18"/>
                <w:szCs w:val="18"/>
                <w:color w:val="auto"/>
                <w:w w:val="91"/>
              </w:rPr>
              <w:t>Applied to the affiliates' monthly remuneration.</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Mixed fee</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spacing w:after="0"/>
              <w:rPr>
                <w:sz w:val="18"/>
                <w:szCs w:val="18"/>
                <w:color w:val="auto"/>
              </w:rPr>
            </w:pPr>
          </w:p>
        </w:tc>
        <w:tc>
          <w:tcPr>
            <w:tcW w:w="26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Flow</w:t>
            </w:r>
          </w:p>
        </w:tc>
        <w:tc>
          <w:tcPr>
            <w:tcW w:w="6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0"/>
              </w:rPr>
              <w:t>0.18%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680" w:type="dxa"/>
            <w:vAlign w:val="bottom"/>
            <w:gridSpan w:val="17"/>
            <w:shd w:val="clear" w:color="auto" w:fill="CCEEFF"/>
          </w:tcPr>
          <w:p>
            <w:pPr>
              <w:spacing w:after="0"/>
              <w:rPr>
                <w:sz w:val="20"/>
                <w:szCs w:val="20"/>
                <w:color w:val="auto"/>
              </w:rPr>
            </w:pPr>
            <w:r>
              <w:rPr>
                <w:rFonts w:ascii="Arial" w:cs="Arial" w:eastAsia="Arial" w:hAnsi="Arial"/>
                <w:sz w:val="18"/>
                <w:szCs w:val="18"/>
                <w:color w:val="auto"/>
                <w:w w:val="94"/>
              </w:rPr>
              <w:t>Applied to the affiliates' monthly remuneration since June 2017. Feb 17- may 17 =0.87%.</w:t>
            </w:r>
          </w:p>
        </w:tc>
        <w:tc>
          <w:tcPr>
            <w:tcW w:w="8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spacing w:after="0"/>
              <w:rPr>
                <w:sz w:val="18"/>
                <w:szCs w:val="18"/>
                <w:color w:val="auto"/>
              </w:rPr>
            </w:pPr>
          </w:p>
        </w:tc>
        <w:tc>
          <w:tcPr>
            <w:tcW w:w="26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Balance</w:t>
            </w:r>
          </w:p>
        </w:tc>
        <w:tc>
          <w:tcPr>
            <w:tcW w:w="620" w:type="dxa"/>
            <w:vAlign w:val="bottom"/>
            <w:tcBorders>
              <w:right w:val="single" w:sz="8" w:color="CCEEFF"/>
            </w:tcBorders>
            <w:shd w:val="clear" w:color="auto" w:fill="CCEEFF"/>
          </w:tcPr>
          <w:p>
            <w:pPr>
              <w:jc w:val="right"/>
              <w:ind w:right="50"/>
              <w:spacing w:after="0" w:line="201" w:lineRule="exact"/>
              <w:rPr>
                <w:sz w:val="20"/>
                <w:szCs w:val="20"/>
                <w:color w:val="auto"/>
              </w:rPr>
            </w:pPr>
            <w:r>
              <w:rPr>
                <w:rFonts w:ascii="Arial" w:cs="Arial" w:eastAsia="Arial" w:hAnsi="Arial"/>
                <w:sz w:val="18"/>
                <w:szCs w:val="18"/>
                <w:color w:val="auto"/>
                <w:w w:val="90"/>
              </w:rPr>
              <w:t>1.25%</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8280" w:type="dxa"/>
            <w:vAlign w:val="bottom"/>
            <w:gridSpan w:val="20"/>
            <w:shd w:val="clear" w:color="auto" w:fill="CCEEFF"/>
          </w:tcPr>
          <w:p>
            <w:pPr>
              <w:spacing w:after="0" w:line="201" w:lineRule="exact"/>
              <w:rPr>
                <w:sz w:val="20"/>
                <w:szCs w:val="20"/>
                <w:color w:val="auto"/>
              </w:rPr>
            </w:pPr>
            <w:r>
              <w:rPr>
                <w:rFonts w:ascii="Arial" w:cs="Arial" w:eastAsia="Arial" w:hAnsi="Arial"/>
                <w:sz w:val="18"/>
                <w:szCs w:val="18"/>
                <w:color w:val="auto"/>
                <w:w w:val="88"/>
              </w:rPr>
              <w:t>Applies annualy to the new balance since February 2013 for new affiliates to the system and beginning on June 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spacing w:after="0"/>
              <w:rPr>
                <w:sz w:val="20"/>
                <w:szCs w:val="20"/>
                <w:color w:val="auto"/>
              </w:rPr>
            </w:pPr>
          </w:p>
        </w:tc>
        <w:tc>
          <w:tcPr>
            <w:tcW w:w="4520" w:type="dxa"/>
            <w:vAlign w:val="bottom"/>
            <w:gridSpan w:val="13"/>
            <w:shd w:val="clear" w:color="auto" w:fill="CCEEFF"/>
          </w:tcPr>
          <w:p>
            <w:pPr>
              <w:spacing w:after="0"/>
              <w:rPr>
                <w:sz w:val="20"/>
                <w:szCs w:val="20"/>
                <w:color w:val="auto"/>
              </w:rPr>
            </w:pPr>
            <w:r>
              <w:rPr>
                <w:rFonts w:ascii="Arial" w:cs="Arial" w:eastAsia="Arial" w:hAnsi="Arial"/>
                <w:sz w:val="18"/>
                <w:szCs w:val="18"/>
                <w:color w:val="auto"/>
                <w:w w:val="95"/>
              </w:rPr>
              <w:t>for old affiliates who have chosen this commission scheme.</w:t>
            </w: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20" w:type="dxa"/>
            <w:vAlign w:val="bottom"/>
            <w:gridSpan w:val="4"/>
          </w:tcPr>
          <w:p>
            <w:pPr>
              <w:spacing w:after="0"/>
              <w:rPr>
                <w:sz w:val="20"/>
                <w:szCs w:val="20"/>
                <w:color w:val="auto"/>
              </w:rPr>
            </w:pPr>
            <w:r>
              <w:rPr>
                <w:rFonts w:ascii="Arial" w:cs="Arial" w:eastAsia="Arial" w:hAnsi="Arial"/>
                <w:sz w:val="18"/>
                <w:szCs w:val="18"/>
                <w:b w:val="1"/>
                <w:bCs w:val="1"/>
                <w:color w:val="auto"/>
              </w:rPr>
              <w:t>Main indicators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rPr>
              <w:t>Prima</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System</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share</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Prima</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System</w:t>
            </w:r>
          </w:p>
        </w:tc>
        <w:tc>
          <w:tcPr>
            <w:tcW w:w="160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2"/>
              </w:rPr>
              <w:t>% share</w:t>
            </w:r>
          </w:p>
        </w:tc>
        <w:tc>
          <w:tcPr>
            <w:tcW w:w="0" w:type="dxa"/>
            <w:vAlign w:val="bottom"/>
          </w:tcPr>
          <w:p>
            <w:pPr>
              <w:spacing w:after="0"/>
              <w:rPr>
                <w:sz w:val="1"/>
                <w:szCs w:val="1"/>
                <w:color w:val="auto"/>
              </w:rPr>
            </w:pPr>
          </w:p>
        </w:tc>
      </w:tr>
      <w:tr>
        <w:trPr>
          <w:trHeight w:val="234"/>
        </w:trPr>
        <w:tc>
          <w:tcPr>
            <w:tcW w:w="3140" w:type="dxa"/>
            <w:vAlign w:val="bottom"/>
            <w:gridSpan w:val="8"/>
          </w:tcPr>
          <w:p>
            <w:pPr>
              <w:spacing w:after="0"/>
              <w:rPr>
                <w:sz w:val="20"/>
                <w:szCs w:val="20"/>
                <w:color w:val="auto"/>
              </w:rPr>
            </w:pPr>
            <w:r>
              <w:rPr>
                <w:rFonts w:ascii="Arial" w:cs="Arial" w:eastAsia="Arial" w:hAnsi="Arial"/>
                <w:sz w:val="18"/>
                <w:szCs w:val="18"/>
                <w:b w:val="1"/>
                <w:bCs w:val="1"/>
                <w:color w:val="auto"/>
              </w:rPr>
              <w:t>Main indicators and market share</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0"/>
              </w:rPr>
              <w:t>1Q19</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1Q19</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1Q19</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2Q19</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2Q19</w:t>
            </w:r>
          </w:p>
        </w:tc>
        <w:tc>
          <w:tcPr>
            <w:tcW w:w="160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5"/>
              </w:rPr>
              <w:t>2Q19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Affiliates</w:t>
            </w:r>
          </w:p>
        </w:tc>
        <w:tc>
          <w:tcPr>
            <w:tcW w:w="6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2,260,041</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7,131,902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2,334,751</w:t>
            </w:r>
          </w:p>
        </w:tc>
        <w:tc>
          <w:tcPr>
            <w:tcW w:w="22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7,224,167</w:t>
            </w:r>
          </w:p>
        </w:tc>
        <w:tc>
          <w:tcPr>
            <w:tcW w:w="22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80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New affiliations </w:t>
            </w:r>
            <w:r>
              <w:rPr>
                <w:rFonts w:ascii="Arial" w:cs="Arial" w:eastAsia="Arial" w:hAnsi="Arial"/>
                <w:sz w:val="29"/>
                <w:szCs w:val="29"/>
                <w:color w:val="auto"/>
                <w:vertAlign w:val="superscript"/>
              </w:rPr>
              <w:t>(1)</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117,519</w:t>
            </w:r>
          </w:p>
        </w:tc>
        <w:tc>
          <w:tcPr>
            <w:tcW w:w="16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117,519</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68,300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96,917</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70.5%</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9"/>
              </w:rPr>
              <w:t>Funds under management (S/ Millions)</w:t>
            </w: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50,736</w:t>
            </w:r>
          </w:p>
        </w:tc>
        <w:tc>
          <w:tcPr>
            <w:tcW w:w="16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162,263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51,724</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165,755</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Arial" w:cs="Arial" w:eastAsia="Arial" w:hAnsi="Arial"/>
                <w:sz w:val="18"/>
                <w:szCs w:val="18"/>
                <w:color w:val="auto"/>
                <w:w w:val="95"/>
              </w:rPr>
              <w:t>Collections (S/ Millions)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1,525</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4,023</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1,337</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3,716</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9"/>
              </w:rPr>
              <w:t>Voluntary contributions (S/ Millions) (2)</w:t>
            </w: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2,032</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800" w:type="dxa"/>
            <w:vAlign w:val="bottom"/>
            <w:gridSpan w:val="3"/>
          </w:tcPr>
          <w:p>
            <w:pPr>
              <w:spacing w:after="0" w:line="269" w:lineRule="exact"/>
              <w:rPr>
                <w:sz w:val="20"/>
                <w:szCs w:val="20"/>
                <w:color w:val="auto"/>
              </w:rPr>
            </w:pPr>
            <w:r>
              <w:rPr>
                <w:rFonts w:ascii="Arial" w:cs="Arial" w:eastAsia="Arial" w:hAnsi="Arial"/>
                <w:sz w:val="18"/>
                <w:szCs w:val="18"/>
                <w:color w:val="auto"/>
              </w:rPr>
              <w:t xml:space="preserve">RAM (S/ Millions) </w:t>
            </w:r>
            <w:r>
              <w:rPr>
                <w:rFonts w:ascii="Arial" w:cs="Arial" w:eastAsia="Arial" w:hAnsi="Arial"/>
                <w:sz w:val="30"/>
                <w:szCs w:val="30"/>
                <w:color w:val="auto"/>
                <w:vertAlign w:val="superscript"/>
              </w:rPr>
              <w:t>(3)</w:t>
            </w: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2,794</w:t>
            </w:r>
          </w:p>
        </w:tc>
        <w:tc>
          <w:tcPr>
            <w:tcW w:w="16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7,936</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35.2%</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2,933</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7,772</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SBS</w:t>
      </w:r>
    </w:p>
    <w:p>
      <w:pPr>
        <w:spacing w:after="0" w:line="23" w:lineRule="exact"/>
        <w:rPr>
          <w:sz w:val="20"/>
          <w:szCs w:val="20"/>
          <w:color w:val="auto"/>
        </w:rPr>
      </w:pPr>
    </w:p>
    <w:p>
      <w:pPr>
        <w:ind w:left="260" w:hanging="252"/>
        <w:spacing w:after="0"/>
        <w:tabs>
          <w:tab w:leader="none" w:pos="260" w:val="left"/>
        </w:tabs>
        <w:numPr>
          <w:ilvl w:val="0"/>
          <w:numId w:val="101"/>
        </w:numPr>
        <w:rPr>
          <w:rFonts w:ascii="Arial" w:cs="Arial" w:eastAsia="Arial" w:hAnsi="Arial"/>
          <w:sz w:val="18"/>
          <w:szCs w:val="18"/>
          <w:i w:val="1"/>
          <w:iCs w:val="1"/>
          <w:color w:val="auto"/>
        </w:rPr>
      </w:pPr>
      <w:r>
        <w:rPr>
          <w:rFonts w:ascii="Arial" w:cs="Arial" w:eastAsia="Arial" w:hAnsi="Arial"/>
          <w:sz w:val="18"/>
          <w:szCs w:val="18"/>
          <w:i w:val="1"/>
          <w:iCs w:val="1"/>
          <w:color w:val="auto"/>
        </w:rPr>
        <w:t>As of June 2019, another AFP has the exclusivity of affiliations.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01"/>
        </w:numPr>
        <w:rPr>
          <w:rFonts w:ascii="Arial" w:cs="Arial" w:eastAsia="Arial" w:hAnsi="Arial"/>
          <w:sz w:val="18"/>
          <w:szCs w:val="18"/>
          <w:i w:val="1"/>
          <w:iCs w:val="1"/>
          <w:color w:val="auto"/>
        </w:rPr>
      </w:pPr>
      <w:r>
        <w:rPr>
          <w:rFonts w:ascii="Arial" w:cs="Arial" w:eastAsia="Arial" w:hAnsi="Arial"/>
          <w:sz w:val="18"/>
          <w:szCs w:val="18"/>
          <w:i w:val="1"/>
          <w:iCs w:val="1"/>
          <w:color w:val="auto"/>
        </w:rPr>
        <w:t>Information available to May 2019.</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01"/>
        </w:numPr>
        <w:rPr>
          <w:rFonts w:ascii="Arial" w:cs="Arial" w:eastAsia="Arial" w:hAnsi="Arial"/>
          <w:sz w:val="18"/>
          <w:szCs w:val="18"/>
          <w:i w:val="1"/>
          <w:iCs w:val="1"/>
          <w:color w:val="auto"/>
        </w:rPr>
      </w:pPr>
      <w:r>
        <w:rPr>
          <w:rFonts w:ascii="Arial" w:cs="Arial" w:eastAsia="Arial" w:hAnsi="Arial"/>
          <w:sz w:val="18"/>
          <w:szCs w:val="18"/>
          <w:i w:val="1"/>
          <w:iCs w:val="1"/>
          <w:color w:val="auto"/>
        </w:rPr>
        <w:t>Prima AFP estimate: Average of aggregated income during the last 4 months, excluding special collections and voluntary contribution fees.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221"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11.9.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746115" cy="65347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46115" cy="653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60" w:hanging="252"/>
        <w:spacing w:after="0"/>
        <w:tabs>
          <w:tab w:leader="none" w:pos="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Includes total deposits, due to banks and correspondents, BCRP instruments, repurchase agreements and bonds and notes issued.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Does not include Life insurance business.</w:t>
      </w:r>
    </w:p>
    <w:p>
      <w:pPr>
        <w:spacing w:after="0" w:line="9" w:lineRule="exact"/>
        <w:rPr>
          <w:rFonts w:ascii="Arial" w:cs="Arial" w:eastAsia="Arial" w:hAnsi="Arial"/>
          <w:sz w:val="18"/>
          <w:szCs w:val="18"/>
          <w:color w:val="auto"/>
        </w:rPr>
      </w:pPr>
    </w:p>
    <w:p>
      <w:pPr>
        <w:jc w:val="both"/>
        <w:ind w:right="20" w:firstLine="8"/>
        <w:spacing w:after="0" w:line="265" w:lineRule="auto"/>
        <w:tabs>
          <w:tab w:leader="none" w:pos="26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Includes investment in subsidiaries, goodwill, intangibles and deferred tax that rely on future profitability.</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1)"/>
      <w:numFmt w:val="decimal"/>
      <w:start w:val="1"/>
    </w:lvl>
  </w:abstractNum>
  <w:abstractNum w:abstractNumId="2">
    <w:nsid w:val="12E685FB"/>
    <w:multiLevelType w:val="hybridMultilevel"/>
    <w:lvl w:ilvl="0">
      <w:lvlJc w:val="left"/>
      <w:lvlText w:val="(%1)"/>
      <w:numFmt w:val="decimal"/>
      <w:start w:val="1"/>
    </w:lvl>
  </w:abstractNum>
  <w:abstractNum w:abstractNumId="3">
    <w:nsid w:val="70C6A529"/>
    <w:multiLevelType w:val="hybridMultilevel"/>
    <w:lvl w:ilvl="0">
      <w:lvlJc w:val="left"/>
      <w:lvlText w:val="(%1)"/>
      <w:numFmt w:val="decimal"/>
      <w:start w:val="1"/>
    </w:lvl>
  </w:abstractNum>
  <w:abstractNum w:abstractNumId="4">
    <w:nsid w:val="520EEDD1"/>
    <w:multiLevelType w:val="hybridMultilevel"/>
    <w:lvl w:ilvl="0">
      <w:lvlJc w:val="left"/>
      <w:lvlText w:val="%1."/>
      <w:numFmt w:val="decimal"/>
      <w:start w:val="1"/>
    </w:lvl>
  </w:abstractNum>
  <w:abstractNum w:abstractNumId="5">
    <w:nsid w:val="374A3FE6"/>
    <w:multiLevelType w:val="hybridMultilevel"/>
    <w:lvl w:ilvl="0">
      <w:lvlJc w:val="left"/>
      <w:lvlText w:val="(%1)"/>
      <w:numFmt w:val="decimal"/>
      <w:start w:val="1"/>
    </w:lvl>
  </w:abstractNum>
  <w:abstractNum w:abstractNumId="6">
    <w:nsid w:val="4F4EF005"/>
    <w:multiLevelType w:val="hybridMultilevel"/>
    <w:lvl w:ilvl="0">
      <w:lvlJc w:val="left"/>
      <w:lvlText w:val="(%1)"/>
      <w:numFmt w:val="decimal"/>
      <w:start w:val="1"/>
    </w:lvl>
  </w:abstractNum>
  <w:abstractNum w:abstractNumId="7">
    <w:nsid w:val="23F9C13C"/>
    <w:multiLevelType w:val="hybridMultilevel"/>
    <w:lvl w:ilvl="0">
      <w:lvlJc w:val="left"/>
      <w:lvlText w:val="(%1)"/>
      <w:numFmt w:val="lowerRoman"/>
      <w:start w:val="1"/>
    </w:lvl>
  </w:abstractNum>
  <w:abstractNum w:abstractNumId="8">
    <w:nsid w:val="649BB77C"/>
    <w:multiLevelType w:val="hybridMultilevel"/>
    <w:lvl w:ilvl="0">
      <w:lvlJc w:val="left"/>
      <w:lvlText w:val="(%1)"/>
      <w:numFmt w:val="lowerRoman"/>
      <w:start w:val="1"/>
    </w:lvl>
  </w:abstractNum>
  <w:abstractNum w:abstractNumId="9">
    <w:nsid w:val="275AC794"/>
    <w:multiLevelType w:val="hybridMultilevel"/>
    <w:lvl w:ilvl="0">
      <w:lvlJc w:val="left"/>
      <w:lvlText w:val="(%1)"/>
      <w:numFmt w:val="decimal"/>
      <w:start w:val="1"/>
    </w:lvl>
  </w:abstractNum>
  <w:abstractNum w:abstractNumId="10">
    <w:nsid w:val="39386575"/>
    <w:multiLevelType w:val="hybridMultilevel"/>
    <w:lvl w:ilvl="0">
      <w:lvlJc w:val="left"/>
      <w:lvlText w:val="(%1)"/>
      <w:numFmt w:val="lowerRoman"/>
      <w:start w:val="1"/>
    </w:lvl>
  </w:abstractNum>
  <w:abstractNum w:abstractNumId="11">
    <w:nsid w:val="1CF10FD8"/>
    <w:multiLevelType w:val="hybridMultilevel"/>
    <w:lvl w:ilvl="0">
      <w:lvlJc w:val="left"/>
      <w:lvlText w:val="(%1)"/>
      <w:numFmt w:val="lowerRoman"/>
      <w:start w:val="1"/>
    </w:lvl>
  </w:abstractNum>
  <w:abstractNum w:abstractNumId="12">
    <w:nsid w:val="180115BE"/>
    <w:multiLevelType w:val="hybridMultilevel"/>
    <w:lvl w:ilvl="0">
      <w:lvlJc w:val="left"/>
      <w:lvlText w:val="(%1)"/>
      <w:numFmt w:val="lowerRoman"/>
      <w:start w:val="3"/>
    </w:lvl>
  </w:abstractNum>
  <w:abstractNum w:abstractNumId="13">
    <w:nsid w:val="235BA861"/>
    <w:multiLevelType w:val="hybridMultilevel"/>
    <w:lvl w:ilvl="0">
      <w:lvlJc w:val="left"/>
      <w:lvlText w:val="(%1)"/>
      <w:numFmt w:val="decimal"/>
      <w:start w:val="1"/>
    </w:lvl>
  </w:abstractNum>
  <w:abstractNum w:abstractNumId="14">
    <w:nsid w:val="47398C89"/>
    <w:multiLevelType w:val="hybridMultilevel"/>
    <w:lvl w:ilvl="0">
      <w:lvlJc w:val="left"/>
      <w:lvlText w:val="(%1)"/>
      <w:numFmt w:val="decimal"/>
      <w:start w:val="1"/>
    </w:lvl>
  </w:abstractNum>
  <w:abstractNum w:abstractNumId="15">
    <w:nsid w:val="354FE9F9"/>
    <w:multiLevelType w:val="hybridMultilevel"/>
    <w:lvl w:ilvl="0">
      <w:lvlJc w:val="left"/>
      <w:lvlText w:val="(%1)"/>
      <w:numFmt w:val="lowerRoman"/>
      <w:start w:val="1"/>
    </w:lvl>
  </w:abstractNum>
  <w:abstractNum w:abstractNumId="16">
    <w:nsid w:val="15B5AF5C"/>
    <w:multiLevelType w:val="hybridMultilevel"/>
    <w:lvl w:ilvl="0">
      <w:lvlJc w:val="left"/>
      <w:lvlText w:val="(%1)"/>
      <w:numFmt w:val="decimal"/>
      <w:start w:val="1"/>
    </w:lvl>
  </w:abstractNum>
  <w:abstractNum w:abstractNumId="17">
    <w:nsid w:val="741226BB"/>
    <w:multiLevelType w:val="hybridMultilevel"/>
    <w:lvl w:ilvl="0">
      <w:lvlJc w:val="left"/>
      <w:lvlText w:val="(%1)"/>
      <w:numFmt w:val="decimal"/>
      <w:start w:val="1"/>
    </w:lvl>
  </w:abstractNum>
  <w:abstractNum w:abstractNumId="18">
    <w:nsid w:val="D34B6A8"/>
    <w:multiLevelType w:val="hybridMultilevel"/>
    <w:lvl w:ilvl="0">
      <w:lvlJc w:val="left"/>
      <w:lvlText w:val="%1."/>
      <w:numFmt w:val="decimal"/>
      <w:start w:val="2"/>
    </w:lvl>
  </w:abstractNum>
  <w:abstractNum w:abstractNumId="19">
    <w:nsid w:val="10233C99"/>
    <w:multiLevelType w:val="hybridMultilevel"/>
    <w:lvl w:ilvl="0">
      <w:lvlJc w:val="left"/>
      <w:lvlText w:val="(%1)"/>
      <w:numFmt w:val="lowerRoman"/>
      <w:start w:val="1"/>
    </w:lvl>
  </w:abstractNum>
  <w:abstractNum w:abstractNumId="20">
    <w:nsid w:val="3F6AB60F"/>
    <w:multiLevelType w:val="hybridMultilevel"/>
    <w:lvl w:ilvl="0">
      <w:lvlJc w:val="left"/>
      <w:lvlText w:val="(%1)"/>
      <w:numFmt w:val="lowerRoman"/>
      <w:start w:val="3"/>
    </w:lvl>
  </w:abstractNum>
  <w:abstractNum w:abstractNumId="21">
    <w:nsid w:val="61574095"/>
    <w:multiLevelType w:val="hybridMultilevel"/>
    <w:lvl w:ilvl="0">
      <w:lvlJc w:val="left"/>
      <w:lvlText w:val="(%1)"/>
      <w:numFmt w:val="lowerRoman"/>
      <w:start w:val="1"/>
    </w:lvl>
  </w:abstractNum>
  <w:abstractNum w:abstractNumId="22">
    <w:nsid w:val="7E0C57B1"/>
    <w:multiLevelType w:val="hybridMultilevel"/>
    <w:lvl w:ilvl="0">
      <w:lvlJc w:val="left"/>
      <w:lvlText w:val="(%1)"/>
      <w:numFmt w:val="lowerRoman"/>
      <w:start w:val="1"/>
    </w:lvl>
  </w:abstractNum>
  <w:abstractNum w:abstractNumId="23">
    <w:nsid w:val="77AE35EB"/>
    <w:multiLevelType w:val="hybridMultilevel"/>
    <w:lvl w:ilvl="0">
      <w:lvlJc w:val="left"/>
      <w:lvlText w:val="(%1)"/>
      <w:numFmt w:val="lowerRoman"/>
      <w:start w:val="1"/>
    </w:lvl>
  </w:abstractNum>
  <w:abstractNum w:abstractNumId="24">
    <w:nsid w:val="579BE4F1"/>
    <w:multiLevelType w:val="hybridMultilevel"/>
    <w:lvl w:ilvl="0">
      <w:lvlJc w:val="left"/>
      <w:lvlText w:val="%1"/>
      <w:numFmt w:val="lowerRoman"/>
      <w:start w:val="1"/>
    </w:lvl>
    <w:lvl w:ilvl="1">
      <w:lvlJc w:val="left"/>
      <w:lvlText w:val="(%2)"/>
      <w:numFmt w:val="decimal"/>
      <w:start w:val="1"/>
    </w:lvl>
  </w:abstractNum>
  <w:abstractNum w:abstractNumId="25">
    <w:nsid w:val="310C50B3"/>
    <w:multiLevelType w:val="hybridMultilevel"/>
    <w:lvl w:ilvl="0">
      <w:lvlJc w:val="left"/>
      <w:lvlText w:val="(%1)"/>
      <w:numFmt w:val="lowerRoman"/>
      <w:start w:val="1"/>
    </w:lvl>
    <w:lvl w:ilvl="1">
      <w:lvlJc w:val="left"/>
      <w:lvlText w:val="%2"/>
      <w:numFmt w:val="decimal"/>
      <w:start w:val="1"/>
    </w:lvl>
  </w:abstractNum>
  <w:abstractNum w:abstractNumId="26">
    <w:nsid w:val="5FF87E05"/>
    <w:multiLevelType w:val="hybridMultilevel"/>
    <w:lvl w:ilvl="0">
      <w:lvlJc w:val="left"/>
      <w:lvlText w:val="(%1)"/>
      <w:numFmt w:val="lowerRoman"/>
      <w:start w:val="3"/>
    </w:lvl>
  </w:abstractNum>
  <w:abstractNum w:abstractNumId="27">
    <w:nsid w:val="2F305DEF"/>
    <w:multiLevelType w:val="hybridMultilevel"/>
    <w:lvl w:ilvl="0">
      <w:lvlJc w:val="left"/>
      <w:lvlText w:val="(%1)"/>
      <w:numFmt w:val="lowerRoman"/>
      <w:start w:val="1"/>
    </w:lvl>
  </w:abstractNum>
  <w:abstractNum w:abstractNumId="28">
    <w:nsid w:val="25A70BF7"/>
    <w:multiLevelType w:val="hybridMultilevel"/>
    <w:lvl w:ilvl="0">
      <w:lvlJc w:val="left"/>
      <w:lvlText w:val="(%1)"/>
      <w:numFmt w:val="lowerRoman"/>
      <w:start w:val="1"/>
    </w:lvl>
  </w:abstractNum>
  <w:abstractNum w:abstractNumId="29">
    <w:nsid w:val="1DBABF00"/>
    <w:multiLevelType w:val="hybridMultilevel"/>
    <w:lvl w:ilvl="0">
      <w:lvlJc w:val="left"/>
      <w:lvlText w:val="%1."/>
      <w:numFmt w:val="decimal"/>
      <w:start w:val="3"/>
    </w:lvl>
  </w:abstractNum>
  <w:abstractNum w:abstractNumId="30">
    <w:nsid w:val="4AD084E9"/>
    <w:multiLevelType w:val="hybridMultilevel"/>
    <w:lvl w:ilvl="0">
      <w:lvlJc w:val="left"/>
      <w:lvlText w:val="(%1)"/>
      <w:numFmt w:val="lowerRoman"/>
      <w:start w:val="1"/>
    </w:lvl>
  </w:abstractNum>
  <w:abstractNum w:abstractNumId="31">
    <w:nsid w:val="1F48EAA1"/>
    <w:multiLevelType w:val="hybridMultilevel"/>
    <w:lvl w:ilvl="0">
      <w:lvlJc w:val="left"/>
      <w:lvlText w:val="(%1)"/>
      <w:numFmt w:val="decimal"/>
      <w:start w:val="1"/>
    </w:lvl>
  </w:abstractNum>
  <w:abstractNum w:abstractNumId="32">
    <w:nsid w:val="1381823A"/>
    <w:multiLevelType w:val="hybridMultilevel"/>
    <w:lvl w:ilvl="0">
      <w:lvlJc w:val="left"/>
      <w:lvlText w:val="(%1)"/>
      <w:numFmt w:val="lowerRoman"/>
      <w:start w:val="1"/>
    </w:lvl>
  </w:abstractNum>
  <w:abstractNum w:abstractNumId="33">
    <w:nsid w:val="5DB70AE5"/>
    <w:multiLevelType w:val="hybridMultilevel"/>
    <w:lvl w:ilvl="0">
      <w:lvlJc w:val="left"/>
      <w:lvlText w:val="(%1)"/>
      <w:numFmt w:val="lowerRoman"/>
      <w:start w:val="1"/>
    </w:lvl>
  </w:abstractNum>
  <w:abstractNum w:abstractNumId="34">
    <w:nsid w:val="100F8FCA"/>
    <w:multiLevelType w:val="hybridMultilevel"/>
    <w:lvl w:ilvl="0">
      <w:lvlJc w:val="left"/>
      <w:lvlText w:val="(%1)"/>
      <w:numFmt w:val="decimal"/>
      <w:start w:val="1"/>
    </w:lvl>
  </w:abstractNum>
  <w:abstractNum w:abstractNumId="35">
    <w:nsid w:val="6590700B"/>
    <w:multiLevelType w:val="hybridMultilevel"/>
    <w:lvl w:ilvl="0">
      <w:lvlJc w:val="left"/>
      <w:lvlText w:val="(%1)"/>
      <w:numFmt w:val="lowerRoman"/>
      <w:start w:val="1"/>
    </w:lvl>
  </w:abstractNum>
  <w:abstractNum w:abstractNumId="36">
    <w:nsid w:val="15014ACB"/>
    <w:multiLevelType w:val="hybridMultilevel"/>
    <w:lvl w:ilvl="0">
      <w:lvlJc w:val="left"/>
      <w:lvlText w:val="(%1)"/>
      <w:numFmt w:val="lowerRoman"/>
      <w:start w:val="2"/>
    </w:lvl>
  </w:abstractNum>
  <w:abstractNum w:abstractNumId="37">
    <w:nsid w:val="5F5E7FD0"/>
    <w:multiLevelType w:val="hybridMultilevel"/>
    <w:lvl w:ilvl="0">
      <w:lvlJc w:val="left"/>
      <w:lvlText w:val="(%1)"/>
      <w:numFmt w:val="lowerRoman"/>
      <w:start w:val="3"/>
    </w:lvl>
  </w:abstractNum>
  <w:abstractNum w:abstractNumId="38">
    <w:nsid w:val="98A3148"/>
    <w:multiLevelType w:val="hybridMultilevel"/>
    <w:lvl w:ilvl="0">
      <w:lvlJc w:val="left"/>
      <w:lvlText w:val="(%1)"/>
      <w:numFmt w:val="lowerRoman"/>
      <w:start w:val="4"/>
    </w:lvl>
  </w:abstractNum>
  <w:abstractNum w:abstractNumId="39">
    <w:nsid w:val="799D0247"/>
    <w:multiLevelType w:val="hybridMultilevel"/>
    <w:lvl w:ilvl="0">
      <w:lvlJc w:val="left"/>
      <w:lvlText w:val="(%1)"/>
      <w:numFmt w:val="lowerRoman"/>
      <w:start w:val="5"/>
    </w:lvl>
  </w:abstractNum>
  <w:abstractNum w:abstractNumId="40">
    <w:nsid w:val="6B94764"/>
    <w:multiLevelType w:val="hybridMultilevel"/>
    <w:lvl w:ilvl="0">
      <w:lvlJc w:val="left"/>
      <w:lvlText w:val="(%1)"/>
      <w:numFmt w:val="lowerRoman"/>
      <w:start w:val="6"/>
    </w:lvl>
  </w:abstractNum>
  <w:abstractNum w:abstractNumId="41">
    <w:nsid w:val="42C296BD"/>
    <w:multiLevelType w:val="hybridMultilevel"/>
    <w:lvl w:ilvl="0">
      <w:lvlJc w:val="left"/>
      <w:lvlText w:val="(%1)"/>
      <w:numFmt w:val="lowerRoman"/>
      <w:start w:val="7"/>
    </w:lvl>
  </w:abstractNum>
  <w:abstractNum w:abstractNumId="42">
    <w:nsid w:val="168E121F"/>
    <w:multiLevelType w:val="hybridMultilevel"/>
    <w:lvl w:ilvl="0">
      <w:lvlJc w:val="left"/>
      <w:lvlText w:val="(%1)"/>
      <w:numFmt w:val="lowerRoman"/>
      <w:start w:val="8"/>
    </w:lvl>
  </w:abstractNum>
  <w:abstractNum w:abstractNumId="43">
    <w:nsid w:val="1EBA5D23"/>
    <w:multiLevelType w:val="hybridMultilevel"/>
    <w:lvl w:ilvl="0">
      <w:lvlJc w:val="left"/>
      <w:lvlText w:val="%1."/>
      <w:numFmt w:val="decimal"/>
      <w:start w:val="4"/>
    </w:lvl>
  </w:abstractNum>
  <w:abstractNum w:abstractNumId="44">
    <w:nsid w:val="661E3F1E"/>
    <w:multiLevelType w:val="hybridMultilevel"/>
    <w:lvl w:ilvl="0">
      <w:lvlJc w:val="left"/>
      <w:lvlText w:val="(%1)"/>
      <w:numFmt w:val="decimal"/>
      <w:start w:val="1"/>
    </w:lvl>
  </w:abstractNum>
  <w:abstractNum w:abstractNumId="45">
    <w:nsid w:val="5DC79EA8"/>
    <w:multiLevelType w:val="hybridMultilevel"/>
    <w:lvl w:ilvl="0">
      <w:lvlJc w:val="left"/>
      <w:lvlText w:val="(%1)"/>
      <w:numFmt w:val="lowerRoman"/>
      <w:start w:val="1"/>
    </w:lvl>
  </w:abstractNum>
  <w:abstractNum w:abstractNumId="46">
    <w:nsid w:val="540A471C"/>
    <w:multiLevelType w:val="hybridMultilevel"/>
    <w:lvl w:ilvl="0">
      <w:lvlJc w:val="left"/>
      <w:lvlText w:val="(%1)"/>
      <w:numFmt w:val="lowerRoman"/>
      <w:start w:val="3"/>
    </w:lvl>
  </w:abstractNum>
  <w:abstractNum w:abstractNumId="47">
    <w:nsid w:val="7BD3EE7B"/>
    <w:multiLevelType w:val="hybridMultilevel"/>
    <w:lvl w:ilvl="0">
      <w:lvlJc w:val="left"/>
      <w:lvlText w:val="(%1)"/>
      <w:numFmt w:val="lowerRoman"/>
      <w:start w:val="1"/>
    </w:lvl>
  </w:abstractNum>
  <w:abstractNum w:abstractNumId="48">
    <w:nsid w:val="51D9C564"/>
    <w:multiLevelType w:val="hybridMultilevel"/>
    <w:lvl w:ilvl="0">
      <w:lvlJc w:val="left"/>
      <w:lvlText w:val="(%1)"/>
      <w:numFmt w:val="lowerRoman"/>
      <w:start w:val="1"/>
    </w:lvl>
  </w:abstractNum>
  <w:abstractNum w:abstractNumId="49">
    <w:nsid w:val="613EFDC5"/>
    <w:multiLevelType w:val="hybridMultilevel"/>
    <w:lvl w:ilvl="0">
      <w:lvlJc w:val="left"/>
      <w:lvlText w:val="(%1)"/>
      <w:numFmt w:val="lowerRoman"/>
      <w:start w:val="1"/>
    </w:lvl>
  </w:abstractNum>
  <w:abstractNum w:abstractNumId="50">
    <w:nsid w:val="BF72B14"/>
    <w:multiLevelType w:val="hybridMultilevel"/>
    <w:lvl w:ilvl="0">
      <w:lvlJc w:val="left"/>
      <w:lvlText w:val="(%1)"/>
      <w:numFmt w:val="lowerRoman"/>
      <w:start w:val="1"/>
    </w:lvl>
  </w:abstractNum>
  <w:abstractNum w:abstractNumId="51">
    <w:nsid w:val="11447B73"/>
    <w:multiLevelType w:val="hybridMultilevel"/>
    <w:lvl w:ilvl="0">
      <w:lvlJc w:val="left"/>
      <w:lvlText w:val="(%1)"/>
      <w:numFmt w:val="decimal"/>
      <w:start w:val="1"/>
    </w:lvl>
  </w:abstractNum>
  <w:abstractNum w:abstractNumId="52">
    <w:nsid w:val="42963E5A"/>
    <w:multiLevelType w:val="hybridMultilevel"/>
    <w:lvl w:ilvl="0">
      <w:lvlJc w:val="left"/>
      <w:lvlText w:val="(%1)"/>
      <w:numFmt w:val="lowerRoman"/>
      <w:start w:val="1"/>
    </w:lvl>
  </w:abstractNum>
  <w:abstractNum w:abstractNumId="53">
    <w:nsid w:val="A0382C5"/>
    <w:multiLevelType w:val="hybridMultilevel"/>
    <w:lvl w:ilvl="0">
      <w:lvlJc w:val="left"/>
      <w:lvlText w:val="(%1)"/>
      <w:numFmt w:val="decimal"/>
      <w:start w:val="2"/>
    </w:lvl>
  </w:abstractNum>
  <w:abstractNum w:abstractNumId="54">
    <w:nsid w:val="8F2B15E"/>
    <w:multiLevelType w:val="hybridMultilevel"/>
    <w:lvl w:ilvl="0">
      <w:lvlJc w:val="left"/>
      <w:lvlText w:val="(%1)"/>
      <w:numFmt w:val="decimal"/>
      <w:start w:val="1"/>
    </w:lvl>
  </w:abstractNum>
  <w:abstractNum w:abstractNumId="55">
    <w:nsid w:val="1A32234B"/>
    <w:multiLevelType w:val="hybridMultilevel"/>
    <w:lvl w:ilvl="0">
      <w:lvlJc w:val="left"/>
      <w:lvlText w:val="%1."/>
      <w:numFmt w:val="decimal"/>
      <w:start w:val="5"/>
    </w:lvl>
  </w:abstractNum>
  <w:abstractNum w:abstractNumId="56">
    <w:nsid w:val="3B0FD379"/>
    <w:multiLevelType w:val="hybridMultilevel"/>
    <w:lvl w:ilvl="0">
      <w:lvlJc w:val="left"/>
      <w:lvlText w:val="(%1)"/>
      <w:numFmt w:val="decimal"/>
      <w:start w:val="1"/>
    </w:lvl>
  </w:abstractNum>
  <w:abstractNum w:abstractNumId="57">
    <w:nsid w:val="68EB2F63"/>
    <w:multiLevelType w:val="hybridMultilevel"/>
    <w:lvl w:ilvl="0">
      <w:lvlJc w:val="left"/>
      <w:lvlText w:val="(%1)"/>
      <w:numFmt w:val="lowerRoman"/>
      <w:start w:val="1"/>
    </w:lvl>
  </w:abstractNum>
  <w:abstractNum w:abstractNumId="58">
    <w:nsid w:val="4962813B"/>
    <w:multiLevelType w:val="hybridMultilevel"/>
    <w:lvl w:ilvl="0">
      <w:lvlJc w:val="left"/>
      <w:lvlText w:val="(%1)"/>
      <w:numFmt w:val="lowerRoman"/>
      <w:start w:val="1"/>
    </w:lvl>
  </w:abstractNum>
  <w:abstractNum w:abstractNumId="59">
    <w:nsid w:val="60B6DF70"/>
    <w:multiLevelType w:val="hybridMultilevel"/>
    <w:lvl w:ilvl="0">
      <w:lvlJc w:val="left"/>
      <w:lvlText w:val="(%1)"/>
      <w:numFmt w:val="lowerRoman"/>
      <w:start w:val="1"/>
    </w:lvl>
  </w:abstractNum>
  <w:abstractNum w:abstractNumId="60">
    <w:nsid w:val="6A5EE64"/>
    <w:multiLevelType w:val="hybridMultilevel"/>
    <w:lvl w:ilvl="0">
      <w:lvlJc w:val="left"/>
      <w:lvlText w:val="(%1)"/>
      <w:numFmt w:val="lowerRoman"/>
      <w:start w:val="2"/>
    </w:lvl>
  </w:abstractNum>
  <w:abstractNum w:abstractNumId="61">
    <w:nsid w:val="14330624"/>
    <w:multiLevelType w:val="hybridMultilevel"/>
    <w:lvl w:ilvl="0">
      <w:lvlJc w:val="left"/>
      <w:lvlText w:val="(%1)"/>
      <w:numFmt w:val="lowerRoman"/>
      <w:start w:val="1"/>
    </w:lvl>
  </w:abstractNum>
  <w:abstractNum w:abstractNumId="62">
    <w:nsid w:val="7FFFCA11"/>
    <w:multiLevelType w:val="hybridMultilevel"/>
    <w:lvl w:ilvl="0">
      <w:lvlJc w:val="left"/>
      <w:lvlText w:val="(%1)"/>
      <w:numFmt w:val="decimal"/>
      <w:start w:val="1"/>
    </w:lvl>
  </w:abstractNum>
  <w:abstractNum w:abstractNumId="63">
    <w:nsid w:val="1A27709E"/>
    <w:multiLevelType w:val="hybridMultilevel"/>
    <w:lvl w:ilvl="0">
      <w:lvlJc w:val="left"/>
      <w:lvlText w:val="(%1)"/>
      <w:numFmt w:val="lowerRoman"/>
      <w:start w:val="1"/>
    </w:lvl>
  </w:abstractNum>
  <w:abstractNum w:abstractNumId="64">
    <w:nsid w:val="71EA1109"/>
    <w:multiLevelType w:val="hybridMultilevel"/>
    <w:lvl w:ilvl="0">
      <w:lvlJc w:val="left"/>
      <w:lvlText w:val="(%1)"/>
      <w:numFmt w:val="lowerRoman"/>
      <w:start w:val="1"/>
    </w:lvl>
  </w:abstractNum>
  <w:abstractNum w:abstractNumId="65">
    <w:nsid w:val="100F59DC"/>
    <w:multiLevelType w:val="hybridMultilevel"/>
    <w:lvl w:ilvl="0">
      <w:lvlJc w:val="left"/>
      <w:lvlText w:val="(%1)"/>
      <w:numFmt w:val="lowerRoman"/>
      <w:start w:val="1"/>
    </w:lvl>
  </w:abstractNum>
  <w:abstractNum w:abstractNumId="66">
    <w:nsid w:val="7FB7E0AA"/>
    <w:multiLevelType w:val="hybridMultilevel"/>
    <w:lvl w:ilvl="0">
      <w:lvlJc w:val="left"/>
      <w:lvlText w:val="%1."/>
      <w:numFmt w:val="decimal"/>
      <w:start w:val="6"/>
    </w:lvl>
  </w:abstractNum>
  <w:abstractNum w:abstractNumId="67">
    <w:nsid w:val="6EB5BD4"/>
    <w:multiLevelType w:val="hybridMultilevel"/>
    <w:lvl w:ilvl="0">
      <w:lvlJc w:val="left"/>
      <w:lvlText w:val="(%1)"/>
      <w:numFmt w:val="lowerRoman"/>
      <w:start w:val="1"/>
    </w:lvl>
  </w:abstractNum>
  <w:abstractNum w:abstractNumId="68">
    <w:nsid w:val="6F6DD9AC"/>
    <w:multiLevelType w:val="hybridMultilevel"/>
    <w:lvl w:ilvl="0">
      <w:lvlJc w:val="left"/>
      <w:lvlText w:val="(%1)"/>
      <w:numFmt w:val="decimal"/>
      <w:start w:val="3"/>
    </w:lvl>
  </w:abstractNum>
  <w:abstractNum w:abstractNumId="69">
    <w:nsid w:val="94211F2"/>
    <w:multiLevelType w:val="hybridMultilevel"/>
    <w:lvl w:ilvl="0">
      <w:lvlJc w:val="left"/>
      <w:lvlText w:val="(%1)"/>
      <w:numFmt w:val="lowerRoman"/>
      <w:start w:val="1"/>
    </w:lvl>
  </w:abstractNum>
  <w:abstractNum w:abstractNumId="70">
    <w:nsid w:val="885E1B"/>
    <w:multiLevelType w:val="hybridMultilevel"/>
    <w:lvl w:ilvl="0">
      <w:lvlJc w:val="left"/>
      <w:lvlText w:val="%1."/>
      <w:numFmt w:val="decimal"/>
      <w:start w:val="7"/>
    </w:lvl>
  </w:abstractNum>
  <w:abstractNum w:abstractNumId="71">
    <w:nsid w:val="76272110"/>
    <w:multiLevelType w:val="hybridMultilevel"/>
    <w:lvl w:ilvl="0">
      <w:lvlJc w:val="left"/>
      <w:lvlText w:val="(%1)"/>
      <w:numFmt w:val="decimal"/>
      <w:start w:val="1"/>
    </w:lvl>
  </w:abstractNum>
  <w:abstractNum w:abstractNumId="72">
    <w:nsid w:val="4C04A8AF"/>
    <w:multiLevelType w:val="hybridMultilevel"/>
    <w:lvl w:ilvl="0">
      <w:lvlJc w:val="left"/>
      <w:lvlText w:val="(%1)"/>
      <w:numFmt w:val="decimal"/>
      <w:start w:val="1"/>
    </w:lvl>
  </w:abstractNum>
  <w:abstractNum w:abstractNumId="73">
    <w:nsid w:val="1716703B"/>
    <w:multiLevelType w:val="hybridMultilevel"/>
    <w:lvl w:ilvl="0">
      <w:lvlJc w:val="left"/>
      <w:lvlText w:val="(%1)"/>
      <w:numFmt w:val="lowerRoman"/>
      <w:start w:val="1"/>
    </w:lvl>
  </w:abstractNum>
  <w:abstractNum w:abstractNumId="74">
    <w:nsid w:val="14E17E33"/>
    <w:multiLevelType w:val="hybridMultilevel"/>
    <w:lvl w:ilvl="0">
      <w:lvlJc w:val="left"/>
      <w:lvlText w:val="(%1)"/>
      <w:numFmt w:val="lowerRoman"/>
      <w:start w:val="1"/>
    </w:lvl>
  </w:abstractNum>
  <w:abstractNum w:abstractNumId="75">
    <w:nsid w:val="3222E7CD"/>
    <w:multiLevelType w:val="hybridMultilevel"/>
    <w:lvl w:ilvl="0">
      <w:lvlJc w:val="left"/>
      <w:lvlText w:val="(%1)"/>
      <w:numFmt w:val="decimal"/>
      <w:start w:val="1"/>
    </w:lvl>
  </w:abstractNum>
  <w:abstractNum w:abstractNumId="76">
    <w:nsid w:val="74DE0EE3"/>
    <w:multiLevelType w:val="hybridMultilevel"/>
    <w:lvl w:ilvl="0">
      <w:lvlJc w:val="left"/>
      <w:lvlText w:val="(%1)"/>
      <w:numFmt w:val="decimal"/>
      <w:start w:val="1"/>
    </w:lvl>
  </w:abstractNum>
  <w:abstractNum w:abstractNumId="77">
    <w:nsid w:val="68EBC550"/>
    <w:multiLevelType w:val="hybridMultilevel"/>
    <w:lvl w:ilvl="0">
      <w:lvlJc w:val="left"/>
      <w:lvlText w:val="(%1)"/>
      <w:numFmt w:val="lowerRoman"/>
      <w:start w:val="1"/>
    </w:lvl>
  </w:abstractNum>
  <w:abstractNum w:abstractNumId="78">
    <w:nsid w:val="2DF6D648"/>
    <w:multiLevelType w:val="hybridMultilevel"/>
    <w:lvl w:ilvl="0">
      <w:lvlJc w:val="left"/>
      <w:lvlText w:val="(%1)"/>
      <w:numFmt w:val="lowerRoman"/>
      <w:start w:val="1"/>
    </w:lvl>
  </w:abstractNum>
  <w:abstractNum w:abstractNumId="79">
    <w:nsid w:val="46B7D447"/>
    <w:multiLevelType w:val="hybridMultilevel"/>
    <w:lvl w:ilvl="0">
      <w:lvlJc w:val="left"/>
      <w:lvlText w:val="(%1)"/>
      <w:numFmt w:val="decimal"/>
      <w:start w:val="1"/>
    </w:lvl>
  </w:abstractNum>
  <w:abstractNum w:abstractNumId="80">
    <w:nsid w:val="4A2AC315"/>
    <w:multiLevelType w:val="hybridMultilevel"/>
    <w:lvl w:ilvl="0">
      <w:lvlJc w:val="left"/>
      <w:lvlText w:val="(%1)"/>
      <w:numFmt w:val="decimal"/>
      <w:start w:val="1"/>
    </w:lvl>
  </w:abstractNum>
  <w:abstractNum w:abstractNumId="81">
    <w:nsid w:val="39EE015C"/>
    <w:multiLevelType w:val="hybridMultilevel"/>
    <w:lvl w:ilvl="0">
      <w:lvlJc w:val="left"/>
      <w:lvlText w:val="(%1)"/>
      <w:numFmt w:val="lowerRoman"/>
      <w:start w:val="1"/>
    </w:lvl>
  </w:abstractNum>
  <w:abstractNum w:abstractNumId="82">
    <w:nsid w:val="57FC4FBB"/>
    <w:multiLevelType w:val="hybridMultilevel"/>
    <w:lvl w:ilvl="0">
      <w:lvlJc w:val="left"/>
      <w:lvlText w:val="(%1)"/>
      <w:numFmt w:val="decimal"/>
      <w:start w:val="1"/>
    </w:lvl>
  </w:abstractNum>
  <w:abstractNum w:abstractNumId="83">
    <w:nsid w:val="CC1016F"/>
    <w:multiLevelType w:val="hybridMultilevel"/>
    <w:lvl w:ilvl="0">
      <w:lvlJc w:val="left"/>
      <w:lvlText w:val="(%1)"/>
      <w:numFmt w:val="decimal"/>
      <w:start w:val="1"/>
    </w:lvl>
  </w:abstractNum>
  <w:abstractNum w:abstractNumId="84">
    <w:nsid w:val="43F18422"/>
    <w:multiLevelType w:val="hybridMultilevel"/>
    <w:lvl w:ilvl="0">
      <w:lvlJc w:val="left"/>
      <w:lvlText w:val="(*)"/>
      <w:numFmt w:val="bullet"/>
      <w:start w:val="1"/>
    </w:lvl>
  </w:abstractNum>
  <w:abstractNum w:abstractNumId="85">
    <w:nsid w:val="60EF0119"/>
    <w:multiLevelType w:val="hybridMultilevel"/>
    <w:lvl w:ilvl="0">
      <w:lvlJc w:val="left"/>
      <w:lvlText w:val="%1."/>
      <w:numFmt w:val="decimal"/>
      <w:start w:val="9"/>
    </w:lvl>
  </w:abstractNum>
  <w:abstractNum w:abstractNumId="86">
    <w:nsid w:val="26F324BA"/>
    <w:multiLevelType w:val="hybridMultilevel"/>
    <w:lvl w:ilvl="0">
      <w:lvlJc w:val="left"/>
      <w:lvlText w:val="(%1)"/>
      <w:numFmt w:val="lowerRoman"/>
      <w:start w:val="1"/>
    </w:lvl>
  </w:abstractNum>
  <w:abstractNum w:abstractNumId="87">
    <w:nsid w:val="7F01579B"/>
    <w:multiLevelType w:val="hybridMultilevel"/>
    <w:lvl w:ilvl="0">
      <w:lvlJc w:val="left"/>
      <w:lvlText w:val="(%1)"/>
      <w:numFmt w:val="decimal"/>
      <w:start w:val="1"/>
    </w:lvl>
  </w:abstractNum>
  <w:abstractNum w:abstractNumId="88">
    <w:nsid w:val="49DA307D"/>
    <w:multiLevelType w:val="hybridMultilevel"/>
    <w:lvl w:ilvl="0">
      <w:lvlJc w:val="left"/>
      <w:lvlText w:val="(%1)"/>
      <w:numFmt w:val="decimal"/>
      <w:start w:val="2"/>
    </w:lvl>
  </w:abstractNum>
  <w:abstractNum w:abstractNumId="89">
    <w:nsid w:val="7055A5F5"/>
    <w:multiLevelType w:val="hybridMultilevel"/>
    <w:lvl w:ilvl="0">
      <w:lvlJc w:val="left"/>
      <w:lvlText w:val="%1."/>
      <w:numFmt w:val="decimal"/>
      <w:start w:val="11"/>
    </w:lvl>
  </w:abstractNum>
  <w:abstractNum w:abstractNumId="90">
    <w:nsid w:val="5FB8370B"/>
    <w:multiLevelType w:val="hybridMultilevel"/>
    <w:lvl w:ilvl="0">
      <w:lvlJc w:val="left"/>
      <w:lvlText w:val="11.%1."/>
      <w:numFmt w:val="decimal"/>
      <w:start w:val="1"/>
    </w:lvl>
  </w:abstractNum>
  <w:abstractNum w:abstractNumId="91">
    <w:nsid w:val="50801EE1"/>
    <w:multiLevelType w:val="hybridMultilevel"/>
    <w:lvl w:ilvl="0">
      <w:lvlJc w:val="left"/>
      <w:lvlText w:val="(%1)"/>
      <w:numFmt w:val="decimal"/>
      <w:start w:val="1"/>
    </w:lvl>
  </w:abstractNum>
  <w:abstractNum w:abstractNumId="92">
    <w:nsid w:val="488AC1A"/>
    <w:multiLevelType w:val="hybridMultilevel"/>
    <w:lvl w:ilvl="0">
      <w:lvlJc w:val="left"/>
      <w:lvlText w:val="(%1)"/>
      <w:numFmt w:val="decimal"/>
      <w:start w:val="1"/>
    </w:lvl>
  </w:abstractNum>
  <w:abstractNum w:abstractNumId="93">
    <w:nsid w:val="5FB8011C"/>
    <w:multiLevelType w:val="hybridMultilevel"/>
    <w:lvl w:ilvl="0">
      <w:lvlJc w:val="left"/>
      <w:lvlText w:val="(%1)"/>
      <w:numFmt w:val="decimal"/>
      <w:start w:val="1"/>
    </w:lvl>
  </w:abstractNum>
  <w:abstractNum w:abstractNumId="94">
    <w:nsid w:val="6AA78F7F"/>
    <w:multiLevelType w:val="hybridMultilevel"/>
    <w:lvl w:ilvl="0">
      <w:lvlJc w:val="left"/>
      <w:lvlText w:val="(%1)"/>
      <w:numFmt w:val="decimal"/>
      <w:start w:val="1"/>
    </w:lvl>
  </w:abstractNum>
  <w:abstractNum w:abstractNumId="95">
    <w:nsid w:val="7672BD23"/>
    <w:multiLevelType w:val="hybridMultilevel"/>
    <w:lvl w:ilvl="0">
      <w:lvlJc w:val="left"/>
      <w:lvlText w:val="(%1)"/>
      <w:numFmt w:val="decimal"/>
      <w:start w:val="1"/>
    </w:lvl>
  </w:abstractNum>
  <w:abstractNum w:abstractNumId="96">
    <w:nsid w:val="6FC75AF8"/>
    <w:multiLevelType w:val="hybridMultilevel"/>
    <w:lvl w:ilvl="0">
      <w:lvlJc w:val="left"/>
      <w:lvlText w:val="(%1)"/>
      <w:numFmt w:val="decimal"/>
      <w:start w:val="1"/>
    </w:lvl>
  </w:abstractNum>
  <w:abstractNum w:abstractNumId="97">
    <w:nsid w:val="6A5F7029"/>
    <w:multiLevelType w:val="hybridMultilevel"/>
    <w:lvl w:ilvl="0">
      <w:lvlJc w:val="left"/>
      <w:lvlText w:val="(%1)"/>
      <w:numFmt w:val="decimal"/>
      <w:start w:val="1"/>
    </w:lvl>
  </w:abstractNum>
  <w:abstractNum w:abstractNumId="98">
    <w:nsid w:val="7D5E18F8"/>
    <w:multiLevelType w:val="hybridMultilevel"/>
    <w:lvl w:ilvl="0">
      <w:lvlJc w:val="left"/>
      <w:lvlText w:val="(%1)"/>
      <w:numFmt w:val="lowerRoman"/>
      <w:start w:val="1"/>
    </w:lvl>
  </w:abstractNum>
  <w:abstractNum w:abstractNumId="99">
    <w:nsid w:val="5F3534A4"/>
    <w:multiLevelType w:val="hybridMultilevel"/>
    <w:lvl w:ilvl="0">
      <w:lvlJc w:val="left"/>
      <w:lvlText w:val="(*)"/>
      <w:numFmt w:val="bullet"/>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2019-12-20T16:51:34Z</dcterms:created>
  <dcterms:modified xsi:type="dcterms:W3CDTF">2019-12-20T16:51:34Z</dcterms:modified>
</cp:coreProperties>
</file>