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Report of Foreign Private Issuer</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Pursuant to Rule 13a-16 or 15d-16 of the</w:t>
      </w:r>
    </w:p>
    <w:p>
      <w:pPr>
        <w:jc w:val="center"/>
        <w:ind w:right="40"/>
        <w:spacing w:after="0"/>
        <w:rPr>
          <w:sz w:val="20"/>
          <w:szCs w:val="20"/>
          <w:color w:val="auto"/>
        </w:rPr>
      </w:pPr>
      <w:r>
        <w:rPr>
          <w:rFonts w:ascii="Times New Roman" w:cs="Times New Roman" w:eastAsia="Times New Roman" w:hAnsi="Times New Roman"/>
          <w:sz w:val="22"/>
          <w:szCs w:val="22"/>
          <w:color w:val="auto"/>
        </w:rPr>
        <w:t>Securities Exchange Act of 1934</w:t>
      </w:r>
    </w:p>
    <w:p>
      <w:pPr>
        <w:spacing w:after="0" w:line="1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 the month of April,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311785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CREDICORP LTD.</w:t>
      </w:r>
    </w:p>
    <w:p>
      <w:pPr>
        <w:spacing w:after="0" w:line="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Clarendon House</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Church Street</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Hamilton HM 11 Bermuda</w:t>
      </w: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Form 20-F ___X___ Form 40-F _______</w:t>
      </w:r>
    </w:p>
    <w:p>
      <w:pPr>
        <w:spacing w:after="0" w:line="206" w:lineRule="exact"/>
        <w:rPr>
          <w:sz w:val="24"/>
          <w:szCs w:val="24"/>
          <w:color w:val="auto"/>
        </w:rPr>
      </w:pPr>
    </w:p>
    <w:p>
      <w:pPr>
        <w:ind w:left="1020" w:hanging="1022"/>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8"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1"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March 31st,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Credicorp Ltd. - Report on Form 6-K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On behalf of Credicorp Ltd. (the “Company”), I hereby notify you of the following Material Event on the Company's Report on Form 6-K (the “Form 6-K”). The attached Material Event (“Hecho de Importancia”) are being furnished to the Securities and Exchange Commission pursuant to Rule 13a-16 and Form 6-K under the Securities Exchange Act of 1934, as amended.</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Report contains a copy of the following:</w:t>
      </w:r>
    </w:p>
    <w:p>
      <w:pPr>
        <w:spacing w:after="0" w:line="201"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Notice of Material Event,submitted to CONASEV and the “Bolsa de Valores de Lima on March 31, 2003.</w:t>
      </w:r>
    </w:p>
    <w:p>
      <w:pPr>
        <w:spacing w:after="0" w:line="18"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Please direct any questions or comments you may have regarding this filing to the undersigned at 156 Calle Centenario, La Molina, Lima - 12 Peru.</w:t>
      </w:r>
    </w:p>
    <w:p>
      <w:pPr>
        <w:spacing w:after="0" w:line="18"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Name: Ray Campos</w:t>
      </w:r>
    </w:p>
    <w:p>
      <w:pPr>
        <w:spacing w:after="0" w:line="31" w:lineRule="exact"/>
        <w:rPr>
          <w:sz w:val="20"/>
          <w:szCs w:val="20"/>
          <w:color w:val="auto"/>
        </w:rPr>
      </w:pPr>
    </w:p>
    <w:p>
      <w:pPr>
        <w:ind w:left="3380"/>
        <w:spacing w:after="0"/>
        <w:tabs>
          <w:tab w:leader="none" w:pos="4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Authorized Representative</w:t>
      </w:r>
    </w:p>
    <w:p>
      <w:pPr>
        <w:sectPr>
          <w:pgSz w:w="11900" w:h="16838" w:orient="portrait"/>
          <w:cols w:equalWidth="0" w:num="1">
            <w:col w:w="10219"/>
          </w:cols>
          <w:pgMar w:left="240" w:top="56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March 31st, 2003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Comisión Nacional Supervisora</w:t>
      </w:r>
    </w:p>
    <w:p>
      <w:pPr>
        <w:spacing w:after="0" w:line="238" w:lineRule="auto"/>
        <w:rPr>
          <w:sz w:val="20"/>
          <w:szCs w:val="20"/>
          <w:color w:val="auto"/>
        </w:rPr>
      </w:pPr>
      <w:r>
        <w:rPr>
          <w:rFonts w:ascii="Courier New" w:cs="Courier New" w:eastAsia="Courier New" w:hAnsi="Courier New"/>
          <w:sz w:val="18"/>
          <w:szCs w:val="18"/>
          <w:color w:val="auto"/>
        </w:rPr>
        <w:t>de Empresas y Valores</w:t>
      </w:r>
    </w:p>
    <w:p>
      <w:pPr>
        <w:spacing w:after="0"/>
        <w:rPr>
          <w:sz w:val="20"/>
          <w:szCs w:val="20"/>
          <w:color w:val="auto"/>
        </w:rPr>
      </w:pPr>
      <w:r>
        <w:rPr>
          <w:rFonts w:ascii="Courier New" w:cs="Courier New" w:eastAsia="Courier New" w:hAnsi="Courier New"/>
          <w:sz w:val="18"/>
          <w:szCs w:val="18"/>
          <w:color w:val="auto"/>
        </w:rPr>
        <w:t>CONASEV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Reference: Material Event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Our company, Credicorp Ltd. (NYSE: BAP) in accordance with article 28 of the Peruvian Capital Market Law and the CONASEV resolution N° 107-2002-EF/94.10.0 (The Rule), hereby notify you of the following “Material Event”:</w:t>
      </w:r>
    </w:p>
    <w:p>
      <w:pPr>
        <w:spacing w:after="0" w:line="66"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In the Annual Shareholder's Meeting, held on March 28, 2003 the following agreements were approved with the required quorum being represented:</w:t>
      </w:r>
    </w:p>
    <w:p>
      <w:pPr>
        <w:spacing w:after="0" w:line="18"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2002 Annual Report</w:t>
      </w:r>
    </w:p>
    <w:p>
      <w:pPr>
        <w:spacing w:after="0" w:line="30" w:lineRule="exact"/>
        <w:rPr>
          <w:rFonts w:ascii="Courier New" w:cs="Courier New" w:eastAsia="Courier New" w:hAnsi="Courier New"/>
          <w:sz w:val="18"/>
          <w:szCs w:val="18"/>
          <w:color w:val="auto"/>
        </w:rPr>
      </w:pPr>
    </w:p>
    <w:p>
      <w:pPr>
        <w:jc w:val="both"/>
        <w:ind w:left="1060" w:right="1779" w:hanging="525"/>
        <w:spacing w:after="0" w:line="268" w:lineRule="auto"/>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including the Balance Sheet and the Profit and Loss Statement for the year ended on December 31, 2002, in addition to the Report of the external auditors, Dongo - Soria, Gaveglio y Asociados, a member firm of PricewaterhouseCoopers.</w:t>
      </w:r>
    </w:p>
    <w:p>
      <w:pPr>
        <w:ind w:left="1060" w:right="1779" w:hanging="525"/>
        <w:spacing w:after="0" w:line="309"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Medina, Zaldívar, Paredes y Asociados, a member firm of Ernst &amp; Young, was designated as external auditors for the year 2003.</w:t>
      </w:r>
    </w:p>
    <w:p>
      <w:pPr>
        <w:spacing w:after="0" w:line="51"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A cash dividend for the amount of US$ 28.3 million, equal to US$ 0.30 per share over a total of 94,382,317 shares, to be paid on April 30, 2003 and payable to all shareholder's that purchase their shares up to and including April 11th and are registered as shareholder's on the Company's registry by April 16, 2003. This dividend was approved by the Board in a meeting held on February 27, 2003, and was announced as a Material Event promptly thereafter.</w:t>
      </w:r>
    </w:p>
    <w:p>
      <w:pPr>
        <w:spacing w:after="0" w:line="93" w:lineRule="exact"/>
        <w:rPr>
          <w:sz w:val="20"/>
          <w:szCs w:val="20"/>
          <w:color w:val="auto"/>
        </w:rPr>
      </w:pPr>
    </w:p>
    <w:p>
      <w:pPr>
        <w:jc w:val="both"/>
        <w:ind w:right="1779"/>
        <w:spacing w:after="0" w:line="344" w:lineRule="auto"/>
        <w:rPr>
          <w:sz w:val="20"/>
          <w:szCs w:val="20"/>
          <w:color w:val="auto"/>
        </w:rPr>
      </w:pPr>
      <w:r>
        <w:rPr>
          <w:rFonts w:ascii="Courier New" w:cs="Courier New" w:eastAsia="Courier New" w:hAnsi="Courier New"/>
          <w:sz w:val="16"/>
          <w:szCs w:val="16"/>
          <w:color w:val="auto"/>
        </w:rPr>
        <w:t>With the minutes of the meeting of the Board held on February 28, 2003, we also included a copy of the Annual Report and the Report of the external auditors for the year 2002, according to CONASEV Resolution N° 107-2202-EF/94.10.0</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Fernando Palao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Security Representative</w:t>
      </w:r>
    </w:p>
    <w:p>
      <w:pPr>
        <w:spacing w:after="0"/>
        <w:rPr>
          <w:sz w:val="20"/>
          <w:szCs w:val="20"/>
          <w:color w:val="auto"/>
        </w:rPr>
      </w:pPr>
      <w:r>
        <w:rPr>
          <w:rFonts w:ascii="Courier New" w:cs="Courier New" w:eastAsia="Courier New" w:hAnsi="Courier New"/>
          <w:sz w:val="18"/>
          <w:szCs w:val="18"/>
          <w:color w:val="auto"/>
        </w:rPr>
        <w:t>CREDICORP LTD.</w:t>
      </w:r>
    </w:p>
    <w:p>
      <w:pPr>
        <w:sectPr>
          <w:pgSz w:w="11900" w:h="16838" w:orient="portrait"/>
          <w:cols w:equalWidth="0" w:num="1">
            <w:col w:w="10219"/>
          </w:cols>
          <w:pgMar w:left="240" w:top="11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Date: April 1, 2003</w:t>
      </w:r>
    </w:p>
    <w:p>
      <w:pPr>
        <w:spacing w:after="0" w:line="35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CREDICORP LTD.</w:t>
      </w:r>
    </w:p>
    <w:p>
      <w:pPr>
        <w:spacing w:after="0" w:line="219" w:lineRule="exact"/>
        <w:rPr>
          <w:sz w:val="20"/>
          <w:szCs w:val="20"/>
          <w:color w:val="auto"/>
        </w:rPr>
      </w:pPr>
    </w:p>
    <w:p>
      <w:pPr>
        <w:ind w:left="286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Ray Campos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83820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Ray Campos</w:t>
      </w:r>
    </w:p>
    <w:p>
      <w:pPr>
        <w:spacing w:after="0" w:line="2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2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2019-12-14T06:45:24Z</dcterms:created>
  <dcterms:modified xsi:type="dcterms:W3CDTF">2019-12-14T06:45:24Z</dcterms:modified>
</cp:coreProperties>
</file>