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month of August 2015</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Number: 001-14014</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CREDICORP LTD.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(Translation of registrant’s name into English)</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jc w:val="center"/>
        <w:ind w:right="-19"/>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58" w:lineRule="exact"/>
        <w:rPr>
          <w:sz w:val="24"/>
          <w:szCs w:val="24"/>
          <w:color w:val="auto"/>
        </w:rPr>
      </w:pPr>
    </w:p>
    <w:p>
      <w:pPr>
        <w:ind w:left="60"/>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 ____</w:t>
      </w:r>
    </w:p>
    <w:p>
      <w:pPr>
        <w:spacing w:after="0" w:line="225" w:lineRule="exact"/>
        <w:rPr>
          <w:sz w:val="24"/>
          <w:szCs w:val="24"/>
          <w:color w:val="auto"/>
        </w:rPr>
      </w:pPr>
    </w:p>
    <w:p>
      <w:pPr>
        <w:ind w:left="60"/>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 ____</w:t>
      </w:r>
    </w:p>
    <w:p>
      <w:pPr>
        <w:spacing w:after="0" w:line="225"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 w:name="page2"/>
    <w:bookmarkEnd w:id="1"/>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2049780" cy="8172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049780" cy="8172450"/>
                    </a:xfrm>
                    <a:prstGeom prst="rect">
                      <a:avLst/>
                    </a:prstGeom>
                    <a:noFill/>
                  </pic:spPr>
                </pic:pic>
              </a:graphicData>
            </a:graphic>
          </wp:anchor>
        </w:drawing>
        <w:drawing>
          <wp:anchor simplePos="0" relativeHeight="251657728" behindDoc="1" locked="0" layoutInCell="0" allowOverlap="1">
            <wp:simplePos x="0" y="0"/>
            <wp:positionH relativeFrom="page">
              <wp:posOffset>4333875</wp:posOffset>
            </wp:positionH>
            <wp:positionV relativeFrom="page">
              <wp:posOffset>586105</wp:posOffset>
            </wp:positionV>
            <wp:extent cx="1431925" cy="2914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431925" cy="291465"/>
                    </a:xfrm>
                    <a:prstGeom prst="rect">
                      <a:avLst/>
                    </a:prstGeom>
                    <a:noFill/>
                  </pic:spPr>
                </pic:pic>
              </a:graphicData>
            </a:graphic>
          </wp:anchor>
        </w:drawing>
      </w:r>
    </w:p>
    <w:p>
      <w:pPr>
        <w:jc w:val="both"/>
        <w:ind w:left="2800"/>
        <w:spacing w:after="0" w:line="266" w:lineRule="auto"/>
        <w:rPr>
          <w:sz w:val="20"/>
          <w:szCs w:val="20"/>
          <w:color w:val="auto"/>
        </w:rPr>
      </w:pPr>
      <w:r>
        <w:rPr>
          <w:rFonts w:ascii="Arial" w:cs="Arial" w:eastAsia="Arial" w:hAnsi="Arial"/>
          <w:sz w:val="18"/>
          <w:szCs w:val="18"/>
          <w:b w:val="1"/>
          <w:bCs w:val="1"/>
          <w:color w:val="auto"/>
        </w:rPr>
        <w:t xml:space="preserve">Lima, Perú, August 10, 2015 </w:t>
      </w:r>
      <w:r>
        <w:rPr>
          <w:rFonts w:ascii="Arial" w:cs="Arial" w:eastAsia="Arial" w:hAnsi="Arial"/>
          <w:sz w:val="18"/>
          <w:szCs w:val="18"/>
          <w:color w:val="auto"/>
        </w:rPr>
        <w:t>– Credicorp (NYSE:BAP) announced its unaudited results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second quarter of 2015. These results are consolidated according to IFRS standards and are in Nuevos Soles.</w:t>
      </w:r>
    </w:p>
    <w:p>
      <w:pPr>
        <w:spacing w:after="0" w:line="176" w:lineRule="exact"/>
        <w:rPr>
          <w:sz w:val="20"/>
          <w:szCs w:val="20"/>
          <w:color w:val="auto"/>
        </w:rPr>
      </w:pPr>
    </w:p>
    <w:p>
      <w:pPr>
        <w:jc w:val="center"/>
        <w:ind w:left="4000"/>
        <w:spacing w:after="0"/>
        <w:rPr>
          <w:sz w:val="20"/>
          <w:szCs w:val="20"/>
          <w:color w:val="auto"/>
        </w:rPr>
      </w:pPr>
      <w:r>
        <w:rPr>
          <w:rFonts w:ascii="Arial" w:cs="Arial" w:eastAsia="Arial" w:hAnsi="Arial"/>
          <w:sz w:val="18"/>
          <w:szCs w:val="18"/>
          <w:b w:val="1"/>
          <w:bCs w:val="1"/>
          <w:color w:val="auto"/>
        </w:rPr>
        <w:t>Second Quarter Results 2015</w:t>
      </w:r>
    </w:p>
    <w:p>
      <w:pPr>
        <w:spacing w:after="0" w:line="229" w:lineRule="exact"/>
        <w:rPr>
          <w:sz w:val="20"/>
          <w:szCs w:val="20"/>
          <w:color w:val="auto"/>
        </w:rPr>
      </w:pPr>
    </w:p>
    <w:p>
      <w:pPr>
        <w:jc w:val="both"/>
        <w:ind w:left="2800"/>
        <w:spacing w:after="0" w:line="254" w:lineRule="auto"/>
        <w:rPr>
          <w:sz w:val="20"/>
          <w:szCs w:val="20"/>
          <w:color w:val="auto"/>
        </w:rPr>
      </w:pPr>
      <w:r>
        <w:rPr>
          <w:rFonts w:ascii="Arial" w:cs="Arial" w:eastAsia="Arial" w:hAnsi="Arial"/>
          <w:sz w:val="18"/>
          <w:szCs w:val="18"/>
          <w:color w:val="auto"/>
        </w:rPr>
        <w:t>For the second consecutive quarter, Credicorp posted a solid result with net income of S/.749.3 million in 2Q15, which represents ROAE and ROAA of 20.7% and 2.1% respectively. It is important to note that these levels of profitability are associated with the recurring business and represent a slightly improved level as compared to 1Q15’s figures (ROAE of 19.9% and ROAA of 2%). The performance, not only of 2Q15 but also of 1H15, is proof of the robust competitive advantages of Credicorp’s businesses, and the results of all initiatives conducted over the past two years. All aforementioned represents an excellent outcome considering the scenario of low economic growth in local and international markets.</w:t>
      </w:r>
    </w:p>
    <w:p>
      <w:pPr>
        <w:spacing w:after="0" w:line="192"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The main factors that explain Credicorp’s results are:</w:t>
      </w:r>
    </w:p>
    <w:p>
      <w:pPr>
        <w:spacing w:after="0" w:line="225" w:lineRule="exact"/>
        <w:rPr>
          <w:sz w:val="20"/>
          <w:szCs w:val="20"/>
          <w:color w:val="auto"/>
        </w:rPr>
      </w:pPr>
    </w:p>
    <w:p>
      <w:pPr>
        <w:jc w:val="both"/>
        <w:ind w:left="2800" w:firstLine="6"/>
        <w:spacing w:after="0" w:line="279" w:lineRule="auto"/>
        <w:tabs>
          <w:tab w:leader="none" w:pos="2980" w:val="left"/>
        </w:tabs>
        <w:numPr>
          <w:ilvl w:val="0"/>
          <w:numId w:val="1"/>
        </w:numPr>
        <w:rPr>
          <w:rFonts w:ascii="Arial" w:cs="Arial" w:eastAsia="Arial" w:hAnsi="Arial"/>
          <w:sz w:val="17"/>
          <w:szCs w:val="17"/>
          <w:color w:val="auto"/>
        </w:rPr>
      </w:pPr>
      <w:r>
        <w:rPr>
          <w:rFonts w:ascii="Arial" w:cs="Arial" w:eastAsia="Arial" w:hAnsi="Arial"/>
          <w:sz w:val="17"/>
          <w:szCs w:val="17"/>
          <w:color w:val="auto"/>
        </w:rPr>
        <w:t>Loan expansion of +2.3% QoQ and +13.7% YoY in quarter-end balances that represents real growth of +1.2% QoQ and +11.1% YoY, which is slightly higher than the level observed in 1Q. This growth continued to be driven by Wholesale Banking, where we lead the segment with a 40% market share, which has allowed us to expand our portfolio with a healthy risk profile.</w:t>
      </w:r>
    </w:p>
    <w:p>
      <w:pPr>
        <w:spacing w:after="0" w:line="171" w:lineRule="exact"/>
        <w:rPr>
          <w:rFonts w:ascii="Arial" w:cs="Arial" w:eastAsia="Arial" w:hAnsi="Arial"/>
          <w:sz w:val="17"/>
          <w:szCs w:val="17"/>
          <w:color w:val="auto"/>
        </w:rPr>
      </w:pPr>
    </w:p>
    <w:p>
      <w:pPr>
        <w:ind w:left="2800" w:firstLine="6"/>
        <w:spacing w:after="0" w:line="277" w:lineRule="auto"/>
        <w:tabs>
          <w:tab w:leader="none" w:pos="2993" w:val="left"/>
        </w:tabs>
        <w:numPr>
          <w:ilvl w:val="0"/>
          <w:numId w:val="1"/>
        </w:numPr>
        <w:rPr>
          <w:rFonts w:ascii="Arial" w:cs="Arial" w:eastAsia="Arial" w:hAnsi="Arial"/>
          <w:sz w:val="18"/>
          <w:szCs w:val="18"/>
          <w:color w:val="auto"/>
        </w:rPr>
      </w:pPr>
      <w:r>
        <w:rPr>
          <w:rFonts w:ascii="Arial" w:cs="Arial" w:eastAsia="Arial" w:hAnsi="Arial"/>
          <w:sz w:val="18"/>
          <w:szCs w:val="18"/>
          <w:color w:val="auto"/>
        </w:rPr>
        <w:t>Net interest income growth of +2.9% QoQ and +14.1% YoY, mainly due to higher interest income on loans followed by an increase in income from derivatives.</w:t>
      </w:r>
    </w:p>
    <w:p>
      <w:pPr>
        <w:spacing w:after="0" w:line="170" w:lineRule="exact"/>
        <w:rPr>
          <w:rFonts w:ascii="Arial" w:cs="Arial" w:eastAsia="Arial" w:hAnsi="Arial"/>
          <w:sz w:val="18"/>
          <w:szCs w:val="18"/>
          <w:color w:val="auto"/>
        </w:rPr>
      </w:pPr>
    </w:p>
    <w:p>
      <w:pPr>
        <w:jc w:val="both"/>
        <w:ind w:left="2800" w:firstLine="6"/>
        <w:spacing w:after="0" w:line="259" w:lineRule="auto"/>
        <w:tabs>
          <w:tab w:leader="none" w:pos="2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solid financial margin, which was situated at 5.70%. This level was slightly lower than the 5.73% posted in 1Q15 but higher than the 5.67% registered in 2Q14. Additionally, a low cost of risk allowed us to achieve a better financial margin after provisions, which went from 4.12% in 1Q15 and 3.98% in 2Q14 to 4.36% in 2Q15.</w:t>
      </w:r>
    </w:p>
    <w:p>
      <w:pPr>
        <w:spacing w:after="0" w:line="186" w:lineRule="exact"/>
        <w:rPr>
          <w:rFonts w:ascii="Arial" w:cs="Arial" w:eastAsia="Arial" w:hAnsi="Arial"/>
          <w:sz w:val="18"/>
          <w:szCs w:val="18"/>
          <w:color w:val="auto"/>
        </w:rPr>
      </w:pPr>
    </w:p>
    <w:p>
      <w:pPr>
        <w:jc w:val="both"/>
        <w:ind w:left="2800" w:firstLine="6"/>
        <w:spacing w:after="0" w:line="279" w:lineRule="auto"/>
        <w:tabs>
          <w:tab w:leader="none" w:pos="302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significant reduction in net provisions for loan losses of -14% QoQ and -10.2% YoY, which helped reduce the cost of risk from 2.46% in 1Q15 and 2.62% in 2Q14 to 2.07% in 2Q15. This was the result of the improvements made in the loan portfolio quality, as adjustments in the risk models of the different business lines in Retail Banking where implemented in the past two years.</w:t>
      </w:r>
    </w:p>
    <w:p>
      <w:pPr>
        <w:spacing w:after="0" w:line="171" w:lineRule="exact"/>
        <w:rPr>
          <w:rFonts w:ascii="Arial" w:cs="Arial" w:eastAsia="Arial" w:hAnsi="Arial"/>
          <w:sz w:val="17"/>
          <w:szCs w:val="17"/>
          <w:color w:val="auto"/>
        </w:rPr>
      </w:pPr>
    </w:p>
    <w:p>
      <w:pPr>
        <w:ind w:left="2800" w:firstLine="6"/>
        <w:spacing w:after="0" w:line="277" w:lineRule="auto"/>
        <w:tabs>
          <w:tab w:leader="none" w:pos="3061" w:val="left"/>
        </w:tabs>
        <w:numPr>
          <w:ilvl w:val="0"/>
          <w:numId w:val="1"/>
        </w:numPr>
        <w:rPr>
          <w:rFonts w:ascii="Arial" w:cs="Arial" w:eastAsia="Arial" w:hAnsi="Arial"/>
          <w:sz w:val="18"/>
          <w:szCs w:val="18"/>
          <w:color w:val="auto"/>
        </w:rPr>
      </w:pPr>
      <w:r>
        <w:rPr>
          <w:rFonts w:ascii="Arial" w:cs="Arial" w:eastAsia="Arial" w:hAnsi="Arial"/>
          <w:sz w:val="18"/>
          <w:szCs w:val="18"/>
          <w:color w:val="auto"/>
        </w:rPr>
        <w:t>Better fee income that posted growth rates of +5.2% QoQ and +17.8% YoY, mainly from the recovery of banking businesses.</w:t>
      </w:r>
    </w:p>
    <w:p>
      <w:pPr>
        <w:spacing w:after="0" w:line="170" w:lineRule="exact"/>
        <w:rPr>
          <w:rFonts w:ascii="Arial" w:cs="Arial" w:eastAsia="Arial" w:hAnsi="Arial"/>
          <w:sz w:val="18"/>
          <w:szCs w:val="18"/>
          <w:color w:val="auto"/>
        </w:rPr>
      </w:pPr>
    </w:p>
    <w:p>
      <w:pPr>
        <w:jc w:val="both"/>
        <w:ind w:left="2800" w:firstLine="6"/>
        <w:spacing w:after="0" w:line="259" w:lineRule="auto"/>
        <w:tabs>
          <w:tab w:leader="none" w:pos="3007" w:val="left"/>
        </w:tabs>
        <w:numPr>
          <w:ilvl w:val="0"/>
          <w:numId w:val="1"/>
        </w:numPr>
        <w:rPr>
          <w:rFonts w:ascii="Arial" w:cs="Arial" w:eastAsia="Arial" w:hAnsi="Arial"/>
          <w:sz w:val="18"/>
          <w:szCs w:val="18"/>
          <w:color w:val="auto"/>
        </w:rPr>
      </w:pPr>
      <w:r>
        <w:rPr>
          <w:rFonts w:ascii="Arial" w:cs="Arial" w:eastAsia="Arial" w:hAnsi="Arial"/>
          <w:sz w:val="18"/>
          <w:szCs w:val="18"/>
          <w:color w:val="auto"/>
        </w:rPr>
        <w:t>Better performance in the insurance business, which registered a +11.7% improvement QoQ of its underwriting result due to an increase in net earned premiums (+5.6% QoQ), and a decrease in fees and underwriting expenses (-7.5% QoQ). All this offset higher claims and reserves, for the life insurance business.</w:t>
      </w:r>
    </w:p>
    <w:p>
      <w:pPr>
        <w:spacing w:after="0" w:line="187" w:lineRule="exact"/>
        <w:rPr>
          <w:sz w:val="20"/>
          <w:szCs w:val="20"/>
          <w:color w:val="auto"/>
        </w:rPr>
      </w:pPr>
    </w:p>
    <w:p>
      <w:pPr>
        <w:jc w:val="both"/>
        <w:ind w:left="2800"/>
        <w:spacing w:after="0" w:line="279" w:lineRule="auto"/>
        <w:rPr>
          <w:sz w:val="20"/>
          <w:szCs w:val="20"/>
          <w:color w:val="auto"/>
        </w:rPr>
      </w:pPr>
      <w:r>
        <w:rPr>
          <w:rFonts w:ascii="Arial" w:cs="Arial" w:eastAsia="Arial" w:hAnsi="Arial"/>
          <w:sz w:val="17"/>
          <w:szCs w:val="17"/>
          <w:color w:val="auto"/>
        </w:rPr>
        <w:t>Earnings generation compensated the decrease in non-financial income as well as the increase in operating expenses. The latter led to a slight deterioration in the efficiency ratio, which went from 40.8% in 1Q15 to 41.6% in 2Q15. Nevertheless, the YoY evolution was favorable given that non-financial income increased +9.4% while the efficiency ratio improved by decreasing 230 bps.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012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43815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440"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8060" w:type="dxa"/>
            <w:vAlign w:val="bottom"/>
            <w:gridSpan w:val="46"/>
          </w:tcPr>
          <w:p>
            <w:pPr>
              <w:spacing w:after="0"/>
              <w:rPr>
                <w:sz w:val="20"/>
                <w:szCs w:val="20"/>
                <w:color w:val="auto"/>
              </w:rPr>
            </w:pPr>
            <w:r>
              <w:rPr>
                <w:rFonts w:ascii="Arial" w:cs="Arial" w:eastAsia="Arial" w:hAnsi="Arial"/>
                <w:sz w:val="18"/>
                <w:szCs w:val="18"/>
                <w:b w:val="1"/>
                <w:bCs w:val="1"/>
                <w:color w:val="auto"/>
              </w:rPr>
              <w:t>Table of Contents</w:t>
            </w:r>
          </w:p>
        </w:tc>
        <w:tc>
          <w:tcPr>
            <w:tcW w:w="3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3"/>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040" w:type="dxa"/>
            <w:vAlign w:val="bottom"/>
            <w:gridSpan w:val="45"/>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Credicorp (NYSE: BAP): Second Quarter Results 2015</w:t>
              </w:r>
            </w:hyperlink>
          </w:p>
        </w:tc>
        <w:tc>
          <w:tcPr>
            <w:tcW w:w="33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3820" w:type="dxa"/>
            <w:vAlign w:val="bottom"/>
            <w:tcBorders>
              <w:top w:val="single" w:sz="8" w:color="0000EE"/>
            </w:tcBorders>
            <w:gridSpan w:val="41"/>
          </w:tcPr>
          <w:p>
            <w:pPr>
              <w:spacing w:after="0" w:line="176" w:lineRule="exact"/>
              <w:rPr>
                <w:rFonts w:ascii="Arial" w:cs="Arial" w:eastAsia="Arial" w:hAnsi="Arial"/>
                <w:sz w:val="18"/>
                <w:szCs w:val="18"/>
                <w:i w:val="1"/>
                <w:iCs w:val="1"/>
                <w:color w:val="0000EE"/>
              </w:rPr>
            </w:pPr>
            <w:hyperlink w:anchor="page4">
              <w:r>
                <w:rPr>
                  <w:rFonts w:ascii="Arial" w:cs="Arial" w:eastAsia="Arial" w:hAnsi="Arial"/>
                  <w:sz w:val="18"/>
                  <w:szCs w:val="18"/>
                  <w:i w:val="1"/>
                  <w:iCs w:val="1"/>
                  <w:color w:val="0000EE"/>
                </w:rPr>
                <w:t>Executive Summary</w:t>
              </w:r>
            </w:hyperlink>
          </w:p>
        </w:tc>
        <w:tc>
          <w:tcPr>
            <w:tcW w:w="4060" w:type="dxa"/>
            <w:vAlign w:val="bottom"/>
            <w:tcBorders>
              <w:top w:val="single" w:sz="8" w:color="CCEEFF"/>
            </w:tcBorders>
            <w:gridSpan w:val="3"/>
          </w:tcPr>
          <w:p>
            <w:pPr>
              <w:spacing w:after="0"/>
              <w:rPr>
                <w:sz w:val="15"/>
                <w:szCs w:val="15"/>
                <w:color w:val="auto"/>
              </w:rPr>
            </w:pPr>
          </w:p>
        </w:tc>
        <w:tc>
          <w:tcPr>
            <w:tcW w:w="336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80" w:type="dxa"/>
            <w:vAlign w:val="bottom"/>
            <w:gridSpan w:val="44"/>
            <w:shd w:val="clear" w:color="auto" w:fill="CCEEFF"/>
          </w:tcPr>
          <w:p>
            <w:pPr>
              <w:spacing w:after="0" w:line="176" w:lineRule="exact"/>
              <w:rPr>
                <w:rFonts w:ascii="Arial" w:cs="Arial" w:eastAsia="Arial" w:hAnsi="Arial"/>
                <w:sz w:val="18"/>
                <w:szCs w:val="18"/>
                <w:i w:val="1"/>
                <w:iCs w:val="1"/>
                <w:color w:val="0000EE"/>
              </w:rPr>
            </w:pPr>
            <w:hyperlink w:anchor="page6">
              <w:r>
                <w:rPr>
                  <w:rFonts w:ascii="Arial" w:cs="Arial" w:eastAsia="Arial" w:hAnsi="Arial"/>
                  <w:sz w:val="18"/>
                  <w:szCs w:val="18"/>
                  <w:i w:val="1"/>
                  <w:iCs w:val="1"/>
                  <w:color w:val="0000EE"/>
                </w:rPr>
                <w:t>Credicorp and subsidiaries</w:t>
              </w:r>
            </w:hyperlink>
          </w:p>
        </w:tc>
        <w:tc>
          <w:tcPr>
            <w:tcW w:w="33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gridSpan w:val="2"/>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200" w:type="dxa"/>
            <w:vAlign w:val="bottom"/>
            <w:tcBorders>
              <w:top w:val="single" w:sz="8" w:color="CCEEFF"/>
            </w:tcBorders>
          </w:tcPr>
          <w:p>
            <w:pPr>
              <w:spacing w:after="0"/>
              <w:rPr>
                <w:sz w:val="18"/>
                <w:szCs w:val="18"/>
                <w:color w:val="auto"/>
              </w:rPr>
            </w:pPr>
          </w:p>
        </w:tc>
        <w:tc>
          <w:tcPr>
            <w:tcW w:w="3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60" w:type="dxa"/>
            <w:vAlign w:val="bottom"/>
            <w:shd w:val="clear" w:color="auto" w:fill="CCEEFF"/>
          </w:tcPr>
          <w:p>
            <w:pPr>
              <w:spacing w:after="0" w:line="176" w:lineRule="exact"/>
              <w:rPr>
                <w:rFonts w:ascii="Arial" w:cs="Arial" w:eastAsia="Arial" w:hAnsi="Arial"/>
                <w:sz w:val="18"/>
                <w:szCs w:val="18"/>
                <w:color w:val="0000EE"/>
                <w:w w:val="92"/>
              </w:rPr>
            </w:pPr>
            <w:hyperlink w:anchor="page9">
              <w:r>
                <w:rPr>
                  <w:rFonts w:ascii="Arial" w:cs="Arial" w:eastAsia="Arial" w:hAnsi="Arial"/>
                  <w:sz w:val="18"/>
                  <w:szCs w:val="18"/>
                  <w:color w:val="0000EE"/>
                  <w:w w:val="92"/>
                </w:rPr>
                <w:t>1.</w:t>
              </w:r>
            </w:hyperlink>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60" w:type="dxa"/>
            <w:vAlign w:val="bottom"/>
            <w:gridSpan w:val="42"/>
            <w:shd w:val="clear" w:color="auto" w:fill="CCEEFF"/>
          </w:tcPr>
          <w:p>
            <w:pPr>
              <w:ind w:left="20"/>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Interest-earning assets (IEA)</w:t>
              </w:r>
            </w:hyperlink>
          </w:p>
        </w:tc>
        <w:tc>
          <w:tcPr>
            <w:tcW w:w="33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0" w:type="dxa"/>
            <w:vAlign w:val="bottom"/>
            <w:tcBorders>
              <w:top w:val="single" w:sz="8" w:color="0000EE"/>
            </w:tcBorders>
            <w:gridSpan w:val="3"/>
          </w:tcPr>
          <w:p>
            <w:pPr>
              <w:ind w:left="160"/>
              <w:spacing w:after="0" w:line="176" w:lineRule="exact"/>
              <w:rPr>
                <w:rFonts w:ascii="Arial" w:cs="Arial" w:eastAsia="Arial" w:hAnsi="Arial"/>
                <w:sz w:val="18"/>
                <w:szCs w:val="18"/>
                <w:color w:val="0000EE"/>
                <w:w w:val="79"/>
              </w:rPr>
            </w:pPr>
            <w:hyperlink w:anchor="page9">
              <w:r>
                <w:rPr>
                  <w:rFonts w:ascii="Arial" w:cs="Arial" w:eastAsia="Arial" w:hAnsi="Arial"/>
                  <w:sz w:val="18"/>
                  <w:szCs w:val="18"/>
                  <w:color w:val="0000EE"/>
                  <w:w w:val="79"/>
                </w:rPr>
                <w:t>1.</w:t>
              </w:r>
              <w:r>
                <w:rPr>
                  <w:rFonts w:ascii="Arial" w:cs="Arial" w:eastAsia="Arial" w:hAnsi="Arial"/>
                  <w:sz w:val="18"/>
                  <w:szCs w:val="18"/>
                  <w:u w:val="single" w:color="auto"/>
                  <w:color w:val="0000EE"/>
                  <w:w w:val="79"/>
                </w:rPr>
                <w:t>1</w:t>
              </w:r>
            </w:hyperlink>
          </w:p>
        </w:tc>
        <w:tc>
          <w:tcPr>
            <w:tcW w:w="100" w:type="dxa"/>
            <w:vAlign w:val="bottom"/>
            <w:tcBorders>
              <w:top w:val="single" w:sz="8" w:color="0000EE"/>
            </w:tcBorders>
          </w:tcPr>
          <w:p>
            <w:pPr>
              <w:spacing w:after="0"/>
              <w:rPr>
                <w:sz w:val="15"/>
                <w:szCs w:val="15"/>
                <w:color w:val="auto"/>
              </w:rPr>
            </w:pPr>
          </w:p>
        </w:tc>
        <w:tc>
          <w:tcPr>
            <w:tcW w:w="1980" w:type="dxa"/>
            <w:vAlign w:val="bottom"/>
            <w:tcBorders>
              <w:top w:val="single" w:sz="8" w:color="0000EE"/>
            </w:tcBorders>
            <w:gridSpan w:val="30"/>
          </w:tcPr>
          <w:p>
            <w:pPr>
              <w:ind w:left="40"/>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Evolution of IEA</w:t>
              </w:r>
            </w:hyperlink>
          </w:p>
        </w:tc>
        <w:tc>
          <w:tcPr>
            <w:tcW w:w="5580" w:type="dxa"/>
            <w:vAlign w:val="bottom"/>
            <w:tcBorders>
              <w:top w:val="single" w:sz="8" w:color="CCEEFF"/>
            </w:tcBorders>
            <w:gridSpan w:val="11"/>
          </w:tcPr>
          <w:p>
            <w:pPr>
              <w:spacing w:after="0"/>
              <w:rPr>
                <w:sz w:val="15"/>
                <w:szCs w:val="15"/>
                <w:color w:val="auto"/>
              </w:rPr>
            </w:pPr>
          </w:p>
        </w:tc>
        <w:tc>
          <w:tcPr>
            <w:tcW w:w="336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380" w:type="dxa"/>
            <w:vAlign w:val="bottom"/>
            <w:gridSpan w:val="3"/>
            <w:shd w:val="clear" w:color="auto" w:fill="CCEEFF"/>
          </w:tcPr>
          <w:p>
            <w:pPr>
              <w:ind w:left="160"/>
              <w:spacing w:after="0" w:line="176" w:lineRule="exact"/>
              <w:rPr>
                <w:rFonts w:ascii="Arial" w:cs="Arial" w:eastAsia="Arial" w:hAnsi="Arial"/>
                <w:sz w:val="18"/>
                <w:szCs w:val="18"/>
                <w:color w:val="0000EE"/>
                <w:w w:val="79"/>
              </w:rPr>
            </w:pPr>
            <w:hyperlink w:anchor="page11">
              <w:r>
                <w:rPr>
                  <w:rFonts w:ascii="Arial" w:cs="Arial" w:eastAsia="Arial" w:hAnsi="Arial"/>
                  <w:sz w:val="18"/>
                  <w:szCs w:val="18"/>
                  <w:color w:val="0000EE"/>
                  <w:w w:val="79"/>
                </w:rPr>
                <w:t>1.</w:t>
              </w:r>
              <w:r>
                <w:rPr>
                  <w:rFonts w:ascii="Arial" w:cs="Arial" w:eastAsia="Arial" w:hAnsi="Arial"/>
                  <w:sz w:val="18"/>
                  <w:szCs w:val="18"/>
                  <w:u w:val="single" w:color="auto"/>
                  <w:color w:val="0000EE"/>
                  <w:w w:val="79"/>
                </w:rPr>
                <w:t>2</w:t>
              </w:r>
            </w:hyperlink>
          </w:p>
        </w:tc>
        <w:tc>
          <w:tcPr>
            <w:tcW w:w="100" w:type="dxa"/>
            <w:vAlign w:val="bottom"/>
            <w:shd w:val="clear" w:color="auto" w:fill="CCEEFF"/>
          </w:tcPr>
          <w:p>
            <w:pPr>
              <w:spacing w:after="0"/>
              <w:rPr>
                <w:sz w:val="15"/>
                <w:szCs w:val="15"/>
                <w:color w:val="auto"/>
              </w:rPr>
            </w:pPr>
          </w:p>
        </w:tc>
        <w:tc>
          <w:tcPr>
            <w:tcW w:w="7560" w:type="dxa"/>
            <w:vAlign w:val="bottom"/>
            <w:gridSpan w:val="41"/>
            <w:shd w:val="clear" w:color="auto" w:fill="CCEEFF"/>
          </w:tcPr>
          <w:p>
            <w:pPr>
              <w:ind w:left="40"/>
              <w:spacing w:after="0" w:line="176" w:lineRule="exact"/>
              <w:rPr>
                <w:rFonts w:ascii="Arial" w:cs="Arial" w:eastAsia="Arial" w:hAnsi="Arial"/>
                <w:sz w:val="18"/>
                <w:szCs w:val="18"/>
                <w:color w:val="0000EE"/>
              </w:rPr>
            </w:pPr>
            <w:hyperlink w:anchor="page11">
              <w:r>
                <w:rPr>
                  <w:rFonts w:ascii="Arial" w:cs="Arial" w:eastAsia="Arial" w:hAnsi="Arial"/>
                  <w:sz w:val="18"/>
                  <w:szCs w:val="18"/>
                  <w:color w:val="0000EE"/>
                </w:rPr>
                <w:t>Loan Portfolio of Credicorp</w:t>
              </w:r>
            </w:hyperlink>
          </w:p>
        </w:tc>
        <w:tc>
          <w:tcPr>
            <w:tcW w:w="33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0" w:type="dxa"/>
            <w:vAlign w:val="bottom"/>
            <w:tcBorders>
              <w:top w:val="single" w:sz="8" w:color="CCEEFF"/>
            </w:tcBorders>
            <w:shd w:val="clear" w:color="auto" w:fill="CCEEFF"/>
          </w:tcPr>
          <w:p>
            <w:pPr>
              <w:spacing w:after="0" w:line="20" w:lineRule="exact"/>
              <w:rPr>
                <w:sz w:val="1"/>
                <w:szCs w:val="1"/>
                <w:color w:val="auto"/>
              </w:rPr>
            </w:pPr>
          </w:p>
        </w:tc>
        <w:tc>
          <w:tcPr>
            <w:tcW w:w="3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720" w:type="dxa"/>
            <w:vAlign w:val="bottom"/>
            <w:gridSpan w:val="43"/>
          </w:tcPr>
          <w:p>
            <w:pPr>
              <w:spacing w:after="0" w:line="176" w:lineRule="exact"/>
              <w:rPr>
                <w:rFonts w:ascii="Arial" w:cs="Arial" w:eastAsia="Arial" w:hAnsi="Arial"/>
                <w:sz w:val="18"/>
                <w:szCs w:val="18"/>
                <w:i w:val="1"/>
                <w:iCs w:val="1"/>
                <w:color w:val="0000EE"/>
              </w:rPr>
            </w:pPr>
            <w:hyperlink w:anchor="page11">
              <w:r>
                <w:rPr>
                  <w:rFonts w:ascii="Arial" w:cs="Arial" w:eastAsia="Arial" w:hAnsi="Arial"/>
                  <w:sz w:val="18"/>
                  <w:szCs w:val="18"/>
                  <w:i w:val="1"/>
                  <w:iCs w:val="1"/>
                  <w:color w:val="0000EE"/>
                </w:rPr>
                <w:t>1.</w:t>
              </w:r>
              <w:r>
                <w:rPr>
                  <w:rFonts w:ascii="Arial" w:cs="Arial" w:eastAsia="Arial" w:hAnsi="Arial"/>
                  <w:sz w:val="18"/>
                  <w:szCs w:val="18"/>
                  <w:i w:val="1"/>
                  <w:iCs w:val="1"/>
                  <w:u w:val="single" w:color="auto"/>
                  <w:color w:val="0000EE"/>
                </w:rPr>
                <w:t>2.1</w:t>
              </w:r>
              <w:r>
                <w:rPr>
                  <w:rFonts w:ascii="Arial" w:cs="Arial" w:eastAsia="Arial" w:hAnsi="Arial"/>
                  <w:sz w:val="18"/>
                  <w:szCs w:val="18"/>
                  <w:i w:val="1"/>
                  <w:iCs w:val="1"/>
                  <w:color w:val="0000EE"/>
                </w:rPr>
                <w:t xml:space="preserve">  Loan evolution by segment</w:t>
              </w:r>
            </w:hyperlink>
          </w:p>
        </w:tc>
        <w:tc>
          <w:tcPr>
            <w:tcW w:w="3360" w:type="dxa"/>
            <w:vAlign w:val="bottom"/>
          </w:tcPr>
          <w:p>
            <w:pPr>
              <w:jc w:val="right"/>
              <w:spacing w:after="0" w:line="176" w:lineRule="exact"/>
              <w:rPr>
                <w:sz w:val="20"/>
                <w:szCs w:val="20"/>
                <w:color w:val="auto"/>
              </w:rPr>
            </w:pPr>
            <w:r>
              <w:rPr>
                <w:rFonts w:ascii="Arial" w:cs="Arial" w:eastAsia="Arial" w:hAnsi="Arial"/>
                <w:sz w:val="18"/>
                <w:szCs w:val="18"/>
                <w:color w:val="auto"/>
              </w:rPr>
              <w:t>10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720" w:type="dxa"/>
            <w:vAlign w:val="bottom"/>
            <w:gridSpan w:val="43"/>
            <w:shd w:val="clear" w:color="auto" w:fill="CCEEFF"/>
          </w:tcPr>
          <w:p>
            <w:pPr>
              <w:spacing w:after="0" w:line="176" w:lineRule="exact"/>
              <w:rPr>
                <w:rFonts w:ascii="Arial" w:cs="Arial" w:eastAsia="Arial" w:hAnsi="Arial"/>
                <w:sz w:val="18"/>
                <w:szCs w:val="18"/>
                <w:i w:val="1"/>
                <w:iCs w:val="1"/>
                <w:color w:val="0000EE"/>
              </w:rPr>
            </w:pPr>
            <w:hyperlink w:anchor="page13">
              <w:r>
                <w:rPr>
                  <w:rFonts w:ascii="Arial" w:cs="Arial" w:eastAsia="Arial" w:hAnsi="Arial"/>
                  <w:sz w:val="18"/>
                  <w:szCs w:val="18"/>
                  <w:i w:val="1"/>
                  <w:iCs w:val="1"/>
                  <w:color w:val="0000EE"/>
                </w:rPr>
                <w:t>1.</w:t>
              </w:r>
              <w:r>
                <w:rPr>
                  <w:rFonts w:ascii="Arial" w:cs="Arial" w:eastAsia="Arial" w:hAnsi="Arial"/>
                  <w:sz w:val="18"/>
                  <w:szCs w:val="18"/>
                  <w:i w:val="1"/>
                  <w:iCs w:val="1"/>
                  <w:u w:val="single" w:color="auto"/>
                  <w:color w:val="0000EE"/>
                </w:rPr>
                <w:t>2.2</w:t>
              </w:r>
              <w:r>
                <w:rPr>
                  <w:rFonts w:ascii="Arial" w:cs="Arial" w:eastAsia="Arial" w:hAnsi="Arial"/>
                  <w:sz w:val="18"/>
                  <w:szCs w:val="18"/>
                  <w:i w:val="1"/>
                  <w:iCs w:val="1"/>
                  <w:color w:val="0000EE"/>
                </w:rPr>
                <w:t xml:space="preserve">  Loan evolution by currency</w:t>
              </w:r>
            </w:hyperlink>
          </w:p>
        </w:tc>
        <w:tc>
          <w:tcPr>
            <w:tcW w:w="33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0" w:type="dxa"/>
            <w:vAlign w:val="bottom"/>
            <w:tcBorders>
              <w:top w:val="single" w:sz="8" w:color="CCEEFF"/>
            </w:tcBorders>
            <w:shd w:val="clear" w:color="auto" w:fill="CCEEFF"/>
          </w:tcPr>
          <w:p>
            <w:pPr>
              <w:spacing w:after="0" w:line="20" w:lineRule="exact"/>
              <w:rPr>
                <w:sz w:val="1"/>
                <w:szCs w:val="1"/>
                <w:color w:val="auto"/>
              </w:rPr>
            </w:pPr>
          </w:p>
        </w:tc>
        <w:tc>
          <w:tcPr>
            <w:tcW w:w="3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720" w:type="dxa"/>
            <w:vAlign w:val="bottom"/>
            <w:gridSpan w:val="43"/>
          </w:tcPr>
          <w:p>
            <w:pPr>
              <w:spacing w:after="0" w:line="176" w:lineRule="exact"/>
              <w:rPr>
                <w:rFonts w:ascii="Arial" w:cs="Arial" w:eastAsia="Arial" w:hAnsi="Arial"/>
                <w:sz w:val="18"/>
                <w:szCs w:val="18"/>
                <w:i w:val="1"/>
                <w:iCs w:val="1"/>
                <w:color w:val="0000EE"/>
              </w:rPr>
            </w:pPr>
            <w:hyperlink w:anchor="page14">
              <w:r>
                <w:rPr>
                  <w:rFonts w:ascii="Arial" w:cs="Arial" w:eastAsia="Arial" w:hAnsi="Arial"/>
                  <w:sz w:val="18"/>
                  <w:szCs w:val="18"/>
                  <w:i w:val="1"/>
                  <w:iCs w:val="1"/>
                  <w:color w:val="0000EE"/>
                </w:rPr>
                <w:t>1.</w:t>
              </w:r>
              <w:r>
                <w:rPr>
                  <w:rFonts w:ascii="Arial" w:cs="Arial" w:eastAsia="Arial" w:hAnsi="Arial"/>
                  <w:sz w:val="18"/>
                  <w:szCs w:val="18"/>
                  <w:i w:val="1"/>
                  <w:iCs w:val="1"/>
                  <w:u w:val="single" w:color="auto"/>
                  <w:color w:val="0000EE"/>
                </w:rPr>
                <w:t>2.3</w:t>
              </w:r>
              <w:r>
                <w:rPr>
                  <w:rFonts w:ascii="Arial" w:cs="Arial" w:eastAsia="Arial" w:hAnsi="Arial"/>
                  <w:sz w:val="18"/>
                  <w:szCs w:val="18"/>
                  <w:i w:val="1"/>
                  <w:iCs w:val="1"/>
                  <w:color w:val="0000EE"/>
                </w:rPr>
                <w:t xml:space="preserve">  BCRP loan de-dollarization plan at BCP Stand-alone</w:t>
              </w:r>
            </w:hyperlink>
          </w:p>
        </w:tc>
        <w:tc>
          <w:tcPr>
            <w:tcW w:w="3360" w:type="dxa"/>
            <w:vAlign w:val="bottom"/>
          </w:tcPr>
          <w:p>
            <w:pPr>
              <w:jc w:val="right"/>
              <w:spacing w:after="0" w:line="176" w:lineRule="exact"/>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720" w:type="dxa"/>
            <w:vAlign w:val="bottom"/>
            <w:gridSpan w:val="43"/>
            <w:shd w:val="clear" w:color="auto" w:fill="CCEEFF"/>
          </w:tcPr>
          <w:p>
            <w:pPr>
              <w:spacing w:after="0" w:line="176" w:lineRule="exact"/>
              <w:rPr>
                <w:rFonts w:ascii="Arial" w:cs="Arial" w:eastAsia="Arial" w:hAnsi="Arial"/>
                <w:sz w:val="18"/>
                <w:szCs w:val="18"/>
                <w:i w:val="1"/>
                <w:iCs w:val="1"/>
                <w:color w:val="0000EE"/>
              </w:rPr>
            </w:pPr>
            <w:hyperlink w:anchor="page15">
              <w:r>
                <w:rPr>
                  <w:rFonts w:ascii="Arial" w:cs="Arial" w:eastAsia="Arial" w:hAnsi="Arial"/>
                  <w:sz w:val="18"/>
                  <w:szCs w:val="18"/>
                  <w:i w:val="1"/>
                  <w:iCs w:val="1"/>
                  <w:color w:val="0000EE"/>
                </w:rPr>
                <w:t>1.</w:t>
              </w:r>
              <w:r>
                <w:rPr>
                  <w:rFonts w:ascii="Arial" w:cs="Arial" w:eastAsia="Arial" w:hAnsi="Arial"/>
                  <w:sz w:val="18"/>
                  <w:szCs w:val="18"/>
                  <w:i w:val="1"/>
                  <w:iCs w:val="1"/>
                  <w:u w:val="single" w:color="auto"/>
                  <w:color w:val="0000EE"/>
                </w:rPr>
                <w:t>2.4</w:t>
              </w:r>
              <w:r>
                <w:rPr>
                  <w:rFonts w:ascii="Arial" w:cs="Arial" w:eastAsia="Arial" w:hAnsi="Arial"/>
                  <w:sz w:val="18"/>
                  <w:szCs w:val="18"/>
                  <w:i w:val="1"/>
                  <w:iCs w:val="1"/>
                  <w:color w:val="0000EE"/>
                </w:rPr>
                <w:t xml:space="preserve">  Market share in loans</w:t>
              </w:r>
            </w:hyperlink>
          </w:p>
        </w:tc>
        <w:tc>
          <w:tcPr>
            <w:tcW w:w="33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gridSpan w:val="2"/>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200" w:type="dxa"/>
            <w:vAlign w:val="bottom"/>
            <w:tcBorders>
              <w:top w:val="single" w:sz="8" w:color="CCEEFF"/>
            </w:tcBorders>
          </w:tcPr>
          <w:p>
            <w:pPr>
              <w:spacing w:after="0"/>
              <w:rPr>
                <w:sz w:val="18"/>
                <w:szCs w:val="18"/>
                <w:color w:val="auto"/>
              </w:rPr>
            </w:pPr>
          </w:p>
        </w:tc>
        <w:tc>
          <w:tcPr>
            <w:tcW w:w="3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60" w:type="dxa"/>
            <w:vAlign w:val="bottom"/>
            <w:shd w:val="clear" w:color="auto" w:fill="CCEEFF"/>
          </w:tcPr>
          <w:p>
            <w:pPr>
              <w:spacing w:after="0" w:line="176" w:lineRule="exact"/>
              <w:rPr>
                <w:rFonts w:ascii="Arial" w:cs="Arial" w:eastAsia="Arial" w:hAnsi="Arial"/>
                <w:sz w:val="18"/>
                <w:szCs w:val="18"/>
                <w:color w:val="0000EE"/>
                <w:w w:val="92"/>
              </w:rPr>
            </w:pPr>
            <w:hyperlink w:anchor="page16">
              <w:r>
                <w:rPr>
                  <w:rFonts w:ascii="Arial" w:cs="Arial" w:eastAsia="Arial" w:hAnsi="Arial"/>
                  <w:sz w:val="18"/>
                  <w:szCs w:val="18"/>
                  <w:color w:val="0000EE"/>
                  <w:w w:val="92"/>
                </w:rPr>
                <w:t>2.</w:t>
              </w:r>
            </w:hyperlink>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660" w:type="dxa"/>
            <w:vAlign w:val="bottom"/>
            <w:gridSpan w:val="42"/>
            <w:shd w:val="clear" w:color="auto" w:fill="CCEEFF"/>
          </w:tcPr>
          <w:p>
            <w:pPr>
              <w:ind w:left="20"/>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Funding Sources</w:t>
              </w:r>
            </w:hyperlink>
          </w:p>
        </w:tc>
        <w:tc>
          <w:tcPr>
            <w:tcW w:w="33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0" w:type="dxa"/>
            <w:vAlign w:val="bottom"/>
            <w:tcBorders>
              <w:top w:val="single" w:sz="8" w:color="CCEEFF"/>
            </w:tcBorders>
            <w:shd w:val="clear" w:color="auto" w:fill="CCEEFF"/>
          </w:tcPr>
          <w:p>
            <w:pPr>
              <w:spacing w:after="0" w:line="20" w:lineRule="exact"/>
              <w:rPr>
                <w:sz w:val="1"/>
                <w:szCs w:val="1"/>
                <w:color w:val="auto"/>
              </w:rPr>
            </w:pPr>
          </w:p>
        </w:tc>
        <w:tc>
          <w:tcPr>
            <w:tcW w:w="3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380" w:type="dxa"/>
            <w:vAlign w:val="bottom"/>
            <w:gridSpan w:val="3"/>
          </w:tcPr>
          <w:p>
            <w:pPr>
              <w:ind w:left="160"/>
              <w:spacing w:after="0" w:line="176" w:lineRule="exact"/>
              <w:rPr>
                <w:rFonts w:ascii="Arial" w:cs="Arial" w:eastAsia="Arial" w:hAnsi="Arial"/>
                <w:sz w:val="18"/>
                <w:szCs w:val="18"/>
                <w:color w:val="0000EE"/>
                <w:w w:val="79"/>
              </w:rPr>
            </w:pPr>
            <w:hyperlink w:anchor="page16">
              <w:r>
                <w:rPr>
                  <w:rFonts w:ascii="Arial" w:cs="Arial" w:eastAsia="Arial" w:hAnsi="Arial"/>
                  <w:sz w:val="18"/>
                  <w:szCs w:val="18"/>
                  <w:color w:val="0000EE"/>
                  <w:w w:val="79"/>
                </w:rPr>
                <w:t>2.</w:t>
              </w:r>
              <w:r>
                <w:rPr>
                  <w:rFonts w:ascii="Arial" w:cs="Arial" w:eastAsia="Arial" w:hAnsi="Arial"/>
                  <w:sz w:val="18"/>
                  <w:szCs w:val="18"/>
                  <w:u w:val="single" w:color="auto"/>
                  <w:color w:val="0000EE"/>
                  <w:w w:val="79"/>
                </w:rPr>
                <w:t>1</w:t>
              </w:r>
            </w:hyperlink>
          </w:p>
        </w:tc>
        <w:tc>
          <w:tcPr>
            <w:tcW w:w="100" w:type="dxa"/>
            <w:vAlign w:val="bottom"/>
          </w:tcPr>
          <w:p>
            <w:pPr>
              <w:spacing w:after="0"/>
              <w:rPr>
                <w:sz w:val="15"/>
                <w:szCs w:val="15"/>
                <w:color w:val="auto"/>
              </w:rPr>
            </w:pPr>
          </w:p>
        </w:tc>
        <w:tc>
          <w:tcPr>
            <w:tcW w:w="7560" w:type="dxa"/>
            <w:vAlign w:val="bottom"/>
            <w:gridSpan w:val="41"/>
          </w:tcPr>
          <w:p>
            <w:pPr>
              <w:ind w:left="40"/>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Funding Structure</w:t>
              </w:r>
            </w:hyperlink>
          </w:p>
        </w:tc>
        <w:tc>
          <w:tcPr>
            <w:tcW w:w="3360" w:type="dxa"/>
            <w:vAlign w:val="bottom"/>
          </w:tcPr>
          <w:p>
            <w:pPr>
              <w:jc w:val="right"/>
              <w:spacing w:after="0" w:line="176" w:lineRule="exact"/>
              <w:rPr>
                <w:sz w:val="20"/>
                <w:szCs w:val="20"/>
                <w:color w:val="auto"/>
              </w:rPr>
            </w:pPr>
            <w:r>
              <w:rPr>
                <w:rFonts w:ascii="Arial" w:cs="Arial" w:eastAsia="Arial" w:hAnsi="Arial"/>
                <w:sz w:val="18"/>
                <w:szCs w:val="18"/>
                <w:color w:val="auto"/>
              </w:rPr>
              <w:t>15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380" w:type="dxa"/>
            <w:vAlign w:val="bottom"/>
            <w:gridSpan w:val="3"/>
            <w:shd w:val="clear" w:color="auto" w:fill="CCEEFF"/>
          </w:tcPr>
          <w:p>
            <w:pPr>
              <w:ind w:left="160"/>
              <w:spacing w:after="0" w:line="176" w:lineRule="exact"/>
              <w:rPr>
                <w:rFonts w:ascii="Arial" w:cs="Arial" w:eastAsia="Arial" w:hAnsi="Arial"/>
                <w:sz w:val="18"/>
                <w:szCs w:val="18"/>
                <w:color w:val="0000EE"/>
                <w:w w:val="79"/>
              </w:rPr>
            </w:pPr>
            <w:hyperlink w:anchor="page17">
              <w:r>
                <w:rPr>
                  <w:rFonts w:ascii="Arial" w:cs="Arial" w:eastAsia="Arial" w:hAnsi="Arial"/>
                  <w:sz w:val="18"/>
                  <w:szCs w:val="18"/>
                  <w:color w:val="0000EE"/>
                  <w:w w:val="79"/>
                </w:rPr>
                <w:t>2.</w:t>
              </w:r>
              <w:r>
                <w:rPr>
                  <w:rFonts w:ascii="Arial" w:cs="Arial" w:eastAsia="Arial" w:hAnsi="Arial"/>
                  <w:sz w:val="18"/>
                  <w:szCs w:val="18"/>
                  <w:u w:val="single" w:color="auto"/>
                  <w:color w:val="0000EE"/>
                  <w:w w:val="79"/>
                </w:rPr>
                <w:t>2</w:t>
              </w:r>
            </w:hyperlink>
          </w:p>
        </w:tc>
        <w:tc>
          <w:tcPr>
            <w:tcW w:w="100" w:type="dxa"/>
            <w:vAlign w:val="bottom"/>
            <w:shd w:val="clear" w:color="auto" w:fill="CCEEFF"/>
          </w:tcPr>
          <w:p>
            <w:pPr>
              <w:spacing w:after="0"/>
              <w:rPr>
                <w:sz w:val="15"/>
                <w:szCs w:val="15"/>
                <w:color w:val="auto"/>
              </w:rPr>
            </w:pPr>
          </w:p>
        </w:tc>
        <w:tc>
          <w:tcPr>
            <w:tcW w:w="7560" w:type="dxa"/>
            <w:vAlign w:val="bottom"/>
            <w:gridSpan w:val="41"/>
            <w:shd w:val="clear" w:color="auto" w:fill="CCEEFF"/>
          </w:tcPr>
          <w:p>
            <w:pPr>
              <w:ind w:left="40"/>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Deposits</w:t>
              </w:r>
            </w:hyperlink>
          </w:p>
        </w:tc>
        <w:tc>
          <w:tcPr>
            <w:tcW w:w="33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0" w:type="dxa"/>
            <w:vAlign w:val="bottom"/>
            <w:tcBorders>
              <w:top w:val="single" w:sz="8" w:color="CCEEFF"/>
            </w:tcBorders>
            <w:shd w:val="clear" w:color="auto" w:fill="CCEEFF"/>
          </w:tcPr>
          <w:p>
            <w:pPr>
              <w:spacing w:after="0" w:line="20" w:lineRule="exact"/>
              <w:rPr>
                <w:sz w:val="1"/>
                <w:szCs w:val="1"/>
                <w:color w:val="auto"/>
              </w:rPr>
            </w:pPr>
          </w:p>
        </w:tc>
        <w:tc>
          <w:tcPr>
            <w:tcW w:w="3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720" w:type="dxa"/>
            <w:vAlign w:val="bottom"/>
            <w:gridSpan w:val="43"/>
          </w:tcPr>
          <w:p>
            <w:pPr>
              <w:spacing w:after="0" w:line="176" w:lineRule="exact"/>
              <w:rPr>
                <w:rFonts w:ascii="Arial" w:cs="Arial" w:eastAsia="Arial" w:hAnsi="Arial"/>
                <w:sz w:val="18"/>
                <w:szCs w:val="18"/>
                <w:i w:val="1"/>
                <w:iCs w:val="1"/>
                <w:color w:val="0000EE"/>
              </w:rPr>
            </w:pPr>
            <w:hyperlink w:anchor="page18">
              <w:r>
                <w:rPr>
                  <w:rFonts w:ascii="Arial" w:cs="Arial" w:eastAsia="Arial" w:hAnsi="Arial"/>
                  <w:sz w:val="18"/>
                  <w:szCs w:val="18"/>
                  <w:i w:val="1"/>
                  <w:iCs w:val="1"/>
                  <w:color w:val="0000EE"/>
                </w:rPr>
                <w:t>2.</w:t>
              </w:r>
              <w:r>
                <w:rPr>
                  <w:rFonts w:ascii="Arial" w:cs="Arial" w:eastAsia="Arial" w:hAnsi="Arial"/>
                  <w:sz w:val="18"/>
                  <w:szCs w:val="18"/>
                  <w:i w:val="1"/>
                  <w:iCs w:val="1"/>
                  <w:u w:val="single" w:color="auto"/>
                  <w:color w:val="0000EE"/>
                </w:rPr>
                <w:t>2.1</w:t>
              </w:r>
              <w:r>
                <w:rPr>
                  <w:rFonts w:ascii="Arial" w:cs="Arial" w:eastAsia="Arial" w:hAnsi="Arial"/>
                  <w:sz w:val="18"/>
                  <w:szCs w:val="18"/>
                  <w:i w:val="1"/>
                  <w:iCs w:val="1"/>
                  <w:color w:val="0000EE"/>
                </w:rPr>
                <w:t xml:space="preserve">  Market share in deposits</w:t>
              </w:r>
            </w:hyperlink>
          </w:p>
        </w:tc>
        <w:tc>
          <w:tcPr>
            <w:tcW w:w="3360" w:type="dxa"/>
            <w:vAlign w:val="bottom"/>
          </w:tcPr>
          <w:p>
            <w:pPr>
              <w:jc w:val="right"/>
              <w:spacing w:after="0" w:line="176" w:lineRule="exact"/>
              <w:rPr>
                <w:sz w:val="20"/>
                <w:szCs w:val="20"/>
                <w:color w:val="auto"/>
              </w:rPr>
            </w:pPr>
            <w:r>
              <w:rPr>
                <w:rFonts w:ascii="Arial" w:cs="Arial" w:eastAsia="Arial" w:hAnsi="Arial"/>
                <w:sz w:val="18"/>
                <w:szCs w:val="18"/>
                <w:color w:val="auto"/>
              </w:rPr>
              <w:t>17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720" w:type="dxa"/>
            <w:vAlign w:val="bottom"/>
            <w:gridSpan w:val="43"/>
            <w:shd w:val="clear" w:color="auto" w:fill="CCEEFF"/>
          </w:tcPr>
          <w:p>
            <w:pPr>
              <w:spacing w:after="0" w:line="176" w:lineRule="exact"/>
              <w:rPr>
                <w:rFonts w:ascii="Arial" w:cs="Arial" w:eastAsia="Arial" w:hAnsi="Arial"/>
                <w:sz w:val="18"/>
                <w:szCs w:val="18"/>
                <w:i w:val="1"/>
                <w:iCs w:val="1"/>
                <w:color w:val="0000EE"/>
              </w:rPr>
            </w:pPr>
            <w:hyperlink w:anchor="page18">
              <w:r>
                <w:rPr>
                  <w:rFonts w:ascii="Arial" w:cs="Arial" w:eastAsia="Arial" w:hAnsi="Arial"/>
                  <w:sz w:val="18"/>
                  <w:szCs w:val="18"/>
                  <w:i w:val="1"/>
                  <w:iCs w:val="1"/>
                  <w:color w:val="0000EE"/>
                </w:rPr>
                <w:t>2.</w:t>
              </w:r>
              <w:r>
                <w:rPr>
                  <w:rFonts w:ascii="Arial" w:cs="Arial" w:eastAsia="Arial" w:hAnsi="Arial"/>
                  <w:sz w:val="18"/>
                  <w:szCs w:val="18"/>
                  <w:i w:val="1"/>
                  <w:iCs w:val="1"/>
                  <w:u w:val="single" w:color="auto"/>
                  <w:color w:val="0000EE"/>
                </w:rPr>
                <w:t>2.2</w:t>
              </w:r>
              <w:r>
                <w:rPr>
                  <w:rFonts w:ascii="Arial" w:cs="Arial" w:eastAsia="Arial" w:hAnsi="Arial"/>
                  <w:sz w:val="18"/>
                  <w:szCs w:val="18"/>
                  <w:i w:val="1"/>
                  <w:iCs w:val="1"/>
                  <w:color w:val="0000EE"/>
                </w:rPr>
                <w:t xml:space="preserve">  Deposit dollarization</w:t>
              </w:r>
            </w:hyperlink>
          </w:p>
        </w:tc>
        <w:tc>
          <w:tcPr>
            <w:tcW w:w="33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0" w:type="dxa"/>
            <w:vAlign w:val="bottom"/>
            <w:tcBorders>
              <w:top w:val="single" w:sz="8" w:color="CCEEFF"/>
            </w:tcBorders>
            <w:shd w:val="clear" w:color="auto" w:fill="CCEEFF"/>
          </w:tcPr>
          <w:p>
            <w:pPr>
              <w:spacing w:after="0" w:line="20" w:lineRule="exact"/>
              <w:rPr>
                <w:sz w:val="1"/>
                <w:szCs w:val="1"/>
                <w:color w:val="auto"/>
              </w:rPr>
            </w:pPr>
          </w:p>
        </w:tc>
        <w:tc>
          <w:tcPr>
            <w:tcW w:w="3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380" w:type="dxa"/>
            <w:vAlign w:val="bottom"/>
            <w:gridSpan w:val="3"/>
          </w:tcPr>
          <w:p>
            <w:pPr>
              <w:ind w:left="160"/>
              <w:spacing w:after="0" w:line="176" w:lineRule="exact"/>
              <w:rPr>
                <w:rFonts w:ascii="Arial" w:cs="Arial" w:eastAsia="Arial" w:hAnsi="Arial"/>
                <w:sz w:val="18"/>
                <w:szCs w:val="18"/>
                <w:color w:val="0000EE"/>
                <w:w w:val="79"/>
              </w:rPr>
            </w:pPr>
            <w:hyperlink w:anchor="page19">
              <w:r>
                <w:rPr>
                  <w:rFonts w:ascii="Arial" w:cs="Arial" w:eastAsia="Arial" w:hAnsi="Arial"/>
                  <w:sz w:val="18"/>
                  <w:szCs w:val="18"/>
                  <w:color w:val="0000EE"/>
                  <w:w w:val="79"/>
                </w:rPr>
                <w:t>2.</w:t>
              </w:r>
              <w:r>
                <w:rPr>
                  <w:rFonts w:ascii="Arial" w:cs="Arial" w:eastAsia="Arial" w:hAnsi="Arial"/>
                  <w:sz w:val="18"/>
                  <w:szCs w:val="18"/>
                  <w:u w:val="single" w:color="auto"/>
                  <w:color w:val="0000EE"/>
                  <w:w w:val="79"/>
                </w:rPr>
                <w:t>3</w:t>
              </w:r>
            </w:hyperlink>
          </w:p>
        </w:tc>
        <w:tc>
          <w:tcPr>
            <w:tcW w:w="100" w:type="dxa"/>
            <w:vAlign w:val="bottom"/>
          </w:tcPr>
          <w:p>
            <w:pPr>
              <w:spacing w:after="0"/>
              <w:rPr>
                <w:sz w:val="15"/>
                <w:szCs w:val="15"/>
                <w:color w:val="auto"/>
              </w:rPr>
            </w:pPr>
          </w:p>
        </w:tc>
        <w:tc>
          <w:tcPr>
            <w:tcW w:w="7560" w:type="dxa"/>
            <w:vAlign w:val="bottom"/>
            <w:gridSpan w:val="41"/>
          </w:tcPr>
          <w:p>
            <w:pPr>
              <w:ind w:left="40"/>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Other funding sources</w:t>
              </w:r>
            </w:hyperlink>
          </w:p>
        </w:tc>
        <w:tc>
          <w:tcPr>
            <w:tcW w:w="3360" w:type="dxa"/>
            <w:vAlign w:val="bottom"/>
          </w:tcPr>
          <w:p>
            <w:pPr>
              <w:jc w:val="right"/>
              <w:spacing w:after="0" w:line="176" w:lineRule="exact"/>
              <w:rPr>
                <w:sz w:val="20"/>
                <w:szCs w:val="20"/>
                <w:color w:val="auto"/>
              </w:rPr>
            </w:pPr>
            <w:r>
              <w:rPr>
                <w:rFonts w:ascii="Arial" w:cs="Arial" w:eastAsia="Arial" w:hAnsi="Arial"/>
                <w:sz w:val="18"/>
                <w:szCs w:val="18"/>
                <w:color w:val="auto"/>
              </w:rPr>
              <w:t>18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380" w:type="dxa"/>
            <w:vAlign w:val="bottom"/>
            <w:gridSpan w:val="3"/>
            <w:shd w:val="clear" w:color="auto" w:fill="CCEEFF"/>
          </w:tcPr>
          <w:p>
            <w:pPr>
              <w:ind w:left="160"/>
              <w:spacing w:after="0" w:line="176" w:lineRule="exact"/>
              <w:rPr>
                <w:rFonts w:ascii="Arial" w:cs="Arial" w:eastAsia="Arial" w:hAnsi="Arial"/>
                <w:sz w:val="18"/>
                <w:szCs w:val="18"/>
                <w:color w:val="0000EE"/>
                <w:w w:val="79"/>
              </w:rPr>
            </w:pPr>
            <w:hyperlink w:anchor="page20">
              <w:r>
                <w:rPr>
                  <w:rFonts w:ascii="Arial" w:cs="Arial" w:eastAsia="Arial" w:hAnsi="Arial"/>
                  <w:sz w:val="18"/>
                  <w:szCs w:val="18"/>
                  <w:color w:val="0000EE"/>
                  <w:w w:val="79"/>
                </w:rPr>
                <w:t>2.</w:t>
              </w:r>
              <w:r>
                <w:rPr>
                  <w:rFonts w:ascii="Arial" w:cs="Arial" w:eastAsia="Arial" w:hAnsi="Arial"/>
                  <w:sz w:val="18"/>
                  <w:szCs w:val="18"/>
                  <w:u w:val="single" w:color="auto"/>
                  <w:color w:val="0000EE"/>
                  <w:w w:val="79"/>
                </w:rPr>
                <w:t>4</w:t>
              </w:r>
            </w:hyperlink>
          </w:p>
        </w:tc>
        <w:tc>
          <w:tcPr>
            <w:tcW w:w="100" w:type="dxa"/>
            <w:vAlign w:val="bottom"/>
            <w:shd w:val="clear" w:color="auto" w:fill="CCEEFF"/>
          </w:tcPr>
          <w:p>
            <w:pPr>
              <w:spacing w:after="0"/>
              <w:rPr>
                <w:sz w:val="15"/>
                <w:szCs w:val="15"/>
                <w:color w:val="auto"/>
              </w:rPr>
            </w:pPr>
          </w:p>
        </w:tc>
        <w:tc>
          <w:tcPr>
            <w:tcW w:w="7560" w:type="dxa"/>
            <w:vAlign w:val="bottom"/>
            <w:gridSpan w:val="41"/>
            <w:shd w:val="clear" w:color="auto" w:fill="CCEEFF"/>
          </w:tcPr>
          <w:p>
            <w:pPr>
              <w:ind w:left="40"/>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Loan/Deposits (L/D)</w:t>
              </w:r>
            </w:hyperlink>
          </w:p>
        </w:tc>
        <w:tc>
          <w:tcPr>
            <w:tcW w:w="33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0" w:type="dxa"/>
            <w:vAlign w:val="bottom"/>
            <w:tcBorders>
              <w:top w:val="single" w:sz="8" w:color="CCEEFF"/>
            </w:tcBorders>
            <w:shd w:val="clear" w:color="auto" w:fill="CCEEFF"/>
          </w:tcPr>
          <w:p>
            <w:pPr>
              <w:spacing w:after="0" w:line="20" w:lineRule="exact"/>
              <w:rPr>
                <w:sz w:val="1"/>
                <w:szCs w:val="1"/>
                <w:color w:val="auto"/>
              </w:rPr>
            </w:pPr>
          </w:p>
        </w:tc>
        <w:tc>
          <w:tcPr>
            <w:tcW w:w="3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380" w:type="dxa"/>
            <w:vAlign w:val="bottom"/>
            <w:gridSpan w:val="3"/>
          </w:tcPr>
          <w:p>
            <w:pPr>
              <w:ind w:left="160"/>
              <w:spacing w:after="0" w:line="176" w:lineRule="exact"/>
              <w:rPr>
                <w:rFonts w:ascii="Arial" w:cs="Arial" w:eastAsia="Arial" w:hAnsi="Arial"/>
                <w:sz w:val="18"/>
                <w:szCs w:val="18"/>
                <w:color w:val="0000EE"/>
                <w:w w:val="79"/>
              </w:rPr>
            </w:pPr>
            <w:hyperlink w:anchor="page21">
              <w:r>
                <w:rPr>
                  <w:rFonts w:ascii="Arial" w:cs="Arial" w:eastAsia="Arial" w:hAnsi="Arial"/>
                  <w:sz w:val="18"/>
                  <w:szCs w:val="18"/>
                  <w:color w:val="0000EE"/>
                  <w:w w:val="79"/>
                </w:rPr>
                <w:t>2.</w:t>
              </w:r>
              <w:r>
                <w:rPr>
                  <w:rFonts w:ascii="Arial" w:cs="Arial" w:eastAsia="Arial" w:hAnsi="Arial"/>
                  <w:sz w:val="18"/>
                  <w:szCs w:val="18"/>
                  <w:u w:val="single" w:color="auto"/>
                  <w:color w:val="0000EE"/>
                  <w:w w:val="79"/>
                </w:rPr>
                <w:t>5</w:t>
              </w:r>
            </w:hyperlink>
          </w:p>
        </w:tc>
        <w:tc>
          <w:tcPr>
            <w:tcW w:w="100" w:type="dxa"/>
            <w:vAlign w:val="bottom"/>
          </w:tcPr>
          <w:p>
            <w:pPr>
              <w:spacing w:after="0"/>
              <w:rPr>
                <w:sz w:val="15"/>
                <w:szCs w:val="15"/>
                <w:color w:val="auto"/>
              </w:rPr>
            </w:pPr>
          </w:p>
        </w:tc>
        <w:tc>
          <w:tcPr>
            <w:tcW w:w="7560" w:type="dxa"/>
            <w:vAlign w:val="bottom"/>
            <w:gridSpan w:val="41"/>
          </w:tcPr>
          <w:p>
            <w:pPr>
              <w:ind w:left="40"/>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Funding Cost</w:t>
              </w:r>
            </w:hyperlink>
          </w:p>
        </w:tc>
        <w:tc>
          <w:tcPr>
            <w:tcW w:w="3360" w:type="dxa"/>
            <w:vAlign w:val="bottom"/>
          </w:tcPr>
          <w:p>
            <w:pPr>
              <w:jc w:val="right"/>
              <w:spacing w:after="0" w:line="176" w:lineRule="exact"/>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380" w:type="dxa"/>
            <w:vAlign w:val="bottom"/>
            <w:gridSpan w:val="3"/>
            <w:shd w:val="clear" w:color="auto" w:fill="CCEEFF"/>
          </w:tcPr>
          <w:p>
            <w:pPr>
              <w:ind w:left="160"/>
              <w:spacing w:after="0" w:line="176" w:lineRule="exact"/>
              <w:rPr>
                <w:rFonts w:ascii="Arial" w:cs="Arial" w:eastAsia="Arial" w:hAnsi="Arial"/>
                <w:sz w:val="18"/>
                <w:szCs w:val="18"/>
                <w:color w:val="0000EE"/>
                <w:w w:val="79"/>
              </w:rPr>
            </w:pPr>
            <w:hyperlink w:anchor="page21">
              <w:r>
                <w:rPr>
                  <w:rFonts w:ascii="Arial" w:cs="Arial" w:eastAsia="Arial" w:hAnsi="Arial"/>
                  <w:sz w:val="18"/>
                  <w:szCs w:val="18"/>
                  <w:color w:val="0000EE"/>
                  <w:w w:val="79"/>
                </w:rPr>
                <w:t>2.</w:t>
              </w:r>
              <w:r>
                <w:rPr>
                  <w:rFonts w:ascii="Arial" w:cs="Arial" w:eastAsia="Arial" w:hAnsi="Arial"/>
                  <w:sz w:val="18"/>
                  <w:szCs w:val="18"/>
                  <w:u w:val="single" w:color="auto"/>
                  <w:color w:val="0000EE"/>
                  <w:w w:val="79"/>
                </w:rPr>
                <w:t>6</w:t>
              </w:r>
            </w:hyperlink>
          </w:p>
        </w:tc>
        <w:tc>
          <w:tcPr>
            <w:tcW w:w="100" w:type="dxa"/>
            <w:vAlign w:val="bottom"/>
            <w:shd w:val="clear" w:color="auto" w:fill="CCEEFF"/>
          </w:tcPr>
          <w:p>
            <w:pPr>
              <w:spacing w:after="0"/>
              <w:rPr>
                <w:sz w:val="17"/>
                <w:szCs w:val="17"/>
                <w:color w:val="auto"/>
              </w:rPr>
            </w:pPr>
          </w:p>
        </w:tc>
        <w:tc>
          <w:tcPr>
            <w:tcW w:w="7560" w:type="dxa"/>
            <w:vAlign w:val="bottom"/>
            <w:gridSpan w:val="41"/>
            <w:shd w:val="clear" w:color="auto" w:fill="CCEEFF"/>
          </w:tcPr>
          <w:p>
            <w:pPr>
              <w:ind w:left="40"/>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Mutual Funds</w:t>
              </w:r>
            </w:hyperlink>
          </w:p>
        </w:tc>
        <w:tc>
          <w:tcPr>
            <w:tcW w:w="33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gridSpan w:val="3"/>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200" w:type="dxa"/>
            <w:vAlign w:val="bottom"/>
            <w:tcBorders>
              <w:top w:val="single" w:sz="8" w:color="CCEEFF"/>
            </w:tcBorders>
          </w:tcPr>
          <w:p>
            <w:pPr>
              <w:spacing w:after="0"/>
              <w:rPr>
                <w:sz w:val="18"/>
                <w:szCs w:val="18"/>
                <w:color w:val="auto"/>
              </w:rPr>
            </w:pPr>
          </w:p>
        </w:tc>
        <w:tc>
          <w:tcPr>
            <w:tcW w:w="3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780" w:type="dxa"/>
            <w:vAlign w:val="bottom"/>
            <w:tcBorders>
              <w:bottom w:val="single" w:sz="8" w:color="0000EE"/>
            </w:tcBorders>
            <w:gridSpan w:val="41"/>
            <w:shd w:val="clear" w:color="auto" w:fill="CCEEFF"/>
          </w:tcPr>
          <w:p>
            <w:pPr>
              <w:spacing w:after="0" w:line="176" w:lineRule="exact"/>
              <w:rPr>
                <w:rFonts w:ascii="Arial" w:cs="Arial" w:eastAsia="Arial" w:hAnsi="Arial"/>
                <w:sz w:val="18"/>
                <w:szCs w:val="18"/>
                <w:color w:val="0000EE"/>
                <w:w w:val="94"/>
              </w:rPr>
            </w:pPr>
            <w:hyperlink w:anchor="page22">
              <w:r>
                <w:rPr>
                  <w:rFonts w:ascii="Arial" w:cs="Arial" w:eastAsia="Arial" w:hAnsi="Arial"/>
                  <w:sz w:val="18"/>
                  <w:szCs w:val="18"/>
                  <w:color w:val="0000EE"/>
                  <w:w w:val="94"/>
                </w:rPr>
                <w:t>3.   Portfolio quality and Provisions for loan losses</w:t>
              </w:r>
            </w:hyperlink>
          </w:p>
        </w:tc>
        <w:tc>
          <w:tcPr>
            <w:tcW w:w="4260" w:type="dxa"/>
            <w:vAlign w:val="bottom"/>
            <w:tcBorders>
              <w:bottom w:val="single" w:sz="8" w:color="CCEEFF"/>
            </w:tcBorders>
            <w:gridSpan w:val="4"/>
            <w:shd w:val="clear" w:color="auto" w:fill="CCEEFF"/>
          </w:tcPr>
          <w:p>
            <w:pPr>
              <w:spacing w:after="0"/>
              <w:rPr>
                <w:sz w:val="17"/>
                <w:szCs w:val="17"/>
                <w:color w:val="auto"/>
              </w:rPr>
            </w:pPr>
          </w:p>
        </w:tc>
        <w:tc>
          <w:tcPr>
            <w:tcW w:w="33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0" w:type="dxa"/>
            <w:vAlign w:val="bottom"/>
            <w:gridSpan w:val="3"/>
          </w:tcPr>
          <w:p>
            <w:pPr>
              <w:ind w:left="160"/>
              <w:spacing w:after="0" w:line="176" w:lineRule="exact"/>
              <w:rPr>
                <w:rFonts w:ascii="Arial" w:cs="Arial" w:eastAsia="Arial" w:hAnsi="Arial"/>
                <w:sz w:val="18"/>
                <w:szCs w:val="18"/>
                <w:color w:val="0000EE"/>
                <w:w w:val="79"/>
              </w:rPr>
            </w:pPr>
            <w:hyperlink w:anchor="page23">
              <w:r>
                <w:rPr>
                  <w:rFonts w:ascii="Arial" w:cs="Arial" w:eastAsia="Arial" w:hAnsi="Arial"/>
                  <w:sz w:val="18"/>
                  <w:szCs w:val="18"/>
                  <w:color w:val="0000EE"/>
                  <w:w w:val="79"/>
                </w:rPr>
                <w:t>3.</w:t>
              </w:r>
              <w:r>
                <w:rPr>
                  <w:rFonts w:ascii="Arial" w:cs="Arial" w:eastAsia="Arial" w:hAnsi="Arial"/>
                  <w:sz w:val="18"/>
                  <w:szCs w:val="18"/>
                  <w:u w:val="single" w:color="auto"/>
                  <w:color w:val="0000EE"/>
                  <w:w w:val="79"/>
                </w:rPr>
                <w:t>1</w:t>
              </w:r>
            </w:hyperlink>
          </w:p>
        </w:tc>
        <w:tc>
          <w:tcPr>
            <w:tcW w:w="100" w:type="dxa"/>
            <w:vAlign w:val="bottom"/>
          </w:tcPr>
          <w:p>
            <w:pPr>
              <w:spacing w:after="0"/>
              <w:rPr>
                <w:sz w:val="15"/>
                <w:szCs w:val="15"/>
                <w:color w:val="auto"/>
              </w:rPr>
            </w:pPr>
          </w:p>
        </w:tc>
        <w:tc>
          <w:tcPr>
            <w:tcW w:w="7560" w:type="dxa"/>
            <w:vAlign w:val="bottom"/>
            <w:gridSpan w:val="41"/>
          </w:tcPr>
          <w:p>
            <w:pPr>
              <w:ind w:left="40"/>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Provisions for loan losses</w:t>
              </w:r>
            </w:hyperlink>
          </w:p>
        </w:tc>
        <w:tc>
          <w:tcPr>
            <w:tcW w:w="3360" w:type="dxa"/>
            <w:vAlign w:val="bottom"/>
          </w:tcPr>
          <w:p>
            <w:pPr>
              <w:jc w:val="right"/>
              <w:spacing w:after="0" w:line="176" w:lineRule="exact"/>
              <w:rPr>
                <w:sz w:val="20"/>
                <w:szCs w:val="20"/>
                <w:color w:val="auto"/>
              </w:rPr>
            </w:pPr>
            <w:r>
              <w:rPr>
                <w:rFonts w:ascii="Arial" w:cs="Arial" w:eastAsia="Arial" w:hAnsi="Arial"/>
                <w:sz w:val="18"/>
                <w:szCs w:val="18"/>
                <w:color w:val="auto"/>
              </w:rPr>
              <w:t>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380" w:type="dxa"/>
            <w:vAlign w:val="bottom"/>
            <w:gridSpan w:val="3"/>
            <w:shd w:val="clear" w:color="auto" w:fill="CCEEFF"/>
          </w:tcPr>
          <w:p>
            <w:pPr>
              <w:ind w:left="160"/>
              <w:spacing w:after="0" w:line="176" w:lineRule="exact"/>
              <w:rPr>
                <w:rFonts w:ascii="Arial" w:cs="Arial" w:eastAsia="Arial" w:hAnsi="Arial"/>
                <w:sz w:val="18"/>
                <w:szCs w:val="18"/>
                <w:color w:val="0000EE"/>
                <w:w w:val="79"/>
              </w:rPr>
            </w:pPr>
            <w:hyperlink w:anchor="page23">
              <w:r>
                <w:rPr>
                  <w:rFonts w:ascii="Arial" w:cs="Arial" w:eastAsia="Arial" w:hAnsi="Arial"/>
                  <w:sz w:val="18"/>
                  <w:szCs w:val="18"/>
                  <w:color w:val="0000EE"/>
                  <w:w w:val="79"/>
                </w:rPr>
                <w:t>3.</w:t>
              </w:r>
              <w:r>
                <w:rPr>
                  <w:rFonts w:ascii="Arial" w:cs="Arial" w:eastAsia="Arial" w:hAnsi="Arial"/>
                  <w:sz w:val="18"/>
                  <w:szCs w:val="18"/>
                  <w:u w:val="single" w:color="auto"/>
                  <w:color w:val="0000EE"/>
                  <w:w w:val="79"/>
                </w:rPr>
                <w:t>2</w:t>
              </w:r>
            </w:hyperlink>
          </w:p>
        </w:tc>
        <w:tc>
          <w:tcPr>
            <w:tcW w:w="100" w:type="dxa"/>
            <w:vAlign w:val="bottom"/>
            <w:shd w:val="clear" w:color="auto" w:fill="CCEEFF"/>
          </w:tcPr>
          <w:p>
            <w:pPr>
              <w:spacing w:after="0"/>
              <w:rPr>
                <w:sz w:val="17"/>
                <w:szCs w:val="17"/>
                <w:color w:val="auto"/>
              </w:rPr>
            </w:pPr>
          </w:p>
        </w:tc>
        <w:tc>
          <w:tcPr>
            <w:tcW w:w="7560" w:type="dxa"/>
            <w:vAlign w:val="bottom"/>
            <w:gridSpan w:val="41"/>
            <w:shd w:val="clear" w:color="auto" w:fill="CCEEFF"/>
          </w:tcPr>
          <w:p>
            <w:pPr>
              <w:ind w:left="40"/>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Portfolio Quality</w:t>
              </w:r>
            </w:hyperlink>
          </w:p>
        </w:tc>
        <w:tc>
          <w:tcPr>
            <w:tcW w:w="33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gridSpan w:val="3"/>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200" w:type="dxa"/>
            <w:vAlign w:val="bottom"/>
            <w:tcBorders>
              <w:top w:val="single" w:sz="8" w:color="CCEEFF"/>
            </w:tcBorders>
          </w:tcPr>
          <w:p>
            <w:pPr>
              <w:spacing w:after="0"/>
              <w:rPr>
                <w:sz w:val="18"/>
                <w:szCs w:val="18"/>
                <w:color w:val="auto"/>
              </w:rPr>
            </w:pPr>
          </w:p>
        </w:tc>
        <w:tc>
          <w:tcPr>
            <w:tcW w:w="3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240" w:type="dxa"/>
            <w:vAlign w:val="bottom"/>
            <w:tcBorders>
              <w:bottom w:val="single" w:sz="8" w:color="0000EE"/>
            </w:tcBorders>
            <w:gridSpan w:val="29"/>
            <w:shd w:val="clear" w:color="auto" w:fill="CCEEFF"/>
          </w:tcPr>
          <w:p>
            <w:pPr>
              <w:spacing w:after="0" w:line="176" w:lineRule="exact"/>
              <w:rPr>
                <w:rFonts w:ascii="Arial" w:cs="Arial" w:eastAsia="Arial" w:hAnsi="Arial"/>
                <w:sz w:val="18"/>
                <w:szCs w:val="18"/>
                <w:color w:val="0000EE"/>
                <w:w w:val="97"/>
              </w:rPr>
            </w:pPr>
            <w:hyperlink w:anchor="page30">
              <w:r>
                <w:rPr>
                  <w:rFonts w:ascii="Arial" w:cs="Arial" w:eastAsia="Arial" w:hAnsi="Arial"/>
                  <w:sz w:val="18"/>
                  <w:szCs w:val="18"/>
                  <w:color w:val="0000EE"/>
                  <w:w w:val="97"/>
                </w:rPr>
                <w:t>4.   Net Interest Income (NII)</w:t>
              </w:r>
            </w:hyperlink>
          </w:p>
        </w:tc>
        <w:tc>
          <w:tcPr>
            <w:tcW w:w="5800" w:type="dxa"/>
            <w:vAlign w:val="bottom"/>
            <w:tcBorders>
              <w:bottom w:val="single" w:sz="8" w:color="CCEEFF"/>
            </w:tcBorders>
            <w:gridSpan w:val="16"/>
            <w:shd w:val="clear" w:color="auto" w:fill="CCEEFF"/>
          </w:tcPr>
          <w:p>
            <w:pPr>
              <w:spacing w:after="0"/>
              <w:rPr>
                <w:sz w:val="17"/>
                <w:szCs w:val="17"/>
                <w:color w:val="auto"/>
              </w:rPr>
            </w:pPr>
          </w:p>
        </w:tc>
        <w:tc>
          <w:tcPr>
            <w:tcW w:w="33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0" w:type="dxa"/>
            <w:vAlign w:val="bottom"/>
            <w:gridSpan w:val="3"/>
          </w:tcPr>
          <w:p>
            <w:pPr>
              <w:ind w:left="160"/>
              <w:spacing w:after="0" w:line="176" w:lineRule="exact"/>
              <w:rPr>
                <w:rFonts w:ascii="Arial" w:cs="Arial" w:eastAsia="Arial" w:hAnsi="Arial"/>
                <w:sz w:val="18"/>
                <w:szCs w:val="18"/>
                <w:color w:val="0000EE"/>
                <w:w w:val="79"/>
              </w:rPr>
            </w:pPr>
            <w:hyperlink w:anchor="page30">
              <w:r>
                <w:rPr>
                  <w:rFonts w:ascii="Arial" w:cs="Arial" w:eastAsia="Arial" w:hAnsi="Arial"/>
                  <w:sz w:val="18"/>
                  <w:szCs w:val="18"/>
                  <w:color w:val="0000EE"/>
                  <w:w w:val="79"/>
                </w:rPr>
                <w:t>4.</w:t>
              </w:r>
              <w:r>
                <w:rPr>
                  <w:rFonts w:ascii="Arial" w:cs="Arial" w:eastAsia="Arial" w:hAnsi="Arial"/>
                  <w:sz w:val="18"/>
                  <w:szCs w:val="18"/>
                  <w:u w:val="single" w:color="auto"/>
                  <w:color w:val="0000EE"/>
                  <w:w w:val="79"/>
                </w:rPr>
                <w:t>1</w:t>
              </w:r>
            </w:hyperlink>
          </w:p>
        </w:tc>
        <w:tc>
          <w:tcPr>
            <w:tcW w:w="100" w:type="dxa"/>
            <w:vAlign w:val="bottom"/>
          </w:tcPr>
          <w:p>
            <w:pPr>
              <w:spacing w:after="0"/>
              <w:rPr>
                <w:sz w:val="15"/>
                <w:szCs w:val="15"/>
                <w:color w:val="auto"/>
              </w:rPr>
            </w:pPr>
          </w:p>
        </w:tc>
        <w:tc>
          <w:tcPr>
            <w:tcW w:w="7560" w:type="dxa"/>
            <w:vAlign w:val="bottom"/>
            <w:gridSpan w:val="41"/>
          </w:tcPr>
          <w:p>
            <w:pPr>
              <w:ind w:left="40"/>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Interest Income</w:t>
              </w:r>
            </w:hyperlink>
          </w:p>
        </w:tc>
        <w:tc>
          <w:tcPr>
            <w:tcW w:w="3360" w:type="dxa"/>
            <w:vAlign w:val="bottom"/>
          </w:tcPr>
          <w:p>
            <w:pPr>
              <w:jc w:val="right"/>
              <w:spacing w:after="0" w:line="176" w:lineRule="exact"/>
              <w:rPr>
                <w:sz w:val="20"/>
                <w:szCs w:val="20"/>
                <w:color w:val="auto"/>
              </w:rPr>
            </w:pPr>
            <w:r>
              <w:rPr>
                <w:rFonts w:ascii="Arial" w:cs="Arial" w:eastAsia="Arial" w:hAnsi="Arial"/>
                <w:sz w:val="18"/>
                <w:szCs w:val="18"/>
                <w:color w:val="auto"/>
              </w:rPr>
              <w:t>29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380" w:type="dxa"/>
            <w:vAlign w:val="bottom"/>
            <w:gridSpan w:val="3"/>
            <w:shd w:val="clear" w:color="auto" w:fill="CCEEFF"/>
          </w:tcPr>
          <w:p>
            <w:pPr>
              <w:ind w:left="160"/>
              <w:spacing w:after="0" w:line="176" w:lineRule="exact"/>
              <w:rPr>
                <w:rFonts w:ascii="Arial" w:cs="Arial" w:eastAsia="Arial" w:hAnsi="Arial"/>
                <w:sz w:val="18"/>
                <w:szCs w:val="18"/>
                <w:color w:val="0000EE"/>
                <w:w w:val="79"/>
              </w:rPr>
            </w:pPr>
            <w:hyperlink w:anchor="page31">
              <w:r>
                <w:rPr>
                  <w:rFonts w:ascii="Arial" w:cs="Arial" w:eastAsia="Arial" w:hAnsi="Arial"/>
                  <w:sz w:val="18"/>
                  <w:szCs w:val="18"/>
                  <w:color w:val="0000EE"/>
                  <w:w w:val="79"/>
                </w:rPr>
                <w:t>4.</w:t>
              </w:r>
              <w:r>
                <w:rPr>
                  <w:rFonts w:ascii="Arial" w:cs="Arial" w:eastAsia="Arial" w:hAnsi="Arial"/>
                  <w:sz w:val="18"/>
                  <w:szCs w:val="18"/>
                  <w:u w:val="single" w:color="auto"/>
                  <w:color w:val="0000EE"/>
                  <w:w w:val="79"/>
                </w:rPr>
                <w:t>2</w:t>
              </w:r>
            </w:hyperlink>
          </w:p>
        </w:tc>
        <w:tc>
          <w:tcPr>
            <w:tcW w:w="100" w:type="dxa"/>
            <w:vAlign w:val="bottom"/>
            <w:shd w:val="clear" w:color="auto" w:fill="CCEEFF"/>
          </w:tcPr>
          <w:p>
            <w:pPr>
              <w:spacing w:after="0"/>
              <w:rPr>
                <w:sz w:val="15"/>
                <w:szCs w:val="15"/>
                <w:color w:val="auto"/>
              </w:rPr>
            </w:pPr>
          </w:p>
        </w:tc>
        <w:tc>
          <w:tcPr>
            <w:tcW w:w="7560" w:type="dxa"/>
            <w:vAlign w:val="bottom"/>
            <w:gridSpan w:val="41"/>
            <w:shd w:val="clear" w:color="auto" w:fill="CCEEFF"/>
          </w:tcPr>
          <w:p>
            <w:pPr>
              <w:ind w:left="40"/>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Interest Expenses</w:t>
              </w:r>
            </w:hyperlink>
          </w:p>
        </w:tc>
        <w:tc>
          <w:tcPr>
            <w:tcW w:w="33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0" w:type="dxa"/>
            <w:vAlign w:val="bottom"/>
            <w:tcBorders>
              <w:top w:val="single" w:sz="8" w:color="CCEEFF"/>
            </w:tcBorders>
            <w:shd w:val="clear" w:color="auto" w:fill="CCEEFF"/>
          </w:tcPr>
          <w:p>
            <w:pPr>
              <w:spacing w:after="0" w:line="20" w:lineRule="exact"/>
              <w:rPr>
                <w:sz w:val="1"/>
                <w:szCs w:val="1"/>
                <w:color w:val="auto"/>
              </w:rPr>
            </w:pPr>
          </w:p>
        </w:tc>
        <w:tc>
          <w:tcPr>
            <w:tcW w:w="3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380" w:type="dxa"/>
            <w:vAlign w:val="bottom"/>
            <w:gridSpan w:val="3"/>
          </w:tcPr>
          <w:p>
            <w:pPr>
              <w:ind w:left="160"/>
              <w:spacing w:after="0" w:line="176" w:lineRule="exact"/>
              <w:rPr>
                <w:rFonts w:ascii="Arial" w:cs="Arial" w:eastAsia="Arial" w:hAnsi="Arial"/>
                <w:sz w:val="18"/>
                <w:szCs w:val="18"/>
                <w:color w:val="0000EE"/>
                <w:w w:val="79"/>
              </w:rPr>
            </w:pPr>
            <w:hyperlink w:anchor="page31">
              <w:r>
                <w:rPr>
                  <w:rFonts w:ascii="Arial" w:cs="Arial" w:eastAsia="Arial" w:hAnsi="Arial"/>
                  <w:sz w:val="18"/>
                  <w:szCs w:val="18"/>
                  <w:color w:val="0000EE"/>
                  <w:w w:val="79"/>
                </w:rPr>
                <w:t>4.</w:t>
              </w:r>
              <w:r>
                <w:rPr>
                  <w:rFonts w:ascii="Arial" w:cs="Arial" w:eastAsia="Arial" w:hAnsi="Arial"/>
                  <w:sz w:val="18"/>
                  <w:szCs w:val="18"/>
                  <w:u w:val="single" w:color="auto"/>
                  <w:color w:val="0000EE"/>
                  <w:w w:val="79"/>
                </w:rPr>
                <w:t>3</w:t>
              </w:r>
            </w:hyperlink>
          </w:p>
        </w:tc>
        <w:tc>
          <w:tcPr>
            <w:tcW w:w="100" w:type="dxa"/>
            <w:vAlign w:val="bottom"/>
          </w:tcPr>
          <w:p>
            <w:pPr>
              <w:spacing w:after="0"/>
              <w:rPr>
                <w:sz w:val="15"/>
                <w:szCs w:val="15"/>
                <w:color w:val="auto"/>
              </w:rPr>
            </w:pPr>
          </w:p>
        </w:tc>
        <w:tc>
          <w:tcPr>
            <w:tcW w:w="7560" w:type="dxa"/>
            <w:vAlign w:val="bottom"/>
            <w:gridSpan w:val="41"/>
          </w:tcPr>
          <w:p>
            <w:pPr>
              <w:ind w:left="40"/>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Net Interest Margin (NIM)</w:t>
              </w:r>
            </w:hyperlink>
          </w:p>
        </w:tc>
        <w:tc>
          <w:tcPr>
            <w:tcW w:w="3360" w:type="dxa"/>
            <w:vAlign w:val="bottom"/>
          </w:tcPr>
          <w:p>
            <w:pPr>
              <w:jc w:val="right"/>
              <w:spacing w:after="0" w:line="176" w:lineRule="exact"/>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60" w:type="dxa"/>
            <w:vAlign w:val="bottom"/>
          </w:tcPr>
          <w:p>
            <w:pPr>
              <w:spacing w:after="0" w:line="176" w:lineRule="exact"/>
              <w:rPr>
                <w:rFonts w:ascii="Arial" w:cs="Arial" w:eastAsia="Arial" w:hAnsi="Arial"/>
                <w:sz w:val="18"/>
                <w:szCs w:val="18"/>
                <w:color w:val="0000EE"/>
                <w:w w:val="92"/>
              </w:rPr>
            </w:pPr>
            <w:hyperlink w:anchor="page32">
              <w:r>
                <w:rPr>
                  <w:rFonts w:ascii="Arial" w:cs="Arial" w:eastAsia="Arial" w:hAnsi="Arial"/>
                  <w:sz w:val="18"/>
                  <w:szCs w:val="18"/>
                  <w:color w:val="0000EE"/>
                  <w:w w:val="92"/>
                </w:rPr>
                <w:t>5.</w:t>
              </w:r>
            </w:hyperlink>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60" w:type="dxa"/>
            <w:vAlign w:val="bottom"/>
            <w:gridSpan w:val="42"/>
          </w:tcPr>
          <w:p>
            <w:pPr>
              <w:ind w:left="20"/>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Non-Financial Income</w:t>
              </w:r>
            </w:hyperlink>
          </w:p>
        </w:tc>
        <w:tc>
          <w:tcPr>
            <w:tcW w:w="3360" w:type="dxa"/>
            <w:vAlign w:val="bottom"/>
          </w:tcPr>
          <w:p>
            <w:pPr>
              <w:jc w:val="right"/>
              <w:spacing w:after="0" w:line="176" w:lineRule="exact"/>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60" w:type="dxa"/>
            <w:vAlign w:val="bottom"/>
          </w:tcPr>
          <w:p>
            <w:pPr>
              <w:spacing w:after="0" w:line="176" w:lineRule="exact"/>
              <w:rPr>
                <w:rFonts w:ascii="Arial" w:cs="Arial" w:eastAsia="Arial" w:hAnsi="Arial"/>
                <w:sz w:val="18"/>
                <w:szCs w:val="18"/>
                <w:color w:val="0000EE"/>
                <w:w w:val="92"/>
              </w:rPr>
            </w:pPr>
            <w:hyperlink w:anchor="page34">
              <w:r>
                <w:rPr>
                  <w:rFonts w:ascii="Arial" w:cs="Arial" w:eastAsia="Arial" w:hAnsi="Arial"/>
                  <w:sz w:val="18"/>
                  <w:szCs w:val="18"/>
                  <w:color w:val="0000EE"/>
                  <w:w w:val="92"/>
                </w:rPr>
                <w:t>6.</w:t>
              </w:r>
            </w:hyperlink>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60" w:type="dxa"/>
            <w:vAlign w:val="bottom"/>
            <w:gridSpan w:val="42"/>
          </w:tcPr>
          <w:p>
            <w:pPr>
              <w:ind w:left="20"/>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Insurance underwriting result</w:t>
              </w:r>
            </w:hyperlink>
          </w:p>
        </w:tc>
        <w:tc>
          <w:tcPr>
            <w:tcW w:w="3360" w:type="dxa"/>
            <w:vAlign w:val="bottom"/>
          </w:tcPr>
          <w:p>
            <w:pPr>
              <w:jc w:val="right"/>
              <w:spacing w:after="0" w:line="176" w:lineRule="exact"/>
              <w:rPr>
                <w:sz w:val="20"/>
                <w:szCs w:val="20"/>
                <w:color w:val="auto"/>
              </w:rPr>
            </w:pPr>
            <w:r>
              <w:rPr>
                <w:rFonts w:ascii="Arial" w:cs="Arial" w:eastAsia="Arial" w:hAnsi="Arial"/>
                <w:sz w:val="18"/>
                <w:szCs w:val="18"/>
                <w:color w:val="auto"/>
              </w:rPr>
              <w:t>33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380" w:type="dxa"/>
            <w:vAlign w:val="bottom"/>
            <w:gridSpan w:val="3"/>
            <w:shd w:val="clear" w:color="auto" w:fill="CCEEFF"/>
          </w:tcPr>
          <w:p>
            <w:pPr>
              <w:ind w:left="160"/>
              <w:spacing w:after="0" w:line="176" w:lineRule="exact"/>
              <w:rPr>
                <w:rFonts w:ascii="Arial" w:cs="Arial" w:eastAsia="Arial" w:hAnsi="Arial"/>
                <w:sz w:val="18"/>
                <w:szCs w:val="18"/>
                <w:color w:val="0000EE"/>
                <w:w w:val="79"/>
              </w:rPr>
            </w:pPr>
            <w:hyperlink w:anchor="page35">
              <w:r>
                <w:rPr>
                  <w:rFonts w:ascii="Arial" w:cs="Arial" w:eastAsia="Arial" w:hAnsi="Arial"/>
                  <w:sz w:val="18"/>
                  <w:szCs w:val="18"/>
                  <w:color w:val="0000EE"/>
                  <w:w w:val="79"/>
                </w:rPr>
                <w:t>6.</w:t>
              </w:r>
              <w:r>
                <w:rPr>
                  <w:rFonts w:ascii="Arial" w:cs="Arial" w:eastAsia="Arial" w:hAnsi="Arial"/>
                  <w:sz w:val="18"/>
                  <w:szCs w:val="18"/>
                  <w:u w:val="single" w:color="auto"/>
                  <w:color w:val="0000EE"/>
                  <w:w w:val="79"/>
                </w:rPr>
                <w:t>1</w:t>
              </w:r>
            </w:hyperlink>
          </w:p>
        </w:tc>
        <w:tc>
          <w:tcPr>
            <w:tcW w:w="100" w:type="dxa"/>
            <w:vAlign w:val="bottom"/>
            <w:shd w:val="clear" w:color="auto" w:fill="CCEEFF"/>
          </w:tcPr>
          <w:p>
            <w:pPr>
              <w:spacing w:after="0"/>
              <w:rPr>
                <w:sz w:val="15"/>
                <w:szCs w:val="15"/>
                <w:color w:val="auto"/>
              </w:rPr>
            </w:pPr>
          </w:p>
        </w:tc>
        <w:tc>
          <w:tcPr>
            <w:tcW w:w="7560" w:type="dxa"/>
            <w:vAlign w:val="bottom"/>
            <w:gridSpan w:val="41"/>
            <w:shd w:val="clear" w:color="auto" w:fill="CCEEFF"/>
          </w:tcPr>
          <w:p>
            <w:pPr>
              <w:ind w:left="40"/>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Net earned premiums</w:t>
              </w:r>
            </w:hyperlink>
          </w:p>
        </w:tc>
        <w:tc>
          <w:tcPr>
            <w:tcW w:w="33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0" w:type="dxa"/>
            <w:vAlign w:val="bottom"/>
            <w:tcBorders>
              <w:top w:val="single" w:sz="8" w:color="CCEEFF"/>
            </w:tcBorders>
            <w:shd w:val="clear" w:color="auto" w:fill="CCEEFF"/>
          </w:tcPr>
          <w:p>
            <w:pPr>
              <w:spacing w:after="0" w:line="20" w:lineRule="exact"/>
              <w:rPr>
                <w:sz w:val="1"/>
                <w:szCs w:val="1"/>
                <w:color w:val="auto"/>
              </w:rPr>
            </w:pPr>
          </w:p>
        </w:tc>
        <w:tc>
          <w:tcPr>
            <w:tcW w:w="3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380" w:type="dxa"/>
            <w:vAlign w:val="bottom"/>
            <w:gridSpan w:val="3"/>
          </w:tcPr>
          <w:p>
            <w:pPr>
              <w:ind w:left="160"/>
              <w:spacing w:after="0" w:line="176" w:lineRule="exact"/>
              <w:rPr>
                <w:rFonts w:ascii="Arial" w:cs="Arial" w:eastAsia="Arial" w:hAnsi="Arial"/>
                <w:sz w:val="18"/>
                <w:szCs w:val="18"/>
                <w:color w:val="0000EE"/>
                <w:w w:val="79"/>
              </w:rPr>
            </w:pPr>
            <w:hyperlink w:anchor="page36">
              <w:r>
                <w:rPr>
                  <w:rFonts w:ascii="Arial" w:cs="Arial" w:eastAsia="Arial" w:hAnsi="Arial"/>
                  <w:sz w:val="18"/>
                  <w:szCs w:val="18"/>
                  <w:color w:val="0000EE"/>
                  <w:w w:val="79"/>
                </w:rPr>
                <w:t>6.</w:t>
              </w:r>
              <w:r>
                <w:rPr>
                  <w:rFonts w:ascii="Arial" w:cs="Arial" w:eastAsia="Arial" w:hAnsi="Arial"/>
                  <w:sz w:val="18"/>
                  <w:szCs w:val="18"/>
                  <w:u w:val="single" w:color="auto"/>
                  <w:color w:val="0000EE"/>
                  <w:w w:val="79"/>
                </w:rPr>
                <w:t>2</w:t>
              </w:r>
            </w:hyperlink>
          </w:p>
        </w:tc>
        <w:tc>
          <w:tcPr>
            <w:tcW w:w="100" w:type="dxa"/>
            <w:vAlign w:val="bottom"/>
          </w:tcPr>
          <w:p>
            <w:pPr>
              <w:spacing w:after="0"/>
              <w:rPr>
                <w:sz w:val="15"/>
                <w:szCs w:val="15"/>
                <w:color w:val="auto"/>
              </w:rPr>
            </w:pPr>
          </w:p>
        </w:tc>
        <w:tc>
          <w:tcPr>
            <w:tcW w:w="7560" w:type="dxa"/>
            <w:vAlign w:val="bottom"/>
            <w:gridSpan w:val="41"/>
          </w:tcPr>
          <w:p>
            <w:pPr>
              <w:ind w:left="40"/>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Net claims</w:t>
              </w:r>
            </w:hyperlink>
          </w:p>
        </w:tc>
        <w:tc>
          <w:tcPr>
            <w:tcW w:w="3360" w:type="dxa"/>
            <w:vAlign w:val="bottom"/>
          </w:tcPr>
          <w:p>
            <w:pPr>
              <w:jc w:val="right"/>
              <w:spacing w:after="0" w:line="176" w:lineRule="exact"/>
              <w:rPr>
                <w:sz w:val="20"/>
                <w:szCs w:val="20"/>
                <w:color w:val="auto"/>
              </w:rPr>
            </w:pPr>
            <w:r>
              <w:rPr>
                <w:rFonts w:ascii="Arial" w:cs="Arial" w:eastAsia="Arial" w:hAnsi="Arial"/>
                <w:sz w:val="18"/>
                <w:szCs w:val="18"/>
                <w:color w:val="auto"/>
              </w:rPr>
              <w:t>35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380" w:type="dxa"/>
            <w:vAlign w:val="bottom"/>
            <w:gridSpan w:val="3"/>
            <w:shd w:val="clear" w:color="auto" w:fill="CCEEFF"/>
          </w:tcPr>
          <w:p>
            <w:pPr>
              <w:ind w:left="160"/>
              <w:spacing w:after="0" w:line="176" w:lineRule="exact"/>
              <w:rPr>
                <w:rFonts w:ascii="Arial" w:cs="Arial" w:eastAsia="Arial" w:hAnsi="Arial"/>
                <w:sz w:val="18"/>
                <w:szCs w:val="18"/>
                <w:color w:val="0000EE"/>
                <w:w w:val="79"/>
              </w:rPr>
            </w:pPr>
            <w:hyperlink w:anchor="page36">
              <w:r>
                <w:rPr>
                  <w:rFonts w:ascii="Arial" w:cs="Arial" w:eastAsia="Arial" w:hAnsi="Arial"/>
                  <w:sz w:val="18"/>
                  <w:szCs w:val="18"/>
                  <w:color w:val="0000EE"/>
                  <w:w w:val="79"/>
                </w:rPr>
                <w:t>6.</w:t>
              </w:r>
              <w:r>
                <w:rPr>
                  <w:rFonts w:ascii="Arial" w:cs="Arial" w:eastAsia="Arial" w:hAnsi="Arial"/>
                  <w:sz w:val="18"/>
                  <w:szCs w:val="18"/>
                  <w:u w:val="single" w:color="auto"/>
                  <w:color w:val="0000EE"/>
                  <w:w w:val="79"/>
                </w:rPr>
                <w:t>3</w:t>
              </w:r>
            </w:hyperlink>
          </w:p>
        </w:tc>
        <w:tc>
          <w:tcPr>
            <w:tcW w:w="100" w:type="dxa"/>
            <w:vAlign w:val="bottom"/>
            <w:shd w:val="clear" w:color="auto" w:fill="CCEEFF"/>
          </w:tcPr>
          <w:p>
            <w:pPr>
              <w:spacing w:after="0"/>
              <w:rPr>
                <w:sz w:val="17"/>
                <w:szCs w:val="17"/>
                <w:color w:val="auto"/>
              </w:rPr>
            </w:pPr>
          </w:p>
        </w:tc>
        <w:tc>
          <w:tcPr>
            <w:tcW w:w="7560" w:type="dxa"/>
            <w:vAlign w:val="bottom"/>
            <w:gridSpan w:val="41"/>
            <w:shd w:val="clear" w:color="auto" w:fill="CCEEFF"/>
          </w:tcPr>
          <w:p>
            <w:pPr>
              <w:ind w:left="20"/>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Acquisition cost</w:t>
              </w:r>
            </w:hyperlink>
          </w:p>
        </w:tc>
        <w:tc>
          <w:tcPr>
            <w:tcW w:w="33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gridSpan w:val="3"/>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200" w:type="dxa"/>
            <w:vAlign w:val="bottom"/>
            <w:tcBorders>
              <w:top w:val="single" w:sz="8" w:color="CCEEFF"/>
            </w:tcBorders>
          </w:tcPr>
          <w:p>
            <w:pPr>
              <w:spacing w:after="0"/>
              <w:rPr>
                <w:sz w:val="18"/>
                <w:szCs w:val="18"/>
                <w:color w:val="auto"/>
              </w:rPr>
            </w:pPr>
          </w:p>
        </w:tc>
        <w:tc>
          <w:tcPr>
            <w:tcW w:w="3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040" w:type="dxa"/>
            <w:vAlign w:val="bottom"/>
            <w:gridSpan w:val="45"/>
            <w:shd w:val="clear" w:color="auto" w:fill="CCEEFF"/>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7.   Operating expenses and efficiency</w:t>
              </w:r>
            </w:hyperlink>
          </w:p>
        </w:tc>
        <w:tc>
          <w:tcPr>
            <w:tcW w:w="33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gridSpan w:val="2"/>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200" w:type="dxa"/>
            <w:vAlign w:val="bottom"/>
            <w:tcBorders>
              <w:top w:val="single" w:sz="8" w:color="CCEEFF"/>
            </w:tcBorders>
          </w:tcPr>
          <w:p>
            <w:pPr>
              <w:spacing w:after="0"/>
              <w:rPr>
                <w:sz w:val="18"/>
                <w:szCs w:val="18"/>
                <w:color w:val="auto"/>
              </w:rPr>
            </w:pPr>
          </w:p>
        </w:tc>
        <w:tc>
          <w:tcPr>
            <w:tcW w:w="3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6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92"/>
              </w:rPr>
            </w:pPr>
            <w:hyperlink w:anchor="page39">
              <w:r>
                <w:rPr>
                  <w:rFonts w:ascii="Arial" w:cs="Arial" w:eastAsia="Arial" w:hAnsi="Arial"/>
                  <w:sz w:val="18"/>
                  <w:szCs w:val="18"/>
                  <w:color w:val="0000EE"/>
                  <w:w w:val="92"/>
                </w:rPr>
                <w:t>8.</w:t>
              </w:r>
            </w:hyperlink>
          </w:p>
        </w:tc>
        <w:tc>
          <w:tcPr>
            <w:tcW w:w="160" w:type="dxa"/>
            <w:vAlign w:val="bottom"/>
            <w:tcBorders>
              <w:bottom w:val="single" w:sz="8" w:color="0000EE"/>
            </w:tcBorders>
            <w:shd w:val="clear" w:color="auto" w:fill="CCEEFF"/>
          </w:tcPr>
          <w:p>
            <w:pPr>
              <w:spacing w:after="0"/>
              <w:rPr>
                <w:sz w:val="17"/>
                <w:szCs w:val="17"/>
                <w:color w:val="auto"/>
              </w:rPr>
            </w:pPr>
          </w:p>
        </w:tc>
        <w:tc>
          <w:tcPr>
            <w:tcW w:w="60" w:type="dxa"/>
            <w:vAlign w:val="bottom"/>
            <w:tcBorders>
              <w:bottom w:val="single" w:sz="8" w:color="0000EE"/>
            </w:tcBorders>
            <w:shd w:val="clear" w:color="auto" w:fill="CCEEFF"/>
          </w:tcPr>
          <w:p>
            <w:pPr>
              <w:spacing w:after="0"/>
              <w:rPr>
                <w:sz w:val="17"/>
                <w:szCs w:val="17"/>
                <w:color w:val="auto"/>
              </w:rPr>
            </w:pPr>
          </w:p>
        </w:tc>
        <w:tc>
          <w:tcPr>
            <w:tcW w:w="1380" w:type="dxa"/>
            <w:vAlign w:val="bottom"/>
            <w:tcBorders>
              <w:bottom w:val="single" w:sz="8" w:color="0000EE"/>
            </w:tcBorders>
            <w:gridSpan w:val="16"/>
            <w:shd w:val="clear" w:color="auto" w:fill="CCEEFF"/>
          </w:tcPr>
          <w:p>
            <w:pPr>
              <w:ind w:left="20"/>
              <w:spacing w:after="0" w:line="176" w:lineRule="exact"/>
              <w:rPr>
                <w:rFonts w:ascii="Arial" w:cs="Arial" w:eastAsia="Arial" w:hAnsi="Arial"/>
                <w:sz w:val="18"/>
                <w:szCs w:val="18"/>
                <w:color w:val="0000EE"/>
                <w:w w:val="90"/>
              </w:rPr>
            </w:pPr>
            <w:hyperlink w:anchor="page39">
              <w:r>
                <w:rPr>
                  <w:rFonts w:ascii="Arial" w:cs="Arial" w:eastAsia="Arial" w:hAnsi="Arial"/>
                  <w:sz w:val="18"/>
                  <w:szCs w:val="18"/>
                  <w:color w:val="0000EE"/>
                  <w:w w:val="90"/>
                </w:rPr>
                <w:t>Regulatory Capital</w:t>
              </w:r>
            </w:hyperlink>
          </w:p>
        </w:tc>
        <w:tc>
          <w:tcPr>
            <w:tcW w:w="6280" w:type="dxa"/>
            <w:vAlign w:val="bottom"/>
            <w:tcBorders>
              <w:bottom w:val="single" w:sz="8" w:color="CCEEFF"/>
            </w:tcBorders>
            <w:gridSpan w:val="26"/>
            <w:shd w:val="clear" w:color="auto" w:fill="CCEEFF"/>
          </w:tcPr>
          <w:p>
            <w:pPr>
              <w:spacing w:after="0"/>
              <w:rPr>
                <w:sz w:val="17"/>
                <w:szCs w:val="17"/>
                <w:color w:val="auto"/>
              </w:rPr>
            </w:pPr>
          </w:p>
        </w:tc>
        <w:tc>
          <w:tcPr>
            <w:tcW w:w="33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0" w:type="dxa"/>
            <w:vAlign w:val="bottom"/>
            <w:gridSpan w:val="3"/>
          </w:tcPr>
          <w:p>
            <w:pPr>
              <w:ind w:left="160"/>
              <w:spacing w:after="0" w:line="176" w:lineRule="exact"/>
              <w:rPr>
                <w:rFonts w:ascii="Arial" w:cs="Arial" w:eastAsia="Arial" w:hAnsi="Arial"/>
                <w:sz w:val="18"/>
                <w:szCs w:val="18"/>
                <w:color w:val="0000EE"/>
                <w:w w:val="79"/>
              </w:rPr>
            </w:pPr>
            <w:hyperlink w:anchor="page39">
              <w:r>
                <w:rPr>
                  <w:rFonts w:ascii="Arial" w:cs="Arial" w:eastAsia="Arial" w:hAnsi="Arial"/>
                  <w:sz w:val="18"/>
                  <w:szCs w:val="18"/>
                  <w:color w:val="0000EE"/>
                  <w:w w:val="79"/>
                </w:rPr>
                <w:t>8.</w:t>
              </w:r>
              <w:r>
                <w:rPr>
                  <w:rFonts w:ascii="Arial" w:cs="Arial" w:eastAsia="Arial" w:hAnsi="Arial"/>
                  <w:sz w:val="18"/>
                  <w:szCs w:val="18"/>
                  <w:u w:val="single" w:color="auto"/>
                  <w:color w:val="0000EE"/>
                  <w:w w:val="79"/>
                </w:rPr>
                <w:t>1</w:t>
              </w:r>
            </w:hyperlink>
          </w:p>
        </w:tc>
        <w:tc>
          <w:tcPr>
            <w:tcW w:w="100" w:type="dxa"/>
            <w:vAlign w:val="bottom"/>
          </w:tcPr>
          <w:p>
            <w:pPr>
              <w:spacing w:after="0"/>
              <w:rPr>
                <w:sz w:val="15"/>
                <w:szCs w:val="15"/>
                <w:color w:val="auto"/>
              </w:rPr>
            </w:pPr>
          </w:p>
        </w:tc>
        <w:tc>
          <w:tcPr>
            <w:tcW w:w="7560" w:type="dxa"/>
            <w:vAlign w:val="bottom"/>
            <w:gridSpan w:val="41"/>
          </w:tcPr>
          <w:p>
            <w:pPr>
              <w:ind w:left="40"/>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Regulatory Capital –BAP</w:t>
              </w:r>
            </w:hyperlink>
          </w:p>
        </w:tc>
        <w:tc>
          <w:tcPr>
            <w:tcW w:w="3360" w:type="dxa"/>
            <w:vAlign w:val="bottom"/>
          </w:tcPr>
          <w:p>
            <w:pPr>
              <w:jc w:val="right"/>
              <w:spacing w:after="0" w:line="176" w:lineRule="exact"/>
              <w:rPr>
                <w:sz w:val="20"/>
                <w:szCs w:val="20"/>
                <w:color w:val="auto"/>
              </w:rPr>
            </w:pPr>
            <w:r>
              <w:rPr>
                <w:rFonts w:ascii="Arial" w:cs="Arial" w:eastAsia="Arial" w:hAnsi="Arial"/>
                <w:sz w:val="18"/>
                <w:szCs w:val="18"/>
                <w:color w:val="auto"/>
              </w:rPr>
              <w:t>38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380" w:type="dxa"/>
            <w:vAlign w:val="bottom"/>
            <w:gridSpan w:val="3"/>
            <w:shd w:val="clear" w:color="auto" w:fill="CCEEFF"/>
          </w:tcPr>
          <w:p>
            <w:pPr>
              <w:ind w:left="160"/>
              <w:spacing w:after="0" w:line="176" w:lineRule="exact"/>
              <w:rPr>
                <w:rFonts w:ascii="Arial" w:cs="Arial" w:eastAsia="Arial" w:hAnsi="Arial"/>
                <w:sz w:val="18"/>
                <w:szCs w:val="18"/>
                <w:color w:val="0000EE"/>
                <w:w w:val="79"/>
              </w:rPr>
            </w:pPr>
            <w:hyperlink w:anchor="page40">
              <w:r>
                <w:rPr>
                  <w:rFonts w:ascii="Arial" w:cs="Arial" w:eastAsia="Arial" w:hAnsi="Arial"/>
                  <w:sz w:val="18"/>
                  <w:szCs w:val="18"/>
                  <w:color w:val="0000EE"/>
                  <w:w w:val="79"/>
                </w:rPr>
                <w:t>8.</w:t>
              </w:r>
              <w:r>
                <w:rPr>
                  <w:rFonts w:ascii="Arial" w:cs="Arial" w:eastAsia="Arial" w:hAnsi="Arial"/>
                  <w:sz w:val="18"/>
                  <w:szCs w:val="18"/>
                  <w:u w:val="single" w:color="auto"/>
                  <w:color w:val="0000EE"/>
                  <w:w w:val="79"/>
                </w:rPr>
                <w:t>2</w:t>
              </w:r>
            </w:hyperlink>
          </w:p>
        </w:tc>
        <w:tc>
          <w:tcPr>
            <w:tcW w:w="100" w:type="dxa"/>
            <w:vAlign w:val="bottom"/>
            <w:shd w:val="clear" w:color="auto" w:fill="CCEEFF"/>
          </w:tcPr>
          <w:p>
            <w:pPr>
              <w:spacing w:after="0"/>
              <w:rPr>
                <w:sz w:val="17"/>
                <w:szCs w:val="17"/>
                <w:color w:val="auto"/>
              </w:rPr>
            </w:pPr>
          </w:p>
        </w:tc>
        <w:tc>
          <w:tcPr>
            <w:tcW w:w="7560" w:type="dxa"/>
            <w:vAlign w:val="bottom"/>
            <w:gridSpan w:val="41"/>
            <w:shd w:val="clear" w:color="auto" w:fill="CCEEFF"/>
          </w:tcPr>
          <w:p>
            <w:pPr>
              <w:ind w:left="40"/>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Regulatory Capital –BCP Stand-alone based on Peru GAAP</w:t>
              </w:r>
            </w:hyperlink>
          </w:p>
        </w:tc>
        <w:tc>
          <w:tcPr>
            <w:tcW w:w="33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gridSpan w:val="2"/>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200" w:type="dxa"/>
            <w:vAlign w:val="bottom"/>
            <w:tcBorders>
              <w:top w:val="single" w:sz="8" w:color="CCEEFF"/>
            </w:tcBorders>
          </w:tcPr>
          <w:p>
            <w:pPr>
              <w:spacing w:after="0"/>
              <w:rPr>
                <w:sz w:val="18"/>
                <w:szCs w:val="18"/>
                <w:color w:val="auto"/>
              </w:rPr>
            </w:pPr>
          </w:p>
        </w:tc>
        <w:tc>
          <w:tcPr>
            <w:tcW w:w="3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60" w:type="dxa"/>
            <w:vAlign w:val="bottom"/>
            <w:shd w:val="clear" w:color="auto" w:fill="CCEEFF"/>
          </w:tcPr>
          <w:p>
            <w:pPr>
              <w:spacing w:after="0" w:line="176" w:lineRule="exact"/>
              <w:rPr>
                <w:rFonts w:ascii="Arial" w:cs="Arial" w:eastAsia="Arial" w:hAnsi="Arial"/>
                <w:sz w:val="18"/>
                <w:szCs w:val="18"/>
                <w:color w:val="0000EE"/>
                <w:w w:val="92"/>
              </w:rPr>
            </w:pPr>
            <w:hyperlink w:anchor="page41">
              <w:r>
                <w:rPr>
                  <w:rFonts w:ascii="Arial" w:cs="Arial" w:eastAsia="Arial" w:hAnsi="Arial"/>
                  <w:sz w:val="18"/>
                  <w:szCs w:val="18"/>
                  <w:color w:val="0000EE"/>
                  <w:w w:val="92"/>
                </w:rPr>
                <w:t>9.</w:t>
              </w:r>
            </w:hyperlink>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60" w:type="dxa"/>
            <w:vAlign w:val="bottom"/>
            <w:gridSpan w:val="42"/>
            <w:shd w:val="clear" w:color="auto" w:fill="CCEEFF"/>
          </w:tcPr>
          <w:p>
            <w:pPr>
              <w:ind w:left="20"/>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Distribution channels</w:t>
              </w:r>
            </w:hyperlink>
          </w:p>
        </w:tc>
        <w:tc>
          <w:tcPr>
            <w:tcW w:w="33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gridSpan w:val="2"/>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200" w:type="dxa"/>
            <w:vAlign w:val="bottom"/>
            <w:tcBorders>
              <w:top w:val="single" w:sz="8" w:color="CCEEFF"/>
            </w:tcBorders>
          </w:tcPr>
          <w:p>
            <w:pPr>
              <w:spacing w:after="0"/>
              <w:rPr>
                <w:sz w:val="18"/>
                <w:szCs w:val="18"/>
                <w:color w:val="auto"/>
              </w:rPr>
            </w:pPr>
          </w:p>
        </w:tc>
        <w:tc>
          <w:tcPr>
            <w:tcW w:w="3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20" w:type="dxa"/>
            <w:vAlign w:val="bottom"/>
            <w:gridSpan w:val="2"/>
            <w:shd w:val="clear" w:color="auto" w:fill="CCEEFF"/>
          </w:tcPr>
          <w:p>
            <w:pPr>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10.</w:t>
              </w:r>
            </w:hyperlink>
          </w:p>
        </w:tc>
        <w:tc>
          <w:tcPr>
            <w:tcW w:w="60" w:type="dxa"/>
            <w:vAlign w:val="bottom"/>
            <w:shd w:val="clear" w:color="auto" w:fill="CCEEFF"/>
          </w:tcPr>
          <w:p>
            <w:pPr>
              <w:spacing w:after="0"/>
              <w:rPr>
                <w:sz w:val="17"/>
                <w:szCs w:val="17"/>
                <w:color w:val="auto"/>
              </w:rPr>
            </w:pPr>
          </w:p>
        </w:tc>
        <w:tc>
          <w:tcPr>
            <w:tcW w:w="7660" w:type="dxa"/>
            <w:vAlign w:val="bottom"/>
            <w:gridSpan w:val="42"/>
            <w:shd w:val="clear" w:color="auto" w:fill="CCEEFF"/>
          </w:tcPr>
          <w:p>
            <w:pPr>
              <w:ind w:left="20"/>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Economic outlook</w:t>
              </w:r>
            </w:hyperlink>
          </w:p>
        </w:tc>
        <w:tc>
          <w:tcPr>
            <w:tcW w:w="33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gridSpan w:val="2"/>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200" w:type="dxa"/>
            <w:vAlign w:val="bottom"/>
            <w:tcBorders>
              <w:top w:val="single" w:sz="8" w:color="CCEEFF"/>
            </w:tcBorders>
          </w:tcPr>
          <w:p>
            <w:pPr>
              <w:spacing w:after="0"/>
              <w:rPr>
                <w:sz w:val="18"/>
                <w:szCs w:val="18"/>
                <w:color w:val="auto"/>
              </w:rPr>
            </w:pPr>
          </w:p>
        </w:tc>
        <w:tc>
          <w:tcPr>
            <w:tcW w:w="3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20" w:type="dxa"/>
            <w:vAlign w:val="bottom"/>
            <w:gridSpan w:val="2"/>
            <w:shd w:val="clear" w:color="auto" w:fill="CCEEFF"/>
          </w:tcPr>
          <w:p>
            <w:pPr>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11.</w:t>
              </w:r>
            </w:hyperlink>
          </w:p>
        </w:tc>
        <w:tc>
          <w:tcPr>
            <w:tcW w:w="60" w:type="dxa"/>
            <w:vAlign w:val="bottom"/>
            <w:shd w:val="clear" w:color="auto" w:fill="CCEEFF"/>
          </w:tcPr>
          <w:p>
            <w:pPr>
              <w:spacing w:after="0"/>
              <w:rPr>
                <w:sz w:val="15"/>
                <w:szCs w:val="15"/>
                <w:color w:val="auto"/>
              </w:rPr>
            </w:pPr>
          </w:p>
        </w:tc>
        <w:tc>
          <w:tcPr>
            <w:tcW w:w="7660" w:type="dxa"/>
            <w:vAlign w:val="bottom"/>
            <w:gridSpan w:val="42"/>
            <w:shd w:val="clear" w:color="auto" w:fill="CCEEFF"/>
          </w:tcPr>
          <w:p>
            <w:pPr>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Appendix</w:t>
              </w:r>
            </w:hyperlink>
          </w:p>
        </w:tc>
        <w:tc>
          <w:tcPr>
            <w:tcW w:w="33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0" w:type="dxa"/>
            <w:vAlign w:val="bottom"/>
            <w:tcBorders>
              <w:top w:val="single" w:sz="8" w:color="CCEEFF"/>
            </w:tcBorders>
            <w:shd w:val="clear" w:color="auto" w:fill="CCEEFF"/>
          </w:tcPr>
          <w:p>
            <w:pPr>
              <w:spacing w:after="0" w:line="20" w:lineRule="exact"/>
              <w:rPr>
                <w:sz w:val="1"/>
                <w:szCs w:val="1"/>
                <w:color w:val="auto"/>
              </w:rPr>
            </w:pPr>
          </w:p>
        </w:tc>
        <w:tc>
          <w:tcPr>
            <w:tcW w:w="3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80" w:type="dxa"/>
            <w:vAlign w:val="bottom"/>
            <w:gridSpan w:val="44"/>
          </w:tcPr>
          <w:p>
            <w:pPr>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11.</w:t>
              </w:r>
              <w:r>
                <w:rPr>
                  <w:rFonts w:ascii="Arial" w:cs="Arial" w:eastAsia="Arial" w:hAnsi="Arial"/>
                  <w:sz w:val="18"/>
                  <w:szCs w:val="18"/>
                  <w:u w:val="single" w:color="auto"/>
                  <w:color w:val="0000EE"/>
                </w:rPr>
                <w:t>1</w:t>
              </w:r>
              <w:r>
                <w:rPr>
                  <w:rFonts w:ascii="Arial" w:cs="Arial" w:eastAsia="Arial" w:hAnsi="Arial"/>
                  <w:sz w:val="18"/>
                  <w:szCs w:val="18"/>
                  <w:color w:val="0000EE"/>
                </w:rPr>
                <w:t xml:space="preserve">  BCP Consolidated financial statements</w:t>
              </w:r>
            </w:hyperlink>
          </w:p>
        </w:tc>
        <w:tc>
          <w:tcPr>
            <w:tcW w:w="3360" w:type="dxa"/>
            <w:vAlign w:val="bottom"/>
          </w:tcPr>
          <w:p>
            <w:pPr>
              <w:jc w:val="right"/>
              <w:spacing w:after="0" w:line="176" w:lineRule="exact"/>
              <w:rPr>
                <w:sz w:val="20"/>
                <w:szCs w:val="20"/>
                <w:color w:val="auto"/>
              </w:rPr>
            </w:pPr>
            <w:r>
              <w:rPr>
                <w:rFonts w:ascii="Arial" w:cs="Arial" w:eastAsia="Arial" w:hAnsi="Arial"/>
                <w:sz w:val="18"/>
                <w:szCs w:val="18"/>
                <w:color w:val="auto"/>
              </w:rPr>
              <w:t>48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80" w:type="dxa"/>
            <w:vAlign w:val="bottom"/>
            <w:gridSpan w:val="4"/>
            <w:shd w:val="clear" w:color="auto" w:fill="CCEEFF"/>
          </w:tcPr>
          <w:p>
            <w:pPr>
              <w:ind w:left="160"/>
              <w:spacing w:after="0" w:line="176" w:lineRule="exact"/>
              <w:rPr>
                <w:rFonts w:ascii="Arial" w:cs="Arial" w:eastAsia="Arial" w:hAnsi="Arial"/>
                <w:sz w:val="18"/>
                <w:szCs w:val="18"/>
                <w:color w:val="0000EE"/>
                <w:w w:val="85"/>
              </w:rPr>
            </w:pPr>
            <w:hyperlink w:anchor="page52">
              <w:r>
                <w:rPr>
                  <w:rFonts w:ascii="Arial" w:cs="Arial" w:eastAsia="Arial" w:hAnsi="Arial"/>
                  <w:sz w:val="18"/>
                  <w:szCs w:val="18"/>
                  <w:color w:val="0000EE"/>
                  <w:w w:val="85"/>
                </w:rPr>
                <w:t>11.</w:t>
              </w:r>
              <w:r>
                <w:rPr>
                  <w:rFonts w:ascii="Arial" w:cs="Arial" w:eastAsia="Arial" w:hAnsi="Arial"/>
                  <w:sz w:val="18"/>
                  <w:szCs w:val="18"/>
                  <w:u w:val="single" w:color="auto"/>
                  <w:color w:val="0000EE"/>
                  <w:w w:val="85"/>
                </w:rPr>
                <w:t>2</w:t>
              </w:r>
            </w:hyperlink>
          </w:p>
        </w:tc>
        <w:tc>
          <w:tcPr>
            <w:tcW w:w="7560" w:type="dxa"/>
            <w:vAlign w:val="bottom"/>
            <w:gridSpan w:val="41"/>
            <w:shd w:val="clear" w:color="auto" w:fill="CCEEFF"/>
          </w:tcPr>
          <w:p>
            <w:pPr>
              <w:ind w:left="120"/>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Mibanco</w:t>
              </w:r>
            </w:hyperlink>
          </w:p>
        </w:tc>
        <w:tc>
          <w:tcPr>
            <w:tcW w:w="33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0" w:type="dxa"/>
            <w:vAlign w:val="bottom"/>
            <w:tcBorders>
              <w:top w:val="single" w:sz="8" w:color="CCEEFF"/>
            </w:tcBorders>
            <w:shd w:val="clear" w:color="auto" w:fill="CCEEFF"/>
          </w:tcPr>
          <w:p>
            <w:pPr>
              <w:spacing w:after="0" w:line="20" w:lineRule="exact"/>
              <w:rPr>
                <w:sz w:val="1"/>
                <w:szCs w:val="1"/>
                <w:color w:val="auto"/>
              </w:rPr>
            </w:pPr>
          </w:p>
        </w:tc>
        <w:tc>
          <w:tcPr>
            <w:tcW w:w="3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80" w:type="dxa"/>
            <w:vAlign w:val="bottom"/>
            <w:gridSpan w:val="4"/>
          </w:tcPr>
          <w:p>
            <w:pPr>
              <w:ind w:left="160"/>
              <w:spacing w:after="0" w:line="176" w:lineRule="exact"/>
              <w:rPr>
                <w:rFonts w:ascii="Arial" w:cs="Arial" w:eastAsia="Arial" w:hAnsi="Arial"/>
                <w:sz w:val="18"/>
                <w:szCs w:val="18"/>
                <w:color w:val="0000EE"/>
                <w:w w:val="85"/>
              </w:rPr>
            </w:pPr>
            <w:hyperlink w:anchor="page53">
              <w:r>
                <w:rPr>
                  <w:rFonts w:ascii="Arial" w:cs="Arial" w:eastAsia="Arial" w:hAnsi="Arial"/>
                  <w:sz w:val="18"/>
                  <w:szCs w:val="18"/>
                  <w:color w:val="0000EE"/>
                  <w:w w:val="85"/>
                </w:rPr>
                <w:t>11.</w:t>
              </w:r>
              <w:r>
                <w:rPr>
                  <w:rFonts w:ascii="Arial" w:cs="Arial" w:eastAsia="Arial" w:hAnsi="Arial"/>
                  <w:sz w:val="18"/>
                  <w:szCs w:val="18"/>
                  <w:u w:val="single" w:color="auto"/>
                  <w:color w:val="0000EE"/>
                  <w:w w:val="85"/>
                </w:rPr>
                <w:t>3</w:t>
              </w:r>
            </w:hyperlink>
          </w:p>
        </w:tc>
        <w:tc>
          <w:tcPr>
            <w:tcW w:w="7560" w:type="dxa"/>
            <w:vAlign w:val="bottom"/>
            <w:gridSpan w:val="41"/>
          </w:tcPr>
          <w:p>
            <w:pPr>
              <w:ind w:left="120"/>
              <w:spacing w:after="0" w:line="176" w:lineRule="exact"/>
              <w:rPr>
                <w:rFonts w:ascii="Arial" w:cs="Arial" w:eastAsia="Arial" w:hAnsi="Arial"/>
                <w:sz w:val="18"/>
                <w:szCs w:val="18"/>
                <w:color w:val="0000EE"/>
              </w:rPr>
            </w:pPr>
            <w:hyperlink w:anchor="page53">
              <w:r>
                <w:rPr>
                  <w:rFonts w:ascii="Arial" w:cs="Arial" w:eastAsia="Arial" w:hAnsi="Arial"/>
                  <w:sz w:val="18"/>
                  <w:szCs w:val="18"/>
                  <w:color w:val="0000EE"/>
                </w:rPr>
                <w:t>BCP Bolivia</w:t>
              </w:r>
            </w:hyperlink>
          </w:p>
        </w:tc>
        <w:tc>
          <w:tcPr>
            <w:tcW w:w="3360" w:type="dxa"/>
            <w:vAlign w:val="bottom"/>
          </w:tcPr>
          <w:p>
            <w:pPr>
              <w:jc w:val="right"/>
              <w:spacing w:after="0" w:line="176" w:lineRule="exact"/>
              <w:rPr>
                <w:sz w:val="20"/>
                <w:szCs w:val="20"/>
                <w:color w:val="auto"/>
              </w:rPr>
            </w:pPr>
            <w:r>
              <w:rPr>
                <w:rFonts w:ascii="Arial" w:cs="Arial" w:eastAsia="Arial" w:hAnsi="Arial"/>
                <w:sz w:val="18"/>
                <w:szCs w:val="18"/>
                <w:color w:val="auto"/>
              </w:rPr>
              <w:t>52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80" w:type="dxa"/>
            <w:vAlign w:val="bottom"/>
            <w:gridSpan w:val="4"/>
            <w:shd w:val="clear" w:color="auto" w:fill="CCEEFF"/>
          </w:tcPr>
          <w:p>
            <w:pPr>
              <w:ind w:left="160"/>
              <w:spacing w:after="0" w:line="176" w:lineRule="exact"/>
              <w:rPr>
                <w:rFonts w:ascii="Arial" w:cs="Arial" w:eastAsia="Arial" w:hAnsi="Arial"/>
                <w:sz w:val="18"/>
                <w:szCs w:val="18"/>
                <w:color w:val="0000EE"/>
                <w:w w:val="85"/>
              </w:rPr>
            </w:pPr>
            <w:hyperlink w:anchor="page54">
              <w:r>
                <w:rPr>
                  <w:rFonts w:ascii="Arial" w:cs="Arial" w:eastAsia="Arial" w:hAnsi="Arial"/>
                  <w:sz w:val="18"/>
                  <w:szCs w:val="18"/>
                  <w:color w:val="0000EE"/>
                  <w:w w:val="85"/>
                </w:rPr>
                <w:t>11.</w:t>
              </w:r>
              <w:r>
                <w:rPr>
                  <w:rFonts w:ascii="Arial" w:cs="Arial" w:eastAsia="Arial" w:hAnsi="Arial"/>
                  <w:sz w:val="18"/>
                  <w:szCs w:val="18"/>
                  <w:u w:val="single" w:color="auto"/>
                  <w:color w:val="0000EE"/>
                  <w:w w:val="85"/>
                </w:rPr>
                <w:t>4</w:t>
              </w:r>
            </w:hyperlink>
          </w:p>
        </w:tc>
        <w:tc>
          <w:tcPr>
            <w:tcW w:w="7560" w:type="dxa"/>
            <w:vAlign w:val="bottom"/>
            <w:gridSpan w:val="41"/>
            <w:shd w:val="clear" w:color="auto" w:fill="CCEEFF"/>
          </w:tcPr>
          <w:p>
            <w:pPr>
              <w:ind w:left="120"/>
              <w:spacing w:after="0" w:line="176" w:lineRule="exact"/>
              <w:rPr>
                <w:rFonts w:ascii="Arial" w:cs="Arial" w:eastAsia="Arial" w:hAnsi="Arial"/>
                <w:sz w:val="18"/>
                <w:szCs w:val="18"/>
                <w:color w:val="0000EE"/>
              </w:rPr>
            </w:pPr>
            <w:hyperlink w:anchor="page54">
              <w:r>
                <w:rPr>
                  <w:rFonts w:ascii="Arial" w:cs="Arial" w:eastAsia="Arial" w:hAnsi="Arial"/>
                  <w:sz w:val="18"/>
                  <w:szCs w:val="18"/>
                  <w:color w:val="0000EE"/>
                </w:rPr>
                <w:t>Credicorp Capital</w:t>
              </w:r>
            </w:hyperlink>
          </w:p>
        </w:tc>
        <w:tc>
          <w:tcPr>
            <w:tcW w:w="33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0" w:type="dxa"/>
            <w:vAlign w:val="bottom"/>
            <w:tcBorders>
              <w:top w:val="single" w:sz="8" w:color="CCEEFF"/>
            </w:tcBorders>
            <w:shd w:val="clear" w:color="auto" w:fill="CCEEFF"/>
          </w:tcPr>
          <w:p>
            <w:pPr>
              <w:spacing w:after="0" w:line="20" w:lineRule="exact"/>
              <w:rPr>
                <w:sz w:val="1"/>
                <w:szCs w:val="1"/>
                <w:color w:val="auto"/>
              </w:rPr>
            </w:pPr>
          </w:p>
        </w:tc>
        <w:tc>
          <w:tcPr>
            <w:tcW w:w="3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80" w:type="dxa"/>
            <w:vAlign w:val="bottom"/>
            <w:gridSpan w:val="4"/>
          </w:tcPr>
          <w:p>
            <w:pPr>
              <w:ind w:left="160"/>
              <w:spacing w:after="0" w:line="176" w:lineRule="exact"/>
              <w:rPr>
                <w:rFonts w:ascii="Arial" w:cs="Arial" w:eastAsia="Arial" w:hAnsi="Arial"/>
                <w:sz w:val="18"/>
                <w:szCs w:val="18"/>
                <w:color w:val="0000EE"/>
                <w:w w:val="85"/>
              </w:rPr>
            </w:pPr>
            <w:hyperlink w:anchor="page55">
              <w:r>
                <w:rPr>
                  <w:rFonts w:ascii="Arial" w:cs="Arial" w:eastAsia="Arial" w:hAnsi="Arial"/>
                  <w:sz w:val="18"/>
                  <w:szCs w:val="18"/>
                  <w:color w:val="0000EE"/>
                  <w:w w:val="85"/>
                </w:rPr>
                <w:t>11.</w:t>
              </w:r>
              <w:r>
                <w:rPr>
                  <w:rFonts w:ascii="Arial" w:cs="Arial" w:eastAsia="Arial" w:hAnsi="Arial"/>
                  <w:sz w:val="18"/>
                  <w:szCs w:val="18"/>
                  <w:u w:val="single" w:color="auto"/>
                  <w:color w:val="0000EE"/>
                  <w:w w:val="85"/>
                </w:rPr>
                <w:t>5</w:t>
              </w:r>
            </w:hyperlink>
          </w:p>
        </w:tc>
        <w:tc>
          <w:tcPr>
            <w:tcW w:w="7560" w:type="dxa"/>
            <w:vAlign w:val="bottom"/>
            <w:gridSpan w:val="41"/>
          </w:tcPr>
          <w:p>
            <w:pPr>
              <w:ind w:left="100"/>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Atlantic Security Bank</w:t>
              </w:r>
            </w:hyperlink>
          </w:p>
        </w:tc>
        <w:tc>
          <w:tcPr>
            <w:tcW w:w="3360" w:type="dxa"/>
            <w:vAlign w:val="bottom"/>
          </w:tcPr>
          <w:p>
            <w:pPr>
              <w:jc w:val="right"/>
              <w:spacing w:after="0" w:line="176" w:lineRule="exact"/>
              <w:rPr>
                <w:sz w:val="20"/>
                <w:szCs w:val="20"/>
                <w:color w:val="auto"/>
              </w:rPr>
            </w:pPr>
            <w:r>
              <w:rPr>
                <w:rFonts w:ascii="Arial" w:cs="Arial" w:eastAsia="Arial" w:hAnsi="Arial"/>
                <w:sz w:val="18"/>
                <w:szCs w:val="18"/>
                <w:color w:val="auto"/>
              </w:rPr>
              <w:t>54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80" w:type="dxa"/>
            <w:vAlign w:val="bottom"/>
            <w:gridSpan w:val="4"/>
            <w:shd w:val="clear" w:color="auto" w:fill="CCEEFF"/>
          </w:tcPr>
          <w:p>
            <w:pPr>
              <w:ind w:left="160"/>
              <w:spacing w:after="0" w:line="176" w:lineRule="exact"/>
              <w:rPr>
                <w:rFonts w:ascii="Arial" w:cs="Arial" w:eastAsia="Arial" w:hAnsi="Arial"/>
                <w:sz w:val="18"/>
                <w:szCs w:val="18"/>
                <w:color w:val="0000EE"/>
                <w:w w:val="85"/>
              </w:rPr>
            </w:pPr>
            <w:hyperlink w:anchor="page57">
              <w:r>
                <w:rPr>
                  <w:rFonts w:ascii="Arial" w:cs="Arial" w:eastAsia="Arial" w:hAnsi="Arial"/>
                  <w:sz w:val="18"/>
                  <w:szCs w:val="18"/>
                  <w:color w:val="0000EE"/>
                  <w:w w:val="85"/>
                </w:rPr>
                <w:t>11.</w:t>
              </w:r>
              <w:r>
                <w:rPr>
                  <w:rFonts w:ascii="Arial" w:cs="Arial" w:eastAsia="Arial" w:hAnsi="Arial"/>
                  <w:sz w:val="18"/>
                  <w:szCs w:val="18"/>
                  <w:u w:val="single" w:color="auto"/>
                  <w:color w:val="0000EE"/>
                  <w:w w:val="85"/>
                </w:rPr>
                <w:t>6</w:t>
              </w:r>
            </w:hyperlink>
          </w:p>
        </w:tc>
        <w:tc>
          <w:tcPr>
            <w:tcW w:w="7560" w:type="dxa"/>
            <w:vAlign w:val="bottom"/>
            <w:gridSpan w:val="41"/>
            <w:shd w:val="clear" w:color="auto" w:fill="CCEEFF"/>
          </w:tcPr>
          <w:p>
            <w:pPr>
              <w:ind w:left="120"/>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Grupo Pacifico</w:t>
              </w:r>
            </w:hyperlink>
          </w:p>
        </w:tc>
        <w:tc>
          <w:tcPr>
            <w:tcW w:w="33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0" w:type="dxa"/>
            <w:vAlign w:val="bottom"/>
            <w:tcBorders>
              <w:top w:val="single" w:sz="8" w:color="CCEEFF"/>
            </w:tcBorders>
            <w:shd w:val="clear" w:color="auto" w:fill="CCEEFF"/>
          </w:tcPr>
          <w:p>
            <w:pPr>
              <w:spacing w:after="0" w:line="20" w:lineRule="exact"/>
              <w:rPr>
                <w:sz w:val="1"/>
                <w:szCs w:val="1"/>
                <w:color w:val="auto"/>
              </w:rPr>
            </w:pPr>
          </w:p>
        </w:tc>
        <w:tc>
          <w:tcPr>
            <w:tcW w:w="3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80" w:type="dxa"/>
            <w:vAlign w:val="bottom"/>
            <w:gridSpan w:val="4"/>
          </w:tcPr>
          <w:p>
            <w:pPr>
              <w:ind w:left="160"/>
              <w:spacing w:after="0" w:line="176" w:lineRule="exact"/>
              <w:rPr>
                <w:rFonts w:ascii="Arial" w:cs="Arial" w:eastAsia="Arial" w:hAnsi="Arial"/>
                <w:sz w:val="18"/>
                <w:szCs w:val="18"/>
                <w:color w:val="0000EE"/>
                <w:w w:val="85"/>
              </w:rPr>
            </w:pPr>
            <w:hyperlink w:anchor="page59">
              <w:r>
                <w:rPr>
                  <w:rFonts w:ascii="Arial" w:cs="Arial" w:eastAsia="Arial" w:hAnsi="Arial"/>
                  <w:sz w:val="18"/>
                  <w:szCs w:val="18"/>
                  <w:color w:val="0000EE"/>
                  <w:w w:val="85"/>
                </w:rPr>
                <w:t>11.</w:t>
              </w:r>
              <w:r>
                <w:rPr>
                  <w:rFonts w:ascii="Arial" w:cs="Arial" w:eastAsia="Arial" w:hAnsi="Arial"/>
                  <w:sz w:val="18"/>
                  <w:szCs w:val="18"/>
                  <w:u w:val="single" w:color="auto"/>
                  <w:color w:val="0000EE"/>
                  <w:w w:val="85"/>
                </w:rPr>
                <w:t>7</w:t>
              </w:r>
            </w:hyperlink>
          </w:p>
        </w:tc>
        <w:tc>
          <w:tcPr>
            <w:tcW w:w="7560" w:type="dxa"/>
            <w:vAlign w:val="bottom"/>
            <w:gridSpan w:val="41"/>
          </w:tcPr>
          <w:p>
            <w:pPr>
              <w:ind w:left="120"/>
              <w:spacing w:after="0" w:line="176" w:lineRule="exact"/>
              <w:rPr>
                <w:rFonts w:ascii="Arial" w:cs="Arial" w:eastAsia="Arial" w:hAnsi="Arial"/>
                <w:sz w:val="18"/>
                <w:szCs w:val="18"/>
                <w:color w:val="0000EE"/>
              </w:rPr>
            </w:pPr>
            <w:hyperlink w:anchor="page59">
              <w:r>
                <w:rPr>
                  <w:rFonts w:ascii="Arial" w:cs="Arial" w:eastAsia="Arial" w:hAnsi="Arial"/>
                  <w:sz w:val="18"/>
                  <w:szCs w:val="18"/>
                  <w:color w:val="0000EE"/>
                </w:rPr>
                <w:t>Prima AFP</w:t>
              </w:r>
            </w:hyperlink>
          </w:p>
        </w:tc>
        <w:tc>
          <w:tcPr>
            <w:tcW w:w="3360" w:type="dxa"/>
            <w:vAlign w:val="bottom"/>
          </w:tcPr>
          <w:p>
            <w:pPr>
              <w:jc w:val="right"/>
              <w:spacing w:after="0" w:line="176" w:lineRule="exact"/>
              <w:rPr>
                <w:sz w:val="20"/>
                <w:szCs w:val="20"/>
                <w:color w:val="auto"/>
              </w:rPr>
            </w:pPr>
            <w:r>
              <w:rPr>
                <w:rFonts w:ascii="Arial" w:cs="Arial" w:eastAsia="Arial" w:hAnsi="Arial"/>
                <w:sz w:val="18"/>
                <w:szCs w:val="18"/>
                <w:color w:val="auto"/>
              </w:rPr>
              <w:t>58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80" w:type="dxa"/>
            <w:vAlign w:val="bottom"/>
            <w:gridSpan w:val="4"/>
            <w:shd w:val="clear" w:color="auto" w:fill="CCEEFF"/>
          </w:tcPr>
          <w:p>
            <w:pPr>
              <w:ind w:left="160"/>
              <w:spacing w:after="0" w:line="176" w:lineRule="exact"/>
              <w:rPr>
                <w:rFonts w:ascii="Arial" w:cs="Arial" w:eastAsia="Arial" w:hAnsi="Arial"/>
                <w:sz w:val="18"/>
                <w:szCs w:val="18"/>
                <w:color w:val="0000EE"/>
                <w:w w:val="85"/>
              </w:rPr>
            </w:pPr>
            <w:hyperlink w:anchor="page60">
              <w:r>
                <w:rPr>
                  <w:rFonts w:ascii="Arial" w:cs="Arial" w:eastAsia="Arial" w:hAnsi="Arial"/>
                  <w:sz w:val="18"/>
                  <w:szCs w:val="18"/>
                  <w:color w:val="0000EE"/>
                  <w:w w:val="85"/>
                </w:rPr>
                <w:t>11.</w:t>
              </w:r>
              <w:r>
                <w:rPr>
                  <w:rFonts w:ascii="Arial" w:cs="Arial" w:eastAsia="Arial" w:hAnsi="Arial"/>
                  <w:sz w:val="18"/>
                  <w:szCs w:val="18"/>
                  <w:u w:val="single" w:color="auto"/>
                  <w:color w:val="0000EE"/>
                  <w:w w:val="85"/>
                </w:rPr>
                <w:t>8</w:t>
              </w:r>
            </w:hyperlink>
          </w:p>
        </w:tc>
        <w:tc>
          <w:tcPr>
            <w:tcW w:w="7560" w:type="dxa"/>
            <w:vAlign w:val="bottom"/>
            <w:gridSpan w:val="41"/>
            <w:shd w:val="clear" w:color="auto" w:fill="CCEEFF"/>
          </w:tcPr>
          <w:p>
            <w:pPr>
              <w:ind w:left="120"/>
              <w:spacing w:after="0" w:line="176" w:lineRule="exact"/>
              <w:rPr>
                <w:rFonts w:ascii="Arial" w:cs="Arial" w:eastAsia="Arial" w:hAnsi="Arial"/>
                <w:sz w:val="18"/>
                <w:szCs w:val="18"/>
                <w:color w:val="0000EE"/>
              </w:rPr>
            </w:pPr>
            <w:hyperlink w:anchor="page60">
              <w:r>
                <w:rPr>
                  <w:rFonts w:ascii="Arial" w:cs="Arial" w:eastAsia="Arial" w:hAnsi="Arial"/>
                  <w:sz w:val="18"/>
                  <w:szCs w:val="18"/>
                  <w:color w:val="0000EE"/>
                </w:rPr>
                <w:t>EEFF Credicorp</w:t>
              </w:r>
            </w:hyperlink>
          </w:p>
        </w:tc>
        <w:tc>
          <w:tcPr>
            <w:tcW w:w="33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0" w:type="dxa"/>
            <w:vAlign w:val="bottom"/>
            <w:tcBorders>
              <w:top w:val="single" w:sz="8" w:color="CCEEFF"/>
            </w:tcBorders>
            <w:shd w:val="clear" w:color="auto" w:fill="CCEEFF"/>
          </w:tcPr>
          <w:p>
            <w:pPr>
              <w:spacing w:after="0" w:line="20" w:lineRule="exact"/>
              <w:rPr>
                <w:sz w:val="1"/>
                <w:szCs w:val="1"/>
                <w:color w:val="auto"/>
              </w:rPr>
            </w:pPr>
          </w:p>
        </w:tc>
        <w:tc>
          <w:tcPr>
            <w:tcW w:w="3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80" w:type="dxa"/>
            <w:vAlign w:val="bottom"/>
            <w:gridSpan w:val="4"/>
          </w:tcPr>
          <w:p>
            <w:pPr>
              <w:ind w:left="160"/>
              <w:spacing w:after="0" w:line="176" w:lineRule="exact"/>
              <w:rPr>
                <w:rFonts w:ascii="Arial" w:cs="Arial" w:eastAsia="Arial" w:hAnsi="Arial"/>
                <w:sz w:val="18"/>
                <w:szCs w:val="18"/>
                <w:color w:val="0000EE"/>
                <w:w w:val="85"/>
              </w:rPr>
            </w:pPr>
            <w:hyperlink w:anchor="page62">
              <w:r>
                <w:rPr>
                  <w:rFonts w:ascii="Arial" w:cs="Arial" w:eastAsia="Arial" w:hAnsi="Arial"/>
                  <w:sz w:val="18"/>
                  <w:szCs w:val="18"/>
                  <w:color w:val="0000EE"/>
                  <w:w w:val="85"/>
                </w:rPr>
                <w:t>11.</w:t>
              </w:r>
              <w:r>
                <w:rPr>
                  <w:rFonts w:ascii="Arial" w:cs="Arial" w:eastAsia="Arial" w:hAnsi="Arial"/>
                  <w:sz w:val="18"/>
                  <w:szCs w:val="18"/>
                  <w:u w:val="single" w:color="auto"/>
                  <w:color w:val="0000EE"/>
                  <w:w w:val="85"/>
                </w:rPr>
                <w:t>9</w:t>
              </w:r>
            </w:hyperlink>
          </w:p>
        </w:tc>
        <w:tc>
          <w:tcPr>
            <w:tcW w:w="7560" w:type="dxa"/>
            <w:vAlign w:val="bottom"/>
            <w:gridSpan w:val="41"/>
          </w:tcPr>
          <w:p>
            <w:pPr>
              <w:ind w:left="120"/>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Table of calculations</w:t>
              </w:r>
            </w:hyperlink>
          </w:p>
        </w:tc>
        <w:tc>
          <w:tcPr>
            <w:tcW w:w="3360" w:type="dxa"/>
            <w:vAlign w:val="bottom"/>
          </w:tcPr>
          <w:p>
            <w:pPr>
              <w:jc w:val="right"/>
              <w:spacing w:after="0" w:line="176" w:lineRule="exact"/>
              <w:rPr>
                <w:sz w:val="20"/>
                <w:szCs w:val="20"/>
                <w:color w:val="auto"/>
              </w:rPr>
            </w:pPr>
            <w:r>
              <w:rPr>
                <w:rFonts w:ascii="Arial" w:cs="Arial" w:eastAsia="Arial" w:hAnsi="Arial"/>
                <w:sz w:val="18"/>
                <w:szCs w:val="18"/>
                <w:color w:val="auto"/>
              </w:rPr>
              <w:t>61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6"/>
        </w:trPr>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60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2"/>
                <w:szCs w:val="22"/>
                <w:color w:val="auto"/>
              </w:rPr>
              <w:t>2</w:t>
            </w: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Credicorp (NYSE: BAP): Second Quarter Results 2015</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00" w:type="dxa"/>
            <w:vAlign w:val="bottom"/>
            <w:gridSpan w:val="3"/>
          </w:tcPr>
          <w:p>
            <w:pPr>
              <w:spacing w:after="0"/>
              <w:rPr>
                <w:sz w:val="20"/>
                <w:szCs w:val="20"/>
                <w:color w:val="auto"/>
              </w:rPr>
            </w:pPr>
            <w:r>
              <w:rPr>
                <w:rFonts w:ascii="Arial" w:cs="Arial" w:eastAsia="Arial" w:hAnsi="Arial"/>
                <w:sz w:val="14"/>
                <w:szCs w:val="14"/>
                <w:b w:val="1"/>
                <w:bCs w:val="1"/>
                <w:color w:val="auto"/>
              </w:rPr>
              <w:t>Credicorp Ltd.</w:t>
            </w: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Quarter</w:t>
            </w: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3"/>
          </w:tcPr>
          <w:p>
            <w:pPr>
              <w:ind w:left="580"/>
              <w:spacing w:after="0"/>
              <w:rPr>
                <w:sz w:val="20"/>
                <w:szCs w:val="20"/>
                <w:color w:val="auto"/>
              </w:rPr>
            </w:pPr>
            <w:r>
              <w:rPr>
                <w:rFonts w:ascii="Arial" w:cs="Arial" w:eastAsia="Arial" w:hAnsi="Arial"/>
                <w:sz w:val="14"/>
                <w:szCs w:val="14"/>
                <w:b w:val="1"/>
                <w:bCs w:val="1"/>
                <w:color w:val="auto"/>
                <w:w w:val="97"/>
              </w:rPr>
              <w:t>% change</w:t>
            </w: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2500" w:type="dxa"/>
            <w:vAlign w:val="bottom"/>
            <w:gridSpan w:val="3"/>
          </w:tcPr>
          <w:p>
            <w:pPr>
              <w:spacing w:after="0"/>
              <w:rPr>
                <w:sz w:val="20"/>
                <w:szCs w:val="20"/>
                <w:color w:val="auto"/>
              </w:rPr>
            </w:pPr>
            <w:r>
              <w:rPr>
                <w:rFonts w:ascii="Arial" w:cs="Arial" w:eastAsia="Arial" w:hAnsi="Arial"/>
                <w:sz w:val="14"/>
                <w:szCs w:val="14"/>
                <w:color w:val="auto"/>
              </w:rPr>
              <w:t>S/. 000</w:t>
            </w:r>
          </w:p>
        </w:tc>
        <w:tc>
          <w:tcPr>
            <w:tcW w:w="10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2Q14</w:t>
            </w:r>
          </w:p>
        </w:tc>
        <w:tc>
          <w:tcPr>
            <w:tcW w:w="10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1Q15</w:t>
            </w:r>
          </w:p>
        </w:tc>
        <w:tc>
          <w:tcPr>
            <w:tcW w:w="11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2Q15</w:t>
            </w:r>
          </w:p>
        </w:tc>
        <w:tc>
          <w:tcPr>
            <w:tcW w:w="1240" w:type="dxa"/>
            <w:vAlign w:val="bottom"/>
            <w:gridSpan w:val="3"/>
          </w:tcPr>
          <w:p>
            <w:pPr>
              <w:ind w:left="220"/>
              <w:spacing w:after="0"/>
              <w:rPr>
                <w:sz w:val="20"/>
                <w:szCs w:val="20"/>
                <w:color w:val="auto"/>
              </w:rPr>
            </w:pPr>
            <w:r>
              <w:rPr>
                <w:rFonts w:ascii="Arial" w:cs="Arial" w:eastAsia="Arial" w:hAnsi="Arial"/>
                <w:sz w:val="14"/>
                <w:szCs w:val="14"/>
                <w:b w:val="1"/>
                <w:bCs w:val="1"/>
                <w:color w:val="auto"/>
              </w:rPr>
              <w:t>QoQ</w:t>
            </w:r>
          </w:p>
        </w:tc>
        <w:tc>
          <w:tcPr>
            <w:tcW w:w="8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YoY</w:t>
            </w:r>
          </w:p>
        </w:tc>
        <w:tc>
          <w:tcPr>
            <w:tcW w:w="11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1H14</w:t>
            </w:r>
          </w:p>
        </w:tc>
        <w:tc>
          <w:tcPr>
            <w:tcW w:w="11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1H15</w:t>
            </w:r>
          </w:p>
        </w:tc>
        <w:tc>
          <w:tcPr>
            <w:tcW w:w="13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1H15 / 1H14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3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interest income</w:t>
            </w:r>
          </w:p>
        </w:tc>
        <w:tc>
          <w:tcPr>
            <w:tcW w:w="120" w:type="dxa"/>
            <w:vAlign w:val="bottom"/>
            <w:vMerge w:val="continue"/>
            <w:shd w:val="clear" w:color="auto" w:fill="CCEEFF"/>
          </w:tcPr>
          <w:p>
            <w:pPr>
              <w:spacing w:after="0"/>
              <w:rPr>
                <w:sz w:val="12"/>
                <w:szCs w:val="12"/>
                <w:color w:val="auto"/>
              </w:rPr>
            </w:pP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1,610,499</w:t>
            </w: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1,785,363</w:t>
            </w: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1,837,200</w:t>
            </w:r>
          </w:p>
        </w:tc>
        <w:tc>
          <w:tcPr>
            <w:tcW w:w="260" w:type="dxa"/>
            <w:vAlign w:val="bottom"/>
            <w:vMerge w:val="continue"/>
            <w:shd w:val="clear" w:color="auto" w:fill="CCEEFF"/>
          </w:tcPr>
          <w:p>
            <w:pPr>
              <w:spacing w:after="0"/>
              <w:rPr>
                <w:sz w:val="12"/>
                <w:szCs w:val="12"/>
                <w:color w:val="auto"/>
              </w:rPr>
            </w:pPr>
          </w:p>
        </w:tc>
        <w:tc>
          <w:tcPr>
            <w:tcW w:w="104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2.9%</w:t>
            </w: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14.1%</w:t>
            </w:r>
          </w:p>
        </w:tc>
        <w:tc>
          <w:tcPr>
            <w:tcW w:w="8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3,012,223</w:t>
            </w: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3,622,562</w:t>
            </w:r>
          </w:p>
        </w:tc>
        <w:tc>
          <w:tcPr>
            <w:tcW w:w="26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20.3%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2"/>
          </w:tcPr>
          <w:p>
            <w:pPr>
              <w:spacing w:after="0" w:line="149" w:lineRule="exact"/>
              <w:rPr>
                <w:sz w:val="20"/>
                <w:szCs w:val="20"/>
                <w:color w:val="auto"/>
              </w:rPr>
            </w:pPr>
            <w:r>
              <w:rPr>
                <w:rFonts w:ascii="Arial" w:cs="Arial" w:eastAsia="Arial" w:hAnsi="Arial"/>
                <w:sz w:val="14"/>
                <w:szCs w:val="14"/>
                <w:color w:val="auto"/>
              </w:rPr>
              <w:t>Net provisions for loan losses</w:t>
            </w:r>
          </w:p>
        </w:tc>
        <w:tc>
          <w:tcPr>
            <w:tcW w:w="10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(480,731)</w:t>
            </w:r>
          </w:p>
        </w:tc>
        <w:tc>
          <w:tcPr>
            <w:tcW w:w="10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(502,136)</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(431,763)</w:t>
            </w:r>
          </w:p>
        </w:tc>
        <w:tc>
          <w:tcPr>
            <w:tcW w:w="10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-14.0%</w:t>
            </w:r>
          </w:p>
        </w:tc>
        <w:tc>
          <w:tcPr>
            <w:tcW w:w="20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-10.2%</w:t>
            </w: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(845,332)</w:t>
            </w:r>
          </w:p>
        </w:tc>
        <w:tc>
          <w:tcPr>
            <w:tcW w:w="11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(933,899)</w:t>
            </w:r>
          </w:p>
        </w:tc>
        <w:tc>
          <w:tcPr>
            <w:tcW w:w="13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80" w:type="dxa"/>
            <w:vAlign w:val="bottom"/>
            <w:gridSpan w:val="2"/>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Net interest income after net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1,129,768</w:t>
            </w:r>
          </w:p>
        </w:tc>
        <w:tc>
          <w:tcPr>
            <w:tcW w:w="24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1,283,227</w:t>
            </w:r>
          </w:p>
        </w:tc>
        <w:tc>
          <w:tcPr>
            <w:tcW w:w="240" w:type="dxa"/>
            <w:vAlign w:val="bottom"/>
            <w:shd w:val="clear" w:color="auto" w:fill="CCEEFF"/>
          </w:tcPr>
          <w:p>
            <w:pPr>
              <w:spacing w:after="0"/>
              <w:rPr>
                <w:sz w:val="10"/>
                <w:szCs w:val="10"/>
                <w:color w:val="auto"/>
              </w:rPr>
            </w:pPr>
          </w:p>
        </w:tc>
        <w:tc>
          <w:tcPr>
            <w:tcW w:w="11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1,405,437</w:t>
            </w: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9.5%</w:t>
            </w:r>
          </w:p>
        </w:tc>
        <w:tc>
          <w:tcPr>
            <w:tcW w:w="20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24.4%</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2,166,892</w:t>
            </w:r>
          </w:p>
        </w:tc>
        <w:tc>
          <w:tcPr>
            <w:tcW w:w="24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2,688,663</w:t>
            </w:r>
          </w:p>
        </w:tc>
        <w:tc>
          <w:tcPr>
            <w:tcW w:w="260" w:type="dxa"/>
            <w:vAlign w:val="bottom"/>
            <w:shd w:val="clear" w:color="auto" w:fill="CCEEFF"/>
          </w:tcPr>
          <w:p>
            <w:pPr>
              <w:spacing w:after="0"/>
              <w:rPr>
                <w:sz w:val="10"/>
                <w:szCs w:val="10"/>
                <w:color w:val="auto"/>
              </w:rPr>
            </w:pPr>
          </w:p>
        </w:tc>
        <w:tc>
          <w:tcPr>
            <w:tcW w:w="13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24.1%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provisions for loan losses</w:t>
            </w:r>
          </w:p>
        </w:tc>
        <w:tc>
          <w:tcPr>
            <w:tcW w:w="84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Non financial income</w:t>
            </w:r>
          </w:p>
        </w:tc>
        <w:tc>
          <w:tcPr>
            <w:tcW w:w="10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873,631</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1,104,682</w:t>
            </w:r>
          </w:p>
        </w:tc>
        <w:tc>
          <w:tcPr>
            <w:tcW w:w="2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955,334</w:t>
            </w:r>
          </w:p>
        </w:tc>
        <w:tc>
          <w:tcPr>
            <w:tcW w:w="10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-13.5%</w:t>
            </w: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9.4%</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1,758,002</w:t>
            </w: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2,060,015</w:t>
            </w:r>
          </w:p>
        </w:tc>
        <w:tc>
          <w:tcPr>
            <w:tcW w:w="26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2"/>
          </w:tcPr>
          <w:p>
            <w:pPr>
              <w:spacing w:after="0" w:line="149" w:lineRule="exact"/>
              <w:rPr>
                <w:sz w:val="20"/>
                <w:szCs w:val="20"/>
                <w:color w:val="auto"/>
              </w:rPr>
            </w:pPr>
            <w:r>
              <w:rPr>
                <w:rFonts w:ascii="Arial" w:cs="Arial" w:eastAsia="Arial" w:hAnsi="Arial"/>
                <w:sz w:val="14"/>
                <w:szCs w:val="14"/>
                <w:color w:val="auto"/>
              </w:rPr>
              <w:t>Insurance services underwriting result</w:t>
            </w:r>
          </w:p>
        </w:tc>
        <w:tc>
          <w:tcPr>
            <w:tcW w:w="10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104,165</w:t>
            </w:r>
          </w:p>
        </w:tc>
        <w:tc>
          <w:tcPr>
            <w:tcW w:w="10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48,997</w:t>
            </w:r>
          </w:p>
        </w:tc>
        <w:tc>
          <w:tcPr>
            <w:tcW w:w="11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54,743</w:t>
            </w:r>
          </w:p>
        </w:tc>
        <w:tc>
          <w:tcPr>
            <w:tcW w:w="10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11.7%</w:t>
            </w:r>
          </w:p>
        </w:tc>
        <w:tc>
          <w:tcPr>
            <w:tcW w:w="20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-47.4%</w:t>
            </w:r>
          </w:p>
        </w:tc>
        <w:tc>
          <w:tcPr>
            <w:tcW w:w="11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201,267</w:t>
            </w:r>
          </w:p>
        </w:tc>
        <w:tc>
          <w:tcPr>
            <w:tcW w:w="11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103,741</w:t>
            </w:r>
          </w:p>
        </w:tc>
        <w:tc>
          <w:tcPr>
            <w:tcW w:w="13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Medical services gross margin</w:t>
            </w:r>
          </w:p>
        </w:tc>
        <w:tc>
          <w:tcPr>
            <w:tcW w:w="10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25,242</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45,952</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2"/>
          </w:tcPr>
          <w:p>
            <w:pPr>
              <w:spacing w:after="0" w:line="149" w:lineRule="exact"/>
              <w:rPr>
                <w:sz w:val="20"/>
                <w:szCs w:val="20"/>
                <w:color w:val="auto"/>
              </w:rPr>
            </w:pPr>
            <w:r>
              <w:rPr>
                <w:rFonts w:ascii="Arial" w:cs="Arial" w:eastAsia="Arial" w:hAnsi="Arial"/>
                <w:sz w:val="14"/>
                <w:szCs w:val="14"/>
                <w:color w:val="auto"/>
              </w:rPr>
              <w:t>Operating expenses</w:t>
            </w:r>
          </w:p>
        </w:tc>
        <w:tc>
          <w:tcPr>
            <w:tcW w:w="10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(1,328,766)</w:t>
            </w:r>
          </w:p>
        </w:tc>
        <w:tc>
          <w:tcPr>
            <w:tcW w:w="10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(1,295,870)</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(1,366,178)</w:t>
            </w:r>
          </w:p>
        </w:tc>
        <w:tc>
          <w:tcPr>
            <w:tcW w:w="10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5.4%</w:t>
            </w:r>
          </w:p>
        </w:tc>
        <w:tc>
          <w:tcPr>
            <w:tcW w:w="20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2.8%</w:t>
            </w: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(2,456,977)</w:t>
            </w:r>
          </w:p>
        </w:tc>
        <w:tc>
          <w:tcPr>
            <w:tcW w:w="11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(2,662,048)</w:t>
            </w:r>
          </w:p>
        </w:tc>
        <w:tc>
          <w:tcPr>
            <w:tcW w:w="13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Operating income</w:t>
            </w:r>
          </w:p>
        </w:tc>
        <w:tc>
          <w:tcPr>
            <w:tcW w:w="10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804,041</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1,141,036</w:t>
            </w:r>
          </w:p>
        </w:tc>
        <w:tc>
          <w:tcPr>
            <w:tcW w:w="2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b w:val="1"/>
                <w:bCs w:val="1"/>
                <w:color w:val="auto"/>
              </w:rPr>
              <w:t>1,049,336</w:t>
            </w: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-8.0%</w:t>
            </w: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30.5%</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1,715,136</w:t>
            </w: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2,190,372</w:t>
            </w:r>
          </w:p>
        </w:tc>
        <w:tc>
          <w:tcPr>
            <w:tcW w:w="26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27.7%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2"/>
          </w:tcPr>
          <w:p>
            <w:pPr>
              <w:spacing w:after="0" w:line="149" w:lineRule="exact"/>
              <w:rPr>
                <w:sz w:val="20"/>
                <w:szCs w:val="20"/>
                <w:color w:val="auto"/>
              </w:rPr>
            </w:pPr>
            <w:r>
              <w:rPr>
                <w:rFonts w:ascii="Arial" w:cs="Arial" w:eastAsia="Arial" w:hAnsi="Arial"/>
                <w:sz w:val="14"/>
                <w:szCs w:val="14"/>
                <w:color w:val="auto"/>
              </w:rPr>
              <w:t>Translation results</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581</w:t>
            </w:r>
          </w:p>
        </w:tc>
        <w:tc>
          <w:tcPr>
            <w:tcW w:w="240" w:type="dxa"/>
            <w:vAlign w:val="bottom"/>
          </w:tcPr>
          <w:p>
            <w:pPr>
              <w:spacing w:after="0"/>
              <w:rPr>
                <w:sz w:val="12"/>
                <w:szCs w:val="12"/>
                <w:color w:val="auto"/>
              </w:rPr>
            </w:pPr>
          </w:p>
        </w:tc>
        <w:tc>
          <w:tcPr>
            <w:tcW w:w="10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1,566</w:t>
            </w:r>
          </w:p>
        </w:tc>
        <w:tc>
          <w:tcPr>
            <w:tcW w:w="11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9,324</w:t>
            </w:r>
          </w:p>
        </w:tc>
        <w:tc>
          <w:tcPr>
            <w:tcW w:w="10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495.4%</w:t>
            </w:r>
          </w:p>
        </w:tc>
        <w:tc>
          <w:tcPr>
            <w:tcW w:w="20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1505.6%</w:t>
            </w: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(421)</w:t>
            </w:r>
          </w:p>
        </w:tc>
        <w:tc>
          <w:tcPr>
            <w:tcW w:w="11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10,890</w:t>
            </w:r>
          </w:p>
        </w:tc>
        <w:tc>
          <w:tcPr>
            <w:tcW w:w="13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-2686.2%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Income taxes</w:t>
            </w:r>
          </w:p>
        </w:tc>
        <w:tc>
          <w:tcPr>
            <w:tcW w:w="10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(204,934)</w:t>
            </w:r>
          </w:p>
        </w:tc>
        <w:tc>
          <w:tcPr>
            <w:tcW w:w="10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(309,431)</w:t>
            </w: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(289,389)</w:t>
            </w:r>
          </w:p>
        </w:tc>
        <w:tc>
          <w:tcPr>
            <w:tcW w:w="10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-6.5%</w:t>
            </w: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41.2%</w:t>
            </w:r>
          </w:p>
        </w:tc>
        <w:tc>
          <w:tcPr>
            <w:tcW w:w="11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(435,749)</w:t>
            </w:r>
          </w:p>
        </w:tc>
        <w:tc>
          <w:tcPr>
            <w:tcW w:w="11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(598,820)</w:t>
            </w:r>
          </w:p>
        </w:tc>
        <w:tc>
          <w:tcPr>
            <w:tcW w:w="13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108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599,687</w:t>
            </w:r>
          </w:p>
        </w:tc>
        <w:tc>
          <w:tcPr>
            <w:tcW w:w="108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833,171</w:t>
            </w:r>
          </w:p>
        </w:tc>
        <w:tc>
          <w:tcPr>
            <w:tcW w:w="112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769,271</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-7.7%</w:t>
            </w:r>
          </w:p>
        </w:tc>
        <w:tc>
          <w:tcPr>
            <w:tcW w:w="20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28.3%</w:t>
            </w:r>
          </w:p>
        </w:tc>
        <w:tc>
          <w:tcPr>
            <w:tcW w:w="8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1,278,965</w:t>
            </w: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1,602,442</w:t>
            </w:r>
          </w:p>
        </w:tc>
        <w:tc>
          <w:tcPr>
            <w:tcW w:w="260" w:type="dxa"/>
            <w:vAlign w:val="bottom"/>
          </w:tcPr>
          <w:p>
            <w:pPr>
              <w:spacing w:after="0"/>
              <w:rPr>
                <w:sz w:val="12"/>
                <w:szCs w:val="12"/>
                <w:color w:val="auto"/>
              </w:rPr>
            </w:pPr>
          </w:p>
        </w:tc>
        <w:tc>
          <w:tcPr>
            <w:tcW w:w="130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25.3%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Minority Interest</w:t>
            </w:r>
          </w:p>
        </w:tc>
        <w:tc>
          <w:tcPr>
            <w:tcW w:w="10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15,002</w:t>
            </w:r>
          </w:p>
        </w:tc>
        <w:tc>
          <w:tcPr>
            <w:tcW w:w="10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28,436</w:t>
            </w:r>
          </w:p>
        </w:tc>
        <w:tc>
          <w:tcPr>
            <w:tcW w:w="11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19,976</w:t>
            </w:r>
          </w:p>
        </w:tc>
        <w:tc>
          <w:tcPr>
            <w:tcW w:w="10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-29.8%</w:t>
            </w: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33.2%</w:t>
            </w:r>
          </w:p>
        </w:tc>
        <w:tc>
          <w:tcPr>
            <w:tcW w:w="11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32,156</w:t>
            </w:r>
          </w:p>
        </w:tc>
        <w:tc>
          <w:tcPr>
            <w:tcW w:w="11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48,412</w:t>
            </w:r>
          </w:p>
        </w:tc>
        <w:tc>
          <w:tcPr>
            <w:tcW w:w="13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Net income attributed to Credicorp</w:t>
            </w:r>
          </w:p>
        </w:tc>
        <w:tc>
          <w:tcPr>
            <w:tcW w:w="108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584,685</w:t>
            </w:r>
          </w:p>
        </w:tc>
        <w:tc>
          <w:tcPr>
            <w:tcW w:w="108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804,735</w:t>
            </w:r>
          </w:p>
        </w:tc>
        <w:tc>
          <w:tcPr>
            <w:tcW w:w="112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749,295</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-6.9%</w:t>
            </w:r>
          </w:p>
        </w:tc>
        <w:tc>
          <w:tcPr>
            <w:tcW w:w="20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28.2%</w:t>
            </w:r>
          </w:p>
        </w:tc>
        <w:tc>
          <w:tcPr>
            <w:tcW w:w="8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1,246,810</w:t>
            </w: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1,554,030</w:t>
            </w:r>
          </w:p>
        </w:tc>
        <w:tc>
          <w:tcPr>
            <w:tcW w:w="260" w:type="dxa"/>
            <w:vAlign w:val="bottom"/>
          </w:tcPr>
          <w:p>
            <w:pPr>
              <w:spacing w:after="0"/>
              <w:rPr>
                <w:sz w:val="12"/>
                <w:szCs w:val="12"/>
                <w:color w:val="auto"/>
              </w:rPr>
            </w:pPr>
          </w:p>
        </w:tc>
        <w:tc>
          <w:tcPr>
            <w:tcW w:w="130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24.6%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Non recurring income (expense)</w:t>
            </w:r>
          </w:p>
        </w:tc>
        <w:tc>
          <w:tcPr>
            <w:tcW w:w="10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36,106</w:t>
            </w:r>
          </w:p>
        </w:tc>
        <w:tc>
          <w:tcPr>
            <w:tcW w:w="10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105,113</w:t>
            </w:r>
          </w:p>
        </w:tc>
        <w:tc>
          <w:tcPr>
            <w:tcW w:w="11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93,671</w:t>
            </w:r>
          </w:p>
        </w:tc>
        <w:tc>
          <w:tcPr>
            <w:tcW w:w="11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105,113</w:t>
            </w:r>
          </w:p>
        </w:tc>
        <w:tc>
          <w:tcPr>
            <w:tcW w:w="13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Recurring Net income</w:t>
            </w:r>
          </w:p>
        </w:tc>
        <w:tc>
          <w:tcPr>
            <w:tcW w:w="10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548,579</w:t>
            </w:r>
          </w:p>
        </w:tc>
        <w:tc>
          <w:tcPr>
            <w:tcW w:w="10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699,621</w:t>
            </w:r>
          </w:p>
        </w:tc>
        <w:tc>
          <w:tcPr>
            <w:tcW w:w="11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749,295</w:t>
            </w:r>
          </w:p>
        </w:tc>
        <w:tc>
          <w:tcPr>
            <w:tcW w:w="10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7.1%</w:t>
            </w:r>
          </w:p>
        </w:tc>
        <w:tc>
          <w:tcPr>
            <w:tcW w:w="20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36.6%</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1,153,139</w:t>
            </w: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1,448,916</w:t>
            </w:r>
          </w:p>
        </w:tc>
        <w:tc>
          <w:tcPr>
            <w:tcW w:w="260" w:type="dxa"/>
            <w:vAlign w:val="bottom"/>
          </w:tcPr>
          <w:p>
            <w:pPr>
              <w:spacing w:after="0"/>
              <w:rPr>
                <w:sz w:val="12"/>
                <w:szCs w:val="12"/>
                <w:color w:val="auto"/>
              </w:rPr>
            </w:pPr>
          </w:p>
        </w:tc>
        <w:tc>
          <w:tcPr>
            <w:tcW w:w="13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25.6%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income/share (S/.)</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7.33</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10.09</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9.39</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-6.9%</w:t>
            </w:r>
          </w:p>
        </w:tc>
        <w:tc>
          <w:tcPr>
            <w:tcW w:w="2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28.2%</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15.63</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19.48</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gridSpan w:val="2"/>
            <w:vMerge w:val="restart"/>
          </w:tcPr>
          <w:p>
            <w:pPr>
              <w:spacing w:after="0"/>
              <w:rPr>
                <w:sz w:val="20"/>
                <w:szCs w:val="20"/>
                <w:color w:val="auto"/>
              </w:rPr>
            </w:pPr>
            <w:r>
              <w:rPr>
                <w:rFonts w:ascii="Arial" w:cs="Arial" w:eastAsia="Arial" w:hAnsi="Arial"/>
                <w:sz w:val="14"/>
                <w:szCs w:val="14"/>
                <w:color w:val="auto"/>
              </w:rPr>
              <w:t>Total loans</w:t>
            </w: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480" w:type="dxa"/>
            <w:vAlign w:val="bottom"/>
            <w:gridSpan w:val="2"/>
            <w:vMerge w:val="continue"/>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4"/>
                <w:szCs w:val="14"/>
                <w:color w:val="auto"/>
              </w:rPr>
              <w:t>73,464,928</w:t>
            </w:r>
          </w:p>
        </w:tc>
        <w:tc>
          <w:tcPr>
            <w:tcW w:w="24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4"/>
                <w:szCs w:val="14"/>
                <w:color w:val="auto"/>
              </w:rPr>
              <w:t>81,620,723</w:t>
            </w:r>
          </w:p>
        </w:tc>
        <w:tc>
          <w:tcPr>
            <w:tcW w:w="24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83,503,212</w:t>
            </w:r>
          </w:p>
        </w:tc>
        <w:tc>
          <w:tcPr>
            <w:tcW w:w="260" w:type="dxa"/>
            <w:vAlign w:val="bottom"/>
            <w:vMerge w:val="continue"/>
          </w:tcPr>
          <w:p>
            <w:pPr>
              <w:spacing w:after="0"/>
              <w:rPr>
                <w:sz w:val="12"/>
                <w:szCs w:val="12"/>
                <w:color w:val="auto"/>
              </w:rPr>
            </w:pPr>
          </w:p>
        </w:tc>
        <w:tc>
          <w:tcPr>
            <w:tcW w:w="1040" w:type="dxa"/>
            <w:vAlign w:val="bottom"/>
            <w:gridSpan w:val="2"/>
          </w:tcPr>
          <w:p>
            <w:pPr>
              <w:jc w:val="right"/>
              <w:ind w:right="160"/>
              <w:spacing w:after="0" w:line="142" w:lineRule="exact"/>
              <w:rPr>
                <w:sz w:val="20"/>
                <w:szCs w:val="20"/>
                <w:color w:val="auto"/>
              </w:rPr>
            </w:pPr>
            <w:r>
              <w:rPr>
                <w:rFonts w:ascii="Arial" w:cs="Arial" w:eastAsia="Arial" w:hAnsi="Arial"/>
                <w:sz w:val="14"/>
                <w:szCs w:val="14"/>
                <w:color w:val="auto"/>
              </w:rPr>
              <w:t>2.3%</w:t>
            </w:r>
          </w:p>
        </w:tc>
        <w:tc>
          <w:tcPr>
            <w:tcW w:w="200" w:type="dxa"/>
            <w:vAlign w:val="bottom"/>
          </w:tcPr>
          <w:p>
            <w:pPr>
              <w:spacing w:after="0"/>
              <w:rPr>
                <w:sz w:val="12"/>
                <w:szCs w:val="12"/>
                <w:color w:val="auto"/>
              </w:rPr>
            </w:pPr>
          </w:p>
        </w:tc>
        <w:tc>
          <w:tcPr>
            <w:tcW w:w="840" w:type="dxa"/>
            <w:vAlign w:val="bottom"/>
            <w:gridSpan w:val="2"/>
          </w:tcPr>
          <w:p>
            <w:pPr>
              <w:jc w:val="right"/>
              <w:ind w:right="160"/>
              <w:spacing w:after="0" w:line="142" w:lineRule="exact"/>
              <w:rPr>
                <w:sz w:val="20"/>
                <w:szCs w:val="20"/>
                <w:color w:val="auto"/>
              </w:rPr>
            </w:pPr>
            <w:r>
              <w:rPr>
                <w:rFonts w:ascii="Arial" w:cs="Arial" w:eastAsia="Arial" w:hAnsi="Arial"/>
                <w:sz w:val="14"/>
                <w:szCs w:val="14"/>
                <w:color w:val="auto"/>
              </w:rPr>
              <w:t>13.7%</w:t>
            </w:r>
          </w:p>
        </w:tc>
        <w:tc>
          <w:tcPr>
            <w:tcW w:w="880" w:type="dxa"/>
            <w:vAlign w:val="bottom"/>
          </w:tcPr>
          <w:p>
            <w:pPr>
              <w:jc w:val="right"/>
              <w:spacing w:after="0" w:line="142" w:lineRule="exact"/>
              <w:rPr>
                <w:sz w:val="20"/>
                <w:szCs w:val="20"/>
                <w:color w:val="auto"/>
              </w:rPr>
            </w:pPr>
            <w:r>
              <w:rPr>
                <w:rFonts w:ascii="Arial" w:cs="Arial" w:eastAsia="Arial" w:hAnsi="Arial"/>
                <w:sz w:val="14"/>
                <w:szCs w:val="14"/>
                <w:color w:val="auto"/>
              </w:rPr>
              <w:t>73,464,928</w:t>
            </w:r>
          </w:p>
        </w:tc>
        <w:tc>
          <w:tcPr>
            <w:tcW w:w="24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Arial" w:cs="Arial" w:eastAsia="Arial" w:hAnsi="Arial"/>
                <w:sz w:val="14"/>
                <w:szCs w:val="14"/>
                <w:color w:val="auto"/>
              </w:rPr>
              <w:t>83,503,212</w:t>
            </w:r>
          </w:p>
        </w:tc>
        <w:tc>
          <w:tcPr>
            <w:tcW w:w="260" w:type="dxa"/>
            <w:vAlign w:val="bottom"/>
          </w:tcPr>
          <w:p>
            <w:pPr>
              <w:spacing w:after="0"/>
              <w:rPr>
                <w:sz w:val="12"/>
                <w:szCs w:val="12"/>
                <w:color w:val="auto"/>
              </w:rPr>
            </w:pPr>
          </w:p>
        </w:tc>
        <w:tc>
          <w:tcPr>
            <w:tcW w:w="130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rPr>
              <w:t>13.7%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Deposits and obligations</w:t>
            </w:r>
          </w:p>
        </w:tc>
        <w:tc>
          <w:tcPr>
            <w:tcW w:w="10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75,611,060</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79,142,903</w:t>
            </w:r>
          </w:p>
        </w:tc>
        <w:tc>
          <w:tcPr>
            <w:tcW w:w="2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80,910,623</w:t>
            </w:r>
          </w:p>
        </w:tc>
        <w:tc>
          <w:tcPr>
            <w:tcW w:w="10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2.2%</w:t>
            </w: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7.0%</w:t>
            </w:r>
          </w:p>
        </w:tc>
        <w:tc>
          <w:tcPr>
            <w:tcW w:w="11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75,611,060</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80,910,623</w:t>
            </w:r>
          </w:p>
        </w:tc>
        <w:tc>
          <w:tcPr>
            <w:tcW w:w="26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80" w:type="dxa"/>
            <w:vAlign w:val="bottom"/>
            <w:gridSpan w:val="2"/>
          </w:tcPr>
          <w:p>
            <w:pPr>
              <w:spacing w:after="0"/>
              <w:rPr>
                <w:sz w:val="20"/>
                <w:szCs w:val="20"/>
                <w:color w:val="auto"/>
              </w:rPr>
            </w:pPr>
            <w:r>
              <w:rPr>
                <w:rFonts w:ascii="Arial" w:cs="Arial" w:eastAsia="Arial" w:hAnsi="Arial"/>
                <w:sz w:val="14"/>
                <w:szCs w:val="14"/>
                <w:color w:val="auto"/>
              </w:rPr>
              <w:t>Net shareholders’ equity</w:t>
            </w:r>
          </w:p>
        </w:tc>
        <w:tc>
          <w:tcPr>
            <w:tcW w:w="840" w:type="dxa"/>
            <w:vAlign w:val="bottom"/>
          </w:tcPr>
          <w:p>
            <w:pPr>
              <w:jc w:val="right"/>
              <w:spacing w:after="0"/>
              <w:rPr>
                <w:sz w:val="20"/>
                <w:szCs w:val="20"/>
                <w:color w:val="auto"/>
              </w:rPr>
            </w:pPr>
            <w:r>
              <w:rPr>
                <w:rFonts w:ascii="Arial" w:cs="Arial" w:eastAsia="Arial" w:hAnsi="Arial"/>
                <w:sz w:val="14"/>
                <w:szCs w:val="14"/>
                <w:color w:val="auto"/>
              </w:rPr>
              <w:t>12,807,368</w:t>
            </w: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14,207,531</w:t>
            </w: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14,803,711</w:t>
            </w:r>
          </w:p>
        </w:tc>
        <w:tc>
          <w:tcPr>
            <w:tcW w:w="26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4.2%</w:t>
            </w:r>
          </w:p>
        </w:tc>
        <w:tc>
          <w:tcPr>
            <w:tcW w:w="2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15.6%</w:t>
            </w:r>
          </w:p>
        </w:tc>
        <w:tc>
          <w:tcPr>
            <w:tcW w:w="880" w:type="dxa"/>
            <w:vAlign w:val="bottom"/>
          </w:tcPr>
          <w:p>
            <w:pPr>
              <w:jc w:val="right"/>
              <w:spacing w:after="0"/>
              <w:rPr>
                <w:sz w:val="20"/>
                <w:szCs w:val="20"/>
                <w:color w:val="auto"/>
              </w:rPr>
            </w:pPr>
            <w:r>
              <w:rPr>
                <w:rFonts w:ascii="Arial" w:cs="Arial" w:eastAsia="Arial" w:hAnsi="Arial"/>
                <w:sz w:val="14"/>
                <w:szCs w:val="14"/>
                <w:color w:val="auto"/>
              </w:rPr>
              <w:t>12,807,368</w:t>
            </w:r>
          </w:p>
        </w:tc>
        <w:tc>
          <w:tcPr>
            <w:tcW w:w="240" w:type="dxa"/>
            <w:vAlign w:val="bottom"/>
          </w:tcPr>
          <w:p>
            <w:pPr>
              <w:spacing w:after="0"/>
              <w:rPr>
                <w:sz w:val="14"/>
                <w:szCs w:val="14"/>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14,803,711</w:t>
            </w:r>
          </w:p>
        </w:tc>
        <w:tc>
          <w:tcPr>
            <w:tcW w:w="1300" w:type="dxa"/>
            <w:vAlign w:val="bottom"/>
            <w:gridSpan w:val="2"/>
          </w:tcPr>
          <w:p>
            <w:pPr>
              <w:jc w:val="right"/>
              <w:ind w:right="40"/>
              <w:spacing w:after="0"/>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Net interest margin</w:t>
            </w: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480" w:type="dxa"/>
            <w:vAlign w:val="bottom"/>
            <w:gridSpan w:val="2"/>
            <w:vMerge w:val="continue"/>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5.67%</w:t>
            </w:r>
          </w:p>
        </w:tc>
        <w:tc>
          <w:tcPr>
            <w:tcW w:w="108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5.73%</w:t>
            </w:r>
          </w:p>
        </w:tc>
        <w:tc>
          <w:tcPr>
            <w:tcW w:w="112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5.70%</w:t>
            </w:r>
          </w:p>
        </w:tc>
        <w:tc>
          <w:tcPr>
            <w:tcW w:w="7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5.52%</w:t>
            </w:r>
          </w:p>
        </w:tc>
        <w:tc>
          <w:tcPr>
            <w:tcW w:w="114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5.72%</w:t>
            </w:r>
          </w:p>
        </w:tc>
        <w:tc>
          <w:tcPr>
            <w:tcW w:w="1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2"/>
          </w:tcPr>
          <w:p>
            <w:pPr>
              <w:spacing w:after="0" w:line="149" w:lineRule="exact"/>
              <w:rPr>
                <w:sz w:val="20"/>
                <w:szCs w:val="20"/>
                <w:color w:val="auto"/>
              </w:rPr>
            </w:pPr>
            <w:r>
              <w:rPr>
                <w:rFonts w:ascii="Arial" w:cs="Arial" w:eastAsia="Arial" w:hAnsi="Arial"/>
                <w:sz w:val="14"/>
                <w:szCs w:val="14"/>
                <w:color w:val="auto"/>
              </w:rPr>
              <w:t>ROAE</w:t>
            </w:r>
          </w:p>
        </w:tc>
        <w:tc>
          <w:tcPr>
            <w:tcW w:w="10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18.9%</w:t>
            </w:r>
          </w:p>
        </w:tc>
        <w:tc>
          <w:tcPr>
            <w:tcW w:w="10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22.8%</w:t>
            </w:r>
          </w:p>
        </w:tc>
        <w:tc>
          <w:tcPr>
            <w:tcW w:w="11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20.7%</w:t>
            </w: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20.2%</w:t>
            </w:r>
          </w:p>
        </w:tc>
        <w:tc>
          <w:tcPr>
            <w:tcW w:w="11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21.6%</w:t>
            </w: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8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 xml:space="preserve">Recurring ROAE </w:t>
            </w:r>
            <w:r>
              <w:rPr>
                <w:rFonts w:ascii="Arial" w:cs="Arial" w:eastAsia="Arial" w:hAnsi="Arial"/>
                <w:sz w:val="21"/>
                <w:szCs w:val="21"/>
                <w:color w:val="auto"/>
                <w:vertAlign w:val="superscript"/>
              </w:rPr>
              <w:t>(1)</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17.8%</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19.9%</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20.5%</w:t>
            </w:r>
          </w:p>
        </w:tc>
        <w:tc>
          <w:tcPr>
            <w:tcW w:w="7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18.7%</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20.0%</w:t>
            </w:r>
          </w:p>
        </w:tc>
        <w:tc>
          <w:tcPr>
            <w:tcW w:w="1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2"/>
          </w:tcPr>
          <w:p>
            <w:pPr>
              <w:spacing w:after="0" w:line="149" w:lineRule="exact"/>
              <w:rPr>
                <w:sz w:val="20"/>
                <w:szCs w:val="20"/>
                <w:color w:val="auto"/>
              </w:rPr>
            </w:pPr>
            <w:r>
              <w:rPr>
                <w:rFonts w:ascii="Arial" w:cs="Arial" w:eastAsia="Arial" w:hAnsi="Arial"/>
                <w:sz w:val="14"/>
                <w:szCs w:val="14"/>
                <w:color w:val="auto"/>
              </w:rPr>
              <w:t>ROAA</w:t>
            </w:r>
          </w:p>
        </w:tc>
        <w:tc>
          <w:tcPr>
            <w:tcW w:w="10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w:t>
            </w:r>
          </w:p>
        </w:tc>
        <w:tc>
          <w:tcPr>
            <w:tcW w:w="10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2.3%</w:t>
            </w:r>
          </w:p>
        </w:tc>
        <w:tc>
          <w:tcPr>
            <w:tcW w:w="11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2.1%</w:t>
            </w: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2.1%</w:t>
            </w:r>
          </w:p>
        </w:tc>
        <w:tc>
          <w:tcPr>
            <w:tcW w:w="11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2.2%</w:t>
            </w: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8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 xml:space="preserve">Recurring ROAA </w:t>
            </w:r>
            <w:r>
              <w:rPr>
                <w:rFonts w:ascii="Arial" w:cs="Arial" w:eastAsia="Arial" w:hAnsi="Arial"/>
                <w:sz w:val="21"/>
                <w:szCs w:val="21"/>
                <w:color w:val="auto"/>
                <w:vertAlign w:val="superscript"/>
              </w:rPr>
              <w:t>(2)</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1.7%</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2.0%</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2.1%</w:t>
            </w:r>
          </w:p>
        </w:tc>
        <w:tc>
          <w:tcPr>
            <w:tcW w:w="7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1.9%</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2.1%</w:t>
            </w:r>
          </w:p>
        </w:tc>
        <w:tc>
          <w:tcPr>
            <w:tcW w:w="1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80" w:type="dxa"/>
            <w:vAlign w:val="bottom"/>
            <w:gridSpan w:val="2"/>
          </w:tcPr>
          <w:p>
            <w:pPr>
              <w:spacing w:after="0" w:line="189" w:lineRule="exact"/>
              <w:rPr>
                <w:sz w:val="20"/>
                <w:szCs w:val="20"/>
                <w:color w:val="auto"/>
              </w:rPr>
            </w:pPr>
            <w:r>
              <w:rPr>
                <w:rFonts w:ascii="Arial" w:cs="Arial" w:eastAsia="Arial" w:hAnsi="Arial"/>
                <w:sz w:val="13"/>
                <w:szCs w:val="13"/>
                <w:color w:val="auto"/>
              </w:rPr>
              <w:t xml:space="preserve">PDL ratio </w:t>
            </w:r>
            <w:r>
              <w:rPr>
                <w:rFonts w:ascii="Arial" w:cs="Arial" w:eastAsia="Arial" w:hAnsi="Arial"/>
                <w:sz w:val="21"/>
                <w:szCs w:val="21"/>
                <w:color w:val="auto"/>
                <w:vertAlign w:val="superscript"/>
              </w:rPr>
              <w:t>(3)</w:t>
            </w: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2.64%</w:t>
            </w: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2.58%</w:t>
            </w: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2.72%</w:t>
            </w: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2.64%</w:t>
            </w: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2.72%</w:t>
            </w: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PDL over 90 days</w:t>
            </w:r>
          </w:p>
        </w:tc>
        <w:tc>
          <w:tcPr>
            <w:tcW w:w="10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1.63%</w:t>
            </w:r>
          </w:p>
        </w:tc>
        <w:tc>
          <w:tcPr>
            <w:tcW w:w="10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1.83%</w:t>
            </w:r>
          </w:p>
        </w:tc>
        <w:tc>
          <w:tcPr>
            <w:tcW w:w="11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1.96%</w:t>
            </w:r>
          </w:p>
        </w:tc>
        <w:tc>
          <w:tcPr>
            <w:tcW w:w="7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1.63%</w:t>
            </w:r>
          </w:p>
        </w:tc>
        <w:tc>
          <w:tcPr>
            <w:tcW w:w="11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1.96%</w:t>
            </w:r>
          </w:p>
        </w:tc>
        <w:tc>
          <w:tcPr>
            <w:tcW w:w="1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80" w:type="dxa"/>
            <w:vAlign w:val="bottom"/>
            <w:gridSpan w:val="2"/>
          </w:tcPr>
          <w:p>
            <w:pPr>
              <w:spacing w:after="0" w:line="189" w:lineRule="exact"/>
              <w:rPr>
                <w:sz w:val="20"/>
                <w:szCs w:val="20"/>
                <w:color w:val="auto"/>
              </w:rPr>
            </w:pPr>
            <w:r>
              <w:rPr>
                <w:rFonts w:ascii="Arial" w:cs="Arial" w:eastAsia="Arial" w:hAnsi="Arial"/>
                <w:sz w:val="13"/>
                <w:szCs w:val="13"/>
                <w:color w:val="auto"/>
              </w:rPr>
              <w:t xml:space="preserve">NPL ratio </w:t>
            </w:r>
            <w:r>
              <w:rPr>
                <w:rFonts w:ascii="Arial" w:cs="Arial" w:eastAsia="Arial" w:hAnsi="Arial"/>
                <w:sz w:val="21"/>
                <w:szCs w:val="21"/>
                <w:color w:val="auto"/>
                <w:vertAlign w:val="superscript"/>
              </w:rPr>
              <w:t>(4)</w:t>
            </w: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3.30%</w:t>
            </w: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3.40%</w:t>
            </w: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3.56%</w:t>
            </w: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3.30%</w:t>
            </w: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3.56%</w:t>
            </w: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8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 xml:space="preserve">Cost of risk </w:t>
            </w:r>
            <w:r>
              <w:rPr>
                <w:rFonts w:ascii="Arial" w:cs="Arial" w:eastAsia="Arial" w:hAnsi="Arial"/>
                <w:sz w:val="21"/>
                <w:szCs w:val="21"/>
                <w:color w:val="auto"/>
                <w:vertAlign w:val="superscript"/>
              </w:rPr>
              <w:t>(5)</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2.62%</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2.46%</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2.07%</w:t>
            </w:r>
          </w:p>
        </w:tc>
        <w:tc>
          <w:tcPr>
            <w:tcW w:w="7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2.30%</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2.24%</w:t>
            </w:r>
          </w:p>
        </w:tc>
        <w:tc>
          <w:tcPr>
            <w:tcW w:w="1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2"/>
          </w:tcPr>
          <w:p>
            <w:pPr>
              <w:spacing w:after="0" w:line="149" w:lineRule="exact"/>
              <w:rPr>
                <w:sz w:val="20"/>
                <w:szCs w:val="20"/>
                <w:color w:val="auto"/>
              </w:rPr>
            </w:pPr>
            <w:r>
              <w:rPr>
                <w:rFonts w:ascii="Arial" w:cs="Arial" w:eastAsia="Arial" w:hAnsi="Arial"/>
                <w:sz w:val="14"/>
                <w:szCs w:val="14"/>
                <w:color w:val="auto"/>
              </w:rPr>
              <w:t>Coverage of PDLs</w:t>
            </w:r>
          </w:p>
        </w:tc>
        <w:tc>
          <w:tcPr>
            <w:tcW w:w="10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158.4%</w:t>
            </w:r>
          </w:p>
        </w:tc>
        <w:tc>
          <w:tcPr>
            <w:tcW w:w="10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164.5%</w:t>
            </w:r>
          </w:p>
        </w:tc>
        <w:tc>
          <w:tcPr>
            <w:tcW w:w="11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159.2%</w:t>
            </w: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158.4%</w:t>
            </w:r>
          </w:p>
        </w:tc>
        <w:tc>
          <w:tcPr>
            <w:tcW w:w="11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159.2%</w:t>
            </w: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Coverage of NPLs</w:t>
            </w:r>
          </w:p>
        </w:tc>
        <w:tc>
          <w:tcPr>
            <w:tcW w:w="10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126.6%</w:t>
            </w:r>
          </w:p>
        </w:tc>
        <w:tc>
          <w:tcPr>
            <w:tcW w:w="10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124.8%</w:t>
            </w:r>
          </w:p>
        </w:tc>
        <w:tc>
          <w:tcPr>
            <w:tcW w:w="11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121.9%</w:t>
            </w:r>
          </w:p>
        </w:tc>
        <w:tc>
          <w:tcPr>
            <w:tcW w:w="7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126.6%</w:t>
            </w:r>
          </w:p>
        </w:tc>
        <w:tc>
          <w:tcPr>
            <w:tcW w:w="11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121.9%</w:t>
            </w:r>
          </w:p>
        </w:tc>
        <w:tc>
          <w:tcPr>
            <w:tcW w:w="1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2"/>
          </w:tcPr>
          <w:p>
            <w:pPr>
              <w:spacing w:after="0" w:line="149" w:lineRule="exact"/>
              <w:rPr>
                <w:sz w:val="20"/>
                <w:szCs w:val="20"/>
                <w:color w:val="auto"/>
              </w:rPr>
            </w:pPr>
            <w:r>
              <w:rPr>
                <w:rFonts w:ascii="Arial" w:cs="Arial" w:eastAsia="Arial" w:hAnsi="Arial"/>
                <w:sz w:val="14"/>
                <w:szCs w:val="14"/>
                <w:color w:val="auto"/>
              </w:rPr>
              <w:t>Efficiency ratio</w:t>
            </w:r>
          </w:p>
        </w:tc>
        <w:tc>
          <w:tcPr>
            <w:tcW w:w="10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43.9%</w:t>
            </w:r>
          </w:p>
        </w:tc>
        <w:tc>
          <w:tcPr>
            <w:tcW w:w="10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40.8%</w:t>
            </w:r>
          </w:p>
        </w:tc>
        <w:tc>
          <w:tcPr>
            <w:tcW w:w="11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41.6%</w:t>
            </w: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42.4%</w:t>
            </w:r>
          </w:p>
        </w:tc>
        <w:tc>
          <w:tcPr>
            <w:tcW w:w="11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41.2%</w:t>
            </w: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Operating expenses / Total assets</w:t>
            </w:r>
          </w:p>
        </w:tc>
        <w:tc>
          <w:tcPr>
            <w:tcW w:w="10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4.1%</w:t>
            </w:r>
          </w:p>
        </w:tc>
        <w:tc>
          <w:tcPr>
            <w:tcW w:w="10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3.6%</w:t>
            </w:r>
          </w:p>
        </w:tc>
        <w:tc>
          <w:tcPr>
            <w:tcW w:w="11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3.7%</w:t>
            </w:r>
          </w:p>
        </w:tc>
        <w:tc>
          <w:tcPr>
            <w:tcW w:w="7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3.9%</w:t>
            </w:r>
          </w:p>
        </w:tc>
        <w:tc>
          <w:tcPr>
            <w:tcW w:w="11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3.7%</w:t>
            </w:r>
          </w:p>
        </w:tc>
        <w:tc>
          <w:tcPr>
            <w:tcW w:w="1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80" w:type="dxa"/>
            <w:vAlign w:val="bottom"/>
            <w:gridSpan w:val="2"/>
          </w:tcPr>
          <w:p>
            <w:pPr>
              <w:spacing w:after="0" w:line="189" w:lineRule="exact"/>
              <w:rPr>
                <w:sz w:val="20"/>
                <w:szCs w:val="20"/>
                <w:color w:val="auto"/>
              </w:rPr>
            </w:pPr>
            <w:r>
              <w:rPr>
                <w:rFonts w:ascii="Arial" w:cs="Arial" w:eastAsia="Arial" w:hAnsi="Arial"/>
                <w:sz w:val="13"/>
                <w:szCs w:val="13"/>
                <w:color w:val="auto"/>
              </w:rPr>
              <w:t xml:space="preserve">Combined ratio of P&amp;C </w:t>
            </w:r>
            <w:r>
              <w:rPr>
                <w:rFonts w:ascii="Arial" w:cs="Arial" w:eastAsia="Arial" w:hAnsi="Arial"/>
                <w:sz w:val="21"/>
                <w:szCs w:val="21"/>
                <w:color w:val="auto"/>
                <w:vertAlign w:val="superscript"/>
              </w:rPr>
              <w:t>(6)(7)</w:t>
            </w: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100.3%</w:t>
            </w: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92.8%</w:t>
            </w: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90.6%</w:t>
            </w: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101.1%</w:t>
            </w: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91.7%</w:t>
            </w: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8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 xml:space="preserve">Loss ratio </w:t>
            </w:r>
            <w:r>
              <w:rPr>
                <w:rFonts w:ascii="Arial" w:cs="Arial" w:eastAsia="Arial" w:hAnsi="Arial"/>
                <w:sz w:val="21"/>
                <w:szCs w:val="21"/>
                <w:color w:val="auto"/>
                <w:vertAlign w:val="superscript"/>
              </w:rPr>
              <w:t>(7)</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65.5%</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56.6%</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58.8%</w:t>
            </w:r>
          </w:p>
        </w:tc>
        <w:tc>
          <w:tcPr>
            <w:tcW w:w="7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63.7%</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57.7%</w:t>
            </w:r>
          </w:p>
        </w:tc>
        <w:tc>
          <w:tcPr>
            <w:tcW w:w="1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480" w:type="dxa"/>
            <w:vAlign w:val="bottom"/>
            <w:gridSpan w:val="2"/>
          </w:tcPr>
          <w:p>
            <w:pPr>
              <w:spacing w:after="0" w:line="140" w:lineRule="exact"/>
              <w:rPr>
                <w:sz w:val="20"/>
                <w:szCs w:val="20"/>
                <w:color w:val="auto"/>
              </w:rPr>
            </w:pPr>
            <w:r>
              <w:rPr>
                <w:rFonts w:ascii="Arial" w:cs="Arial" w:eastAsia="Arial" w:hAnsi="Arial"/>
                <w:sz w:val="14"/>
                <w:szCs w:val="14"/>
                <w:color w:val="auto"/>
              </w:rPr>
              <w:t>Underwriting result / net earned</w:t>
            </w: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500" w:type="dxa"/>
            <w:vAlign w:val="bottom"/>
            <w:gridSpan w:val="3"/>
          </w:tcPr>
          <w:p>
            <w:pPr>
              <w:spacing w:after="0" w:line="198" w:lineRule="exact"/>
              <w:rPr>
                <w:sz w:val="20"/>
                <w:szCs w:val="20"/>
                <w:color w:val="auto"/>
              </w:rPr>
            </w:pPr>
            <w:r>
              <w:rPr>
                <w:rFonts w:ascii="Arial" w:cs="Arial" w:eastAsia="Arial" w:hAnsi="Arial"/>
                <w:sz w:val="14"/>
                <w:szCs w:val="14"/>
                <w:color w:val="auto"/>
              </w:rPr>
              <w:t xml:space="preserve">premiums </w:t>
            </w:r>
            <w:r>
              <w:rPr>
                <w:rFonts w:ascii="Arial" w:cs="Arial" w:eastAsia="Arial" w:hAnsi="Arial"/>
                <w:sz w:val="22"/>
                <w:szCs w:val="22"/>
                <w:color w:val="auto"/>
                <w:vertAlign w:val="superscript"/>
              </w:rPr>
              <w:t>(7)</w:t>
            </w: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13.7%</w:t>
            </w: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15.3%</w:t>
            </w: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14.9%</w:t>
            </w: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13.5%</w:t>
            </w: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15.1%</w:t>
            </w: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Employees</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31,648</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32,577</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32,828</w:t>
            </w:r>
          </w:p>
        </w:tc>
        <w:tc>
          <w:tcPr>
            <w:tcW w:w="7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31,648</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32,828</w:t>
            </w:r>
          </w:p>
        </w:tc>
        <w:tc>
          <w:tcPr>
            <w:tcW w:w="1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60" w:hanging="252"/>
        <w:spacing w:after="0"/>
        <w:tabs>
          <w:tab w:leader="none" w:pos="260" w:val="left"/>
        </w:tabs>
        <w:numPr>
          <w:ilvl w:val="0"/>
          <w:numId w:val="2"/>
        </w:numPr>
        <w:rPr>
          <w:rFonts w:ascii="Arial" w:cs="Arial" w:eastAsia="Arial" w:hAnsi="Arial"/>
          <w:sz w:val="16"/>
          <w:szCs w:val="16"/>
          <w:color w:val="auto"/>
        </w:rPr>
      </w:pPr>
      <w:r>
        <w:rPr>
          <w:rFonts w:ascii="Arial" w:cs="Arial" w:eastAsia="Arial" w:hAnsi="Arial"/>
          <w:sz w:val="16"/>
          <w:szCs w:val="16"/>
          <w:color w:val="auto"/>
        </w:rPr>
        <w:t>Recurring ROAE: Net recurring income is used for calculations. In the equity side, adjustments are made to exclude non recurring income (expense).</w:t>
      </w:r>
    </w:p>
    <w:p>
      <w:pPr>
        <w:spacing w:after="0" w:line="32" w:lineRule="exact"/>
        <w:rPr>
          <w:rFonts w:ascii="Arial" w:cs="Arial" w:eastAsia="Arial" w:hAnsi="Arial"/>
          <w:sz w:val="16"/>
          <w:szCs w:val="16"/>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Recurring ROAA: Net recurring income is used for calculations.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PDL ratio = Past-due loan ratio. Past-due loans include overdue loans and loans under legal collection</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NPLs: Non-performing loans = Past due loans + Refinanced loans. NPL ratio: NPLs / Total loans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Annualized net provisions / Total loans</w:t>
      </w:r>
    </w:p>
    <w:p>
      <w:pPr>
        <w:spacing w:after="0" w:line="9" w:lineRule="exact"/>
        <w:rPr>
          <w:rFonts w:ascii="Arial" w:cs="Arial" w:eastAsia="Arial" w:hAnsi="Arial"/>
          <w:sz w:val="18"/>
          <w:szCs w:val="18"/>
          <w:color w:val="auto"/>
        </w:rPr>
      </w:pPr>
    </w:p>
    <w:p>
      <w:pPr>
        <w:ind w:right="540" w:firstLine="8"/>
        <w:spacing w:after="0" w:line="250" w:lineRule="auto"/>
        <w:tabs>
          <w:tab w:leader="none" w:pos="255"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Combined ratio= (Net claims / net earned premiums) + ((General expenses + fees + underwriting expenses) / net earned premiums). Do not include insurance Life business.</w:t>
      </w: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Considers Grupo Pacifico’s figures before eliminations for consolidation to Credicorp.</w:t>
      </w:r>
    </w:p>
    <w:p>
      <w:pPr>
        <w:spacing w:after="0" w:line="20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Credicorp reported </w:t>
      </w:r>
      <w:r>
        <w:rPr>
          <w:rFonts w:ascii="Arial" w:cs="Arial" w:eastAsia="Arial" w:hAnsi="Arial"/>
          <w:sz w:val="18"/>
          <w:szCs w:val="18"/>
          <w:b w:val="1"/>
          <w:bCs w:val="1"/>
          <w:color w:val="auto"/>
        </w:rPr>
        <w:t>net income</w:t>
      </w:r>
      <w:r>
        <w:rPr>
          <w:rFonts w:ascii="Arial" w:cs="Arial" w:eastAsia="Arial" w:hAnsi="Arial"/>
          <w:sz w:val="18"/>
          <w:szCs w:val="18"/>
          <w:color w:val="auto"/>
        </w:rPr>
        <w:t xml:space="preserve"> of S/.749.3 million in 2Q15, which represents a solid result for the second consecutive quarter, especially considering the low economic growth in the local and international markets. This led to a ROAE and a ROAA of 20.7% and 2.1% respectively. It is important to note that these levels of profitability are attributable to recurring business and also reflect an improvement with regard to the 1Q15 levels (ROAE of 19.9% and ROAA of 2%).</w:t>
      </w:r>
    </w:p>
    <w:p>
      <w:pPr>
        <w:spacing w:after="0" w:line="393" w:lineRule="exact"/>
        <w:rPr>
          <w:sz w:val="20"/>
          <w:szCs w:val="20"/>
          <w:color w:val="auto"/>
        </w:rPr>
      </w:pPr>
    </w:p>
    <w:p>
      <w:pPr>
        <w:jc w:val="right"/>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jc w:val="both"/>
        <w:spacing w:after="0" w:line="303" w:lineRule="auto"/>
        <w:rPr>
          <w:sz w:val="20"/>
          <w:szCs w:val="20"/>
          <w:color w:val="auto"/>
        </w:rPr>
      </w:pPr>
      <w:r>
        <w:rPr>
          <w:rFonts w:ascii="Arial" w:cs="Arial" w:eastAsia="Arial" w:hAnsi="Arial"/>
          <w:sz w:val="16"/>
          <w:szCs w:val="16"/>
          <w:color w:val="auto"/>
        </w:rPr>
        <w:t xml:space="preserve">Credicorp’s </w:t>
      </w:r>
      <w:r>
        <w:rPr>
          <w:rFonts w:ascii="Arial" w:cs="Arial" w:eastAsia="Arial" w:hAnsi="Arial"/>
          <w:sz w:val="16"/>
          <w:szCs w:val="16"/>
          <w:b w:val="1"/>
          <w:bCs w:val="1"/>
          <w:color w:val="auto"/>
        </w:rPr>
        <w:t>NII</w:t>
      </w:r>
      <w:r>
        <w:rPr>
          <w:rFonts w:ascii="Arial" w:cs="Arial" w:eastAsia="Arial" w:hAnsi="Arial"/>
          <w:sz w:val="16"/>
          <w:szCs w:val="16"/>
          <w:color w:val="auto"/>
        </w:rPr>
        <w:t xml:space="preserve"> increased +2.9% QoQ and +14.1% YoY, which was due primarily to growth in interest income on loans and, to a lesser extent, to an increase in income from derivatives. An improvement in interest income generation offset the increase in interest expenses. All of the aforementioned translated into a slight reduction of only 3bps in </w:t>
      </w:r>
      <w:r>
        <w:rPr>
          <w:rFonts w:ascii="Arial" w:cs="Arial" w:eastAsia="Arial" w:hAnsi="Arial"/>
          <w:sz w:val="16"/>
          <w:szCs w:val="16"/>
          <w:b w:val="1"/>
          <w:bCs w:val="1"/>
          <w:color w:val="auto"/>
        </w:rPr>
        <w:t>NIM</w:t>
      </w:r>
      <w:r>
        <w:rPr>
          <w:rFonts w:ascii="Arial" w:cs="Arial" w:eastAsia="Arial" w:hAnsi="Arial"/>
          <w:sz w:val="16"/>
          <w:szCs w:val="16"/>
          <w:color w:val="auto"/>
        </w:rPr>
        <w:t xml:space="preserve"> (5.73% in 1Q15 vs. 5.70% in 2Q15) that was mainly due to loan expansion in lower margin segments such as Wholesale Banking and Mortgages. Nevertheless, the NIM after provisions registered significant growth of +24 bps QoQ and +38 bps YoY.</w:t>
      </w:r>
    </w:p>
    <w:p>
      <w:pPr>
        <w:spacing w:after="0" w:line="15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Total loans </w:t>
      </w:r>
      <w:r>
        <w:rPr>
          <w:rFonts w:ascii="Arial" w:cs="Arial" w:eastAsia="Arial" w:hAnsi="Arial"/>
          <w:sz w:val="17"/>
          <w:szCs w:val="17"/>
          <w:color w:val="auto"/>
        </w:rPr>
        <w:t>at Credicorp grew +2.3% QoQ in quarter-end balances, and +3.8% QoQ in average daily balances. Loan growth continued to be driven by</w:t>
      </w:r>
      <w:r>
        <w:rPr>
          <w:rFonts w:ascii="Arial" w:cs="Arial" w:eastAsia="Arial" w:hAnsi="Arial"/>
          <w:sz w:val="17"/>
          <w:szCs w:val="17"/>
          <w:b w:val="1"/>
          <w:bCs w:val="1"/>
          <w:color w:val="auto"/>
        </w:rPr>
        <w:t xml:space="preserve"> </w:t>
      </w:r>
      <w:r>
        <w:rPr>
          <w:rFonts w:ascii="Arial" w:cs="Arial" w:eastAsia="Arial" w:hAnsi="Arial"/>
          <w:sz w:val="17"/>
          <w:szCs w:val="17"/>
          <w:color w:val="auto"/>
        </w:rPr>
        <w:t>Wholesale Banking while Retail Banking, despite posting a higher growth rate YoY, registered a slightly lower growth rate QoQ than that posted in 1Q15. A comparison of the expansion rates of quarter-end balances vs. average daily balances shows a significant difference between the two, which was attributable to the amortization of several loans in foreign currency (FC) at quarter-end, which had a less significant impact on average daily balances in 2Q15. In terms of real growth, quarter-end balances expanded +1.2% QoQ and average daily balances +3.0% QoQ, which indicates a better dynamic this quarter in comparison to that registered in 1Q15 (+0.5% QoQ in quarter-end balances and +2.4% QoQ in average daily balances).</w:t>
      </w:r>
    </w:p>
    <w:p>
      <w:pPr>
        <w:spacing w:after="0" w:line="17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terms of business segments, Wholesale Banking continued to lead loan expansion (+5.5% QoQ, +22.7% YoY). This was due mainly to the increase in working capital, and medium &amp; long term financing, primarily in local currency (LC). In Retail Banking (+2.5% QoQ, +13.1% YoY) loan growth was due to improvements in the evolution of the Mortgage, Credit card, SME-Business and Consumer segments, which offset the slight contraction in the SME-Pyme segment. Mibanco’s loans in average daily balances fell -1.3% QoQ but increased +3% YoY, which represents a low level of business due to the fact that efforts continue to be focused on the merger and clean-up of the pre-acquisition loan book. In the case of BCP Bolivia and ASB, both portfolios continued to register good growth with rates of +6% and +8.2% QoQ, respectively, which represents an expansion of +26% and +27.1% YoY, respectively.</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composition of loans by currency reflects on-going growth in the LC portfolio, which expanded +7.6% QoQ. This offset the decline in the FC portfolio, mainly at BCP Stand-alone (-2.4% QoQ). In this context, LC loans’ share of total loans at Credicorp rose from 53.4% in 1Q15 to 55.4% at the end of 2Q15. BCP Stand-alone, where the de-dollarization plan required by BCRP is being applied, posted a high level of compliance given that the total portfolio in FC subject to the plan had fallen 21% by the end of June (vs. the goal to reduce it by 5%), while the Mortgage and Car loans contracted 19% (vs. the goal to reduce it by 10%).</w:t>
      </w:r>
    </w:p>
    <w:p>
      <w:pPr>
        <w:spacing w:after="0" w:line="184"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b w:val="1"/>
          <w:bCs w:val="1"/>
          <w:color w:val="auto"/>
        </w:rPr>
        <w:t>funding cost</w:t>
      </w:r>
      <w:r>
        <w:rPr>
          <w:rFonts w:ascii="Arial" w:cs="Arial" w:eastAsia="Arial" w:hAnsi="Arial"/>
          <w:sz w:val="17"/>
          <w:szCs w:val="17"/>
          <w:color w:val="auto"/>
        </w:rPr>
        <w:t xml:space="preserve"> at Credicorp and BCP Stand-alone remained at low levels, posting only slight growth QoQ (+3 bps and +8 bps, respectively). This was basically the result of an increase in the use of BCRP instruments (+25.8% QoQ), that allowed us to improve our long-term funding position, with tenure between two and four years, at a low cost. These instruments accompanied the expansion and conversion of LC and FC loans, respectively.</w:t>
      </w:r>
    </w:p>
    <w:p>
      <w:pPr>
        <w:spacing w:after="0" w:line="15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loan to deposit ratio</w:t>
      </w:r>
      <w:r>
        <w:rPr>
          <w:rFonts w:ascii="Arial" w:cs="Arial" w:eastAsia="Arial" w:hAnsi="Arial"/>
          <w:sz w:val="18"/>
          <w:szCs w:val="18"/>
          <w:color w:val="auto"/>
        </w:rPr>
        <w:t xml:space="preserve"> (L/D) at Credicorp remained stable QoQ while BCP Stand-alone’s ratio increased 100 bps QoQ. In BCP Stand-alone’s case, the LC L/D ratio was situated at 134.7%, which represented an increase of +1,540 bps QoQ; and the FC L/D ratio was situated at 82.1%, which indicates a reduction of -1,040 bps QoQ. The evolution of the LC ratio does not represent a risky situation but reflects the improvement in the composition of funding after increasing the share of more stable and long-term funds, such as BCRP instruments. Moreover, these instruments replaced Time deposits, which have an average tenure of 180 days, carry higher cost, and are less stable.</w:t>
      </w:r>
    </w:p>
    <w:p>
      <w:pPr>
        <w:spacing w:after="0" w:line="18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Net provisions for loan losses </w:t>
      </w:r>
      <w:r>
        <w:rPr>
          <w:rFonts w:ascii="Arial" w:cs="Arial" w:eastAsia="Arial" w:hAnsi="Arial"/>
          <w:sz w:val="18"/>
          <w:szCs w:val="18"/>
          <w:color w:val="auto"/>
        </w:rPr>
        <w:t>fell -14% QoQ, which was mainly attributable to an improvement in the risk quality of new vintages at BCP. In this context,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cost of risk registered its lowest level in 2 years, situating at 2.07% at the end of 2Q15. The PDL and NPL ratios deteriorated primarily due to the impact of (i) the maturity of the refinanced loan portfolio; (ii) high levels of collateral in some segments, which impedes writing-off debt even the loan is provisioned, because a legal process is required; and (iii) the low level of origination of post-adjustment vintages. The </w:t>
      </w:r>
      <w:r>
        <w:rPr>
          <w:rFonts w:ascii="Arial" w:cs="Arial" w:eastAsia="Arial" w:hAnsi="Arial"/>
          <w:sz w:val="18"/>
          <w:szCs w:val="18"/>
          <w:b w:val="1"/>
          <w:bCs w:val="1"/>
          <w:color w:val="auto"/>
        </w:rPr>
        <w:t>Coverage of PDLs and NPLs</w:t>
      </w:r>
      <w:r>
        <w:rPr>
          <w:rFonts w:ascii="Arial" w:cs="Arial" w:eastAsia="Arial" w:hAnsi="Arial"/>
          <w:sz w:val="18"/>
          <w:szCs w:val="18"/>
          <w:color w:val="auto"/>
        </w:rPr>
        <w:t xml:space="preserve"> remained at good levels, situating at 159.2% and 121.9% respectively.</w:t>
      </w:r>
    </w:p>
    <w:p>
      <w:pPr>
        <w:spacing w:after="0" w:line="397" w:lineRule="exact"/>
        <w:rPr>
          <w:sz w:val="20"/>
          <w:szCs w:val="20"/>
          <w:color w:val="auto"/>
        </w:rPr>
      </w:pPr>
    </w:p>
    <w:p>
      <w:pPr>
        <w:ind w:left="1132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p>
      <w:pPr>
        <w:jc w:val="both"/>
        <w:spacing w:after="0" w:line="261" w:lineRule="auto"/>
        <w:rPr>
          <w:sz w:val="20"/>
          <w:szCs w:val="20"/>
          <w:color w:val="auto"/>
        </w:rPr>
      </w:pPr>
      <w:r>
        <w:rPr>
          <w:rFonts w:ascii="Arial" w:cs="Arial" w:eastAsia="Arial" w:hAnsi="Arial"/>
          <w:sz w:val="18"/>
          <w:szCs w:val="18"/>
          <w:b w:val="1"/>
          <w:bCs w:val="1"/>
          <w:color w:val="auto"/>
        </w:rPr>
        <w:t xml:space="preserve">Non-financial income </w:t>
      </w:r>
      <w:r>
        <w:rPr>
          <w:rFonts w:ascii="Arial" w:cs="Arial" w:eastAsia="Arial" w:hAnsi="Arial"/>
          <w:sz w:val="18"/>
          <w:szCs w:val="18"/>
          <w:color w:val="auto"/>
        </w:rPr>
        <w:t>fell -13.5% QoQ, this was basically the effect of non-recurring income that was registered last quarter due to the joint venture between</w:t>
      </w:r>
      <w:r>
        <w:rPr>
          <w:rFonts w:ascii="Arial" w:cs="Arial" w:eastAsia="Arial" w:hAnsi="Arial"/>
          <w:sz w:val="18"/>
          <w:szCs w:val="18"/>
          <w:b w:val="1"/>
          <w:bCs w:val="1"/>
          <w:color w:val="auto"/>
        </w:rPr>
        <w:t xml:space="preserve"> </w:t>
      </w:r>
      <w:r>
        <w:rPr>
          <w:rFonts w:ascii="Arial" w:cs="Arial" w:eastAsia="Arial" w:hAnsi="Arial"/>
          <w:sz w:val="18"/>
          <w:szCs w:val="18"/>
          <w:color w:val="auto"/>
        </w:rPr>
        <w:t>the Grupo Pacífico and Banmédica in the health business. The YoY evolution of this income shows an increase of +9.4%, which was in line with expectations. It is important to note that fee income, which is core non-financial income, grew +5.2% QoQ and +17.8% YoY. This recovery attenuated the contraction in other lines of non-financial income.</w:t>
      </w:r>
    </w:p>
    <w:p>
      <w:pPr>
        <w:spacing w:after="0" w:line="18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Net earned premiums </w:t>
      </w:r>
      <w:r>
        <w:rPr>
          <w:rFonts w:ascii="Arial" w:cs="Arial" w:eastAsia="Arial" w:hAnsi="Arial"/>
          <w:sz w:val="18"/>
          <w:szCs w:val="18"/>
          <w:color w:val="auto"/>
        </w:rPr>
        <w:t>increased +5.6% QoQ. This was mainly due to an increase in premium turnover in the property and casualty (P&amp;C) business, and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traditional P&amp;C and private health insurance in particular. </w:t>
      </w:r>
      <w:r>
        <w:rPr>
          <w:rFonts w:ascii="Arial" w:cs="Arial" w:eastAsia="Arial" w:hAnsi="Arial"/>
          <w:sz w:val="18"/>
          <w:szCs w:val="18"/>
          <w:b w:val="1"/>
          <w:bCs w:val="1"/>
          <w:color w:val="auto"/>
        </w:rPr>
        <w:t>Net claims</w:t>
      </w:r>
      <w:r>
        <w:rPr>
          <w:rFonts w:ascii="Arial" w:cs="Arial" w:eastAsia="Arial" w:hAnsi="Arial"/>
          <w:sz w:val="18"/>
          <w:szCs w:val="18"/>
          <w:color w:val="auto"/>
        </w:rPr>
        <w:t xml:space="preserve"> rose +10.8% QoQ due to an increase in direct claims in both, the P&amp;C and life insurance businesses. In P&amp;C, the loss ratio rose primarily due to two corporate claims in the marine hulls segment. Nevertheless, the aforementioned was lessened by lower claims in private health and car insurance, which was attributable to recent initiatives to improve the profitability of both businesses. The </w:t>
      </w:r>
      <w:r>
        <w:rPr>
          <w:rFonts w:ascii="Arial" w:cs="Arial" w:eastAsia="Arial" w:hAnsi="Arial"/>
          <w:sz w:val="18"/>
          <w:szCs w:val="18"/>
          <w:b w:val="1"/>
          <w:bCs w:val="1"/>
          <w:color w:val="auto"/>
        </w:rPr>
        <w:t xml:space="preserve">acquisition cost </w:t>
      </w:r>
      <w:r>
        <w:rPr>
          <w:rFonts w:ascii="Arial" w:cs="Arial" w:eastAsia="Arial" w:hAnsi="Arial"/>
          <w:sz w:val="18"/>
          <w:szCs w:val="18"/>
          <w:color w:val="auto"/>
        </w:rPr>
        <w:t>fell -7.5% QoQ, mainly due to a decrease in fees paid and the fact that the P&amp;C business reported a lower net underwriting expense. In this</w:t>
      </w:r>
      <w:r>
        <w:rPr>
          <w:rFonts w:ascii="Arial" w:cs="Arial" w:eastAsia="Arial" w:hAnsi="Arial"/>
          <w:sz w:val="18"/>
          <w:szCs w:val="18"/>
          <w:b w:val="1"/>
          <w:bCs w:val="1"/>
          <w:color w:val="auto"/>
        </w:rPr>
        <w:t xml:space="preserve"> </w:t>
      </w:r>
      <w:r>
        <w:rPr>
          <w:rFonts w:ascii="Arial" w:cs="Arial" w:eastAsia="Arial" w:hAnsi="Arial"/>
          <w:sz w:val="18"/>
          <w:szCs w:val="18"/>
          <w:color w:val="auto"/>
        </w:rPr>
        <w:t>context, the underwriting result grew +11.7% QoQ.</w:t>
      </w:r>
    </w:p>
    <w:p>
      <w:pPr>
        <w:spacing w:after="0" w:line="18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In terms of </w:t>
      </w:r>
      <w:r>
        <w:rPr>
          <w:rFonts w:ascii="Arial" w:cs="Arial" w:eastAsia="Arial" w:hAnsi="Arial"/>
          <w:sz w:val="18"/>
          <w:szCs w:val="18"/>
          <w:b w:val="1"/>
          <w:bCs w:val="1"/>
          <w:color w:val="auto"/>
        </w:rPr>
        <w:t>operating efficiency</w:t>
      </w:r>
      <w:r>
        <w:rPr>
          <w:rFonts w:ascii="Arial" w:cs="Arial" w:eastAsia="Arial" w:hAnsi="Arial"/>
          <w:sz w:val="18"/>
          <w:szCs w:val="18"/>
          <w:color w:val="auto"/>
        </w:rPr>
        <w:t>, the efficiency ratio was situated at 41.6%. This was slightly above the figure reported in 1Q15 (40.7%) but was in line with expectations. The aforementioned, was attributable to an increase in administrative and general expenses, which was associated mainly with seasonality in 1Q. In YoY terms, operating expenses rose only +2.8% due to the Efficiency program that has been underway since 2014, which led to a -230 bps drop in the efficiency ratio YoY.</w:t>
      </w:r>
    </w:p>
    <w:p>
      <w:pPr>
        <w:spacing w:after="0" w:line="184"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 xml:space="preserve">Finally, with regard to capital, Credicorp maintained a comfortable level of capitalization that at the end of 2Q15 represented 1.19 times the capital required by the Peruvian regulator. At BCP Stand-alone (in Peru GAAP), the ratios continued to be highly adequate and were above the regulatory limit with a </w:t>
      </w:r>
      <w:r>
        <w:rPr>
          <w:rFonts w:ascii="Arial" w:cs="Arial" w:eastAsia="Arial" w:hAnsi="Arial"/>
          <w:sz w:val="17"/>
          <w:szCs w:val="17"/>
          <w:b w:val="1"/>
          <w:bCs w:val="1"/>
          <w:color w:val="auto"/>
        </w:rPr>
        <w:t>BIS</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ratio </w:t>
      </w:r>
      <w:r>
        <w:rPr>
          <w:rFonts w:ascii="Arial" w:cs="Arial" w:eastAsia="Arial" w:hAnsi="Arial"/>
          <w:sz w:val="17"/>
          <w:szCs w:val="17"/>
          <w:color w:val="auto"/>
        </w:rPr>
        <w:t>of 14.38%,</w:t>
      </w:r>
      <w:r>
        <w:rPr>
          <w:rFonts w:ascii="Arial" w:cs="Arial" w:eastAsia="Arial" w:hAnsi="Arial"/>
          <w:sz w:val="17"/>
          <w:szCs w:val="17"/>
          <w:b w:val="1"/>
          <w:bCs w:val="1"/>
          <w:color w:val="auto"/>
        </w:rPr>
        <w:t xml:space="preserve"> Tier 1 </w:t>
      </w:r>
      <w:r>
        <w:rPr>
          <w:rFonts w:ascii="Arial" w:cs="Arial" w:eastAsia="Arial" w:hAnsi="Arial"/>
          <w:sz w:val="17"/>
          <w:szCs w:val="17"/>
          <w:color w:val="auto"/>
        </w:rPr>
        <w:t>of 9.62%, and, perhaps most noteworthy, a</w:t>
      </w:r>
      <w:r>
        <w:rPr>
          <w:rFonts w:ascii="Arial" w:cs="Arial" w:eastAsia="Arial" w:hAnsi="Arial"/>
          <w:sz w:val="17"/>
          <w:szCs w:val="17"/>
          <w:b w:val="1"/>
          <w:bCs w:val="1"/>
          <w:color w:val="auto"/>
        </w:rPr>
        <w:t xml:space="preserve"> Tier 1 common equity </w:t>
      </w:r>
      <w:r>
        <w:rPr>
          <w:rFonts w:ascii="Arial" w:cs="Arial" w:eastAsia="Arial" w:hAnsi="Arial"/>
          <w:sz w:val="17"/>
          <w:szCs w:val="17"/>
          <w:color w:val="auto"/>
        </w:rPr>
        <w:t>increased to 8.38% vs. 7.87% in 1Q15.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Credicorp and subsidiaries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40" w:type="dxa"/>
            <w:vAlign w:val="bottom"/>
            <w:gridSpan w:val="3"/>
          </w:tcPr>
          <w:p>
            <w:pPr>
              <w:spacing w:after="0"/>
              <w:rPr>
                <w:sz w:val="20"/>
                <w:szCs w:val="20"/>
                <w:color w:val="auto"/>
              </w:rPr>
            </w:pPr>
            <w:r>
              <w:rPr>
                <w:rFonts w:ascii="Arial" w:cs="Arial" w:eastAsia="Arial" w:hAnsi="Arial"/>
                <w:sz w:val="14"/>
                <w:szCs w:val="14"/>
                <w:b w:val="1"/>
                <w:bCs w:val="1"/>
                <w:color w:val="auto"/>
              </w:rPr>
              <w:t>Earnings contribution</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8"/>
              </w:rPr>
              <w:t>Quarter</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60" w:type="dxa"/>
            <w:vAlign w:val="bottom"/>
            <w:gridSpan w:val="4"/>
          </w:tcPr>
          <w:p>
            <w:pPr>
              <w:ind w:left="120"/>
              <w:spacing w:after="0"/>
              <w:rPr>
                <w:sz w:val="20"/>
                <w:szCs w:val="20"/>
                <w:color w:val="auto"/>
              </w:rPr>
            </w:pPr>
            <w:r>
              <w:rPr>
                <w:rFonts w:ascii="Arial" w:cs="Arial" w:eastAsia="Arial" w:hAnsi="Arial"/>
                <w:sz w:val="14"/>
                <w:szCs w:val="14"/>
                <w:b w:val="1"/>
                <w:bCs w:val="1"/>
                <w:color w:val="auto"/>
              </w:rPr>
              <w:t>% change</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 change</w:t>
            </w:r>
          </w:p>
        </w:tc>
      </w:tr>
      <w:tr>
        <w:trPr>
          <w:trHeight w:val="171"/>
        </w:trPr>
        <w:tc>
          <w:tcPr>
            <w:tcW w:w="23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000</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2Q14</w:t>
            </w: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9"/>
              </w:rPr>
              <w:t>1Q15</w:t>
            </w: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2Q15</w:t>
            </w: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w w:val="92"/>
              </w:rPr>
              <w:t>QoQ</w:t>
            </w:r>
          </w:p>
        </w:tc>
        <w:tc>
          <w:tcPr>
            <w:tcW w:w="300" w:type="dxa"/>
            <w:vAlign w:val="bottom"/>
            <w:tcBorders>
              <w:bottom w:val="single" w:sz="8" w:color="auto"/>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w w:val="95"/>
              </w:rPr>
              <w:t>YoY</w:t>
            </w:r>
          </w:p>
        </w:tc>
        <w:tc>
          <w:tcPr>
            <w:tcW w:w="300" w:type="dxa"/>
            <w:vAlign w:val="bottom"/>
            <w:tcBorders>
              <w:bottom w:val="single" w:sz="8" w:color="auto"/>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1H14</w:t>
            </w: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1H15</w:t>
            </w:r>
          </w:p>
        </w:tc>
        <w:tc>
          <w:tcPr>
            <w:tcW w:w="2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1H15 / 1H14</w:t>
            </w:r>
          </w:p>
        </w:tc>
        <w:tc>
          <w:tcPr>
            <w:tcW w:w="140" w:type="dxa"/>
            <w:vAlign w:val="bottom"/>
            <w:tcBorders>
              <w:bottom w:val="single" w:sz="8" w:color="CCEEFF"/>
            </w:tcBorders>
          </w:tcPr>
          <w:p>
            <w:pPr>
              <w:spacing w:after="0"/>
              <w:rPr>
                <w:sz w:val="14"/>
                <w:szCs w:val="14"/>
                <w:color w:val="auto"/>
              </w:rPr>
            </w:pPr>
          </w:p>
        </w:tc>
      </w:tr>
      <w:tr>
        <w:trPr>
          <w:trHeight w:val="183"/>
        </w:trPr>
        <w:tc>
          <w:tcPr>
            <w:tcW w:w="2300" w:type="dxa"/>
            <w:vAlign w:val="bottom"/>
            <w:shd w:val="clear" w:color="auto" w:fill="CCEEFF"/>
          </w:tcPr>
          <w:p>
            <w:pPr>
              <w:spacing w:after="0" w:line="183" w:lineRule="exact"/>
              <w:rPr>
                <w:sz w:val="20"/>
                <w:szCs w:val="20"/>
                <w:color w:val="auto"/>
              </w:rPr>
            </w:pPr>
            <w:r>
              <w:rPr>
                <w:rFonts w:ascii="Arial" w:cs="Arial" w:eastAsia="Arial" w:hAnsi="Arial"/>
                <w:sz w:val="13"/>
                <w:szCs w:val="13"/>
                <w:color w:val="auto"/>
              </w:rPr>
              <w:t xml:space="preserve">Banco de Crédito BCP </w:t>
            </w:r>
            <w:r>
              <w:rPr>
                <w:rFonts w:ascii="Arial" w:cs="Arial" w:eastAsia="Arial" w:hAnsi="Arial"/>
                <w:sz w:val="21"/>
                <w:szCs w:val="21"/>
                <w:color w:val="auto"/>
                <w:vertAlign w:val="superscript"/>
              </w:rPr>
              <w:t>(1)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422,951</w:t>
            </w: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579,135</w:t>
            </w: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605,642</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4.6 %</w:t>
            </w: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43.2%</w:t>
            </w: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889,879</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1,184,777</w:t>
            </w:r>
          </w:p>
        </w:tc>
        <w:tc>
          <w:tcPr>
            <w:tcW w:w="200" w:type="dxa"/>
            <w:vAlign w:val="bottom"/>
            <w:shd w:val="clear" w:color="auto" w:fill="CCEEFF"/>
          </w:tcPr>
          <w:p>
            <w:pPr>
              <w:spacing w:after="0"/>
              <w:rPr>
                <w:sz w:val="15"/>
                <w:szCs w:val="15"/>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33.1 %</w:t>
            </w:r>
          </w:p>
        </w:tc>
      </w:tr>
      <w:tr>
        <w:trPr>
          <w:trHeight w:val="189"/>
        </w:trPr>
        <w:tc>
          <w:tcPr>
            <w:tcW w:w="2540" w:type="dxa"/>
            <w:vAlign w:val="bottom"/>
            <w:gridSpan w:val="3"/>
          </w:tcPr>
          <w:p>
            <w:pPr>
              <w:ind w:left="200"/>
              <w:spacing w:after="0" w:line="189" w:lineRule="exact"/>
              <w:rPr>
                <w:sz w:val="20"/>
                <w:szCs w:val="20"/>
                <w:color w:val="auto"/>
              </w:rPr>
            </w:pPr>
            <w:r>
              <w:rPr>
                <w:rFonts w:ascii="Arial" w:cs="Arial" w:eastAsia="Arial" w:hAnsi="Arial"/>
                <w:sz w:val="13"/>
                <w:szCs w:val="13"/>
                <w:color w:val="auto"/>
              </w:rPr>
              <w:t xml:space="preserve">Mibanco </w:t>
            </w:r>
            <w:r>
              <w:rPr>
                <w:rFonts w:ascii="Arial" w:cs="Arial" w:eastAsia="Arial" w:hAnsi="Arial"/>
                <w:sz w:val="21"/>
                <w:szCs w:val="21"/>
                <w:color w:val="auto"/>
                <w:vertAlign w:val="superscript"/>
              </w:rPr>
              <w:t>(2)</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31,925</w:t>
            </w:r>
          </w:p>
        </w:tc>
        <w:tc>
          <w:tcPr>
            <w:tcW w:w="10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39,784</w:t>
            </w:r>
          </w:p>
        </w:tc>
        <w:tc>
          <w:tcPr>
            <w:tcW w:w="10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46,517</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4"/>
                <w:szCs w:val="14"/>
                <w:color w:val="auto"/>
              </w:rPr>
              <w:t>16.9%</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4"/>
                <w:szCs w:val="14"/>
                <w:color w:val="auto"/>
              </w:rPr>
              <w:t>45.7%</w:t>
            </w:r>
          </w:p>
        </w:tc>
        <w:tc>
          <w:tcPr>
            <w:tcW w:w="12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31,925</w:t>
            </w:r>
          </w:p>
        </w:tc>
        <w:tc>
          <w:tcPr>
            <w:tcW w:w="12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86,301</w:t>
            </w:r>
          </w:p>
        </w:tc>
        <w:tc>
          <w:tcPr>
            <w:tcW w:w="1060" w:type="dxa"/>
            <w:vAlign w:val="bottom"/>
            <w:gridSpan w:val="3"/>
          </w:tcPr>
          <w:p>
            <w:pPr>
              <w:jc w:val="right"/>
              <w:ind w:right="20"/>
              <w:spacing w:after="0"/>
              <w:rPr>
                <w:sz w:val="20"/>
                <w:szCs w:val="20"/>
                <w:color w:val="auto"/>
              </w:rPr>
            </w:pPr>
            <w:r>
              <w:rPr>
                <w:rFonts w:ascii="Arial" w:cs="Arial" w:eastAsia="Arial" w:hAnsi="Arial"/>
                <w:sz w:val="14"/>
                <w:szCs w:val="14"/>
                <w:color w:val="auto"/>
              </w:rPr>
              <w:t>170.3%</w:t>
            </w:r>
          </w:p>
        </w:tc>
      </w:tr>
      <w:tr>
        <w:trPr>
          <w:trHeight w:val="189"/>
        </w:trPr>
        <w:tc>
          <w:tcPr>
            <w:tcW w:w="2540" w:type="dxa"/>
            <w:vAlign w:val="bottom"/>
            <w:gridSpan w:val="3"/>
            <w:shd w:val="clear" w:color="auto" w:fill="CCEEFF"/>
          </w:tcPr>
          <w:p>
            <w:pPr>
              <w:ind w:left="200"/>
              <w:spacing w:after="0" w:line="189" w:lineRule="exact"/>
              <w:rPr>
                <w:sz w:val="20"/>
                <w:szCs w:val="20"/>
                <w:color w:val="auto"/>
              </w:rPr>
            </w:pPr>
            <w:r>
              <w:rPr>
                <w:rFonts w:ascii="Arial" w:cs="Arial" w:eastAsia="Arial" w:hAnsi="Arial"/>
                <w:sz w:val="21"/>
                <w:szCs w:val="21"/>
                <w:color w:val="auto"/>
                <w:vertAlign w:val="subscript"/>
              </w:rPr>
              <w:t>BCB</w:t>
            </w:r>
            <w:r>
              <w:rPr>
                <w:rFonts w:ascii="Arial" w:cs="Arial" w:eastAsia="Arial" w:hAnsi="Arial"/>
                <w:sz w:val="10"/>
                <w:szCs w:val="10"/>
                <w:color w:val="auto"/>
              </w:rPr>
              <w:t xml:space="preserve"> (3)</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19,016</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14,326</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11,167</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0"/>
              </w:rPr>
              <w:t>-22.1%</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0"/>
              </w:rPr>
              <w:t>-41.3%</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34,497</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25,493</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-26.1%</w:t>
            </w:r>
          </w:p>
        </w:tc>
      </w:tr>
      <w:tr>
        <w:trPr>
          <w:trHeight w:val="189"/>
        </w:trPr>
        <w:tc>
          <w:tcPr>
            <w:tcW w:w="2540" w:type="dxa"/>
            <w:vAlign w:val="bottom"/>
            <w:gridSpan w:val="3"/>
          </w:tcPr>
          <w:p>
            <w:pPr>
              <w:spacing w:after="0" w:line="189" w:lineRule="exact"/>
              <w:rPr>
                <w:sz w:val="20"/>
                <w:szCs w:val="20"/>
                <w:color w:val="auto"/>
              </w:rPr>
            </w:pPr>
            <w:r>
              <w:rPr>
                <w:rFonts w:ascii="Arial" w:cs="Arial" w:eastAsia="Arial" w:hAnsi="Arial"/>
                <w:sz w:val="13"/>
                <w:szCs w:val="13"/>
                <w:color w:val="auto"/>
              </w:rPr>
              <w:t xml:space="preserve">Grupo Pacífico </w:t>
            </w:r>
            <w:r>
              <w:rPr>
                <w:rFonts w:ascii="Arial" w:cs="Arial" w:eastAsia="Arial" w:hAnsi="Arial"/>
                <w:sz w:val="21"/>
                <w:szCs w:val="21"/>
                <w:color w:val="auto"/>
                <w:vertAlign w:val="superscript"/>
              </w:rPr>
              <w:t>(4)</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46,432</w:t>
            </w:r>
          </w:p>
        </w:tc>
        <w:tc>
          <w:tcPr>
            <w:tcW w:w="10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168,048</w:t>
            </w:r>
          </w:p>
        </w:tc>
        <w:tc>
          <w:tcPr>
            <w:tcW w:w="10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66,053</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4"/>
                <w:szCs w:val="14"/>
                <w:color w:val="auto"/>
                <w:w w:val="90"/>
              </w:rPr>
              <w:t>-60.7%</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4"/>
                <w:szCs w:val="14"/>
                <w:color w:val="auto"/>
              </w:rPr>
              <w:t>42.3%</w:t>
            </w:r>
          </w:p>
        </w:tc>
        <w:tc>
          <w:tcPr>
            <w:tcW w:w="12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84,349</w:t>
            </w:r>
          </w:p>
        </w:tc>
        <w:tc>
          <w:tcPr>
            <w:tcW w:w="12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234,101</w:t>
            </w:r>
          </w:p>
        </w:tc>
        <w:tc>
          <w:tcPr>
            <w:tcW w:w="1060" w:type="dxa"/>
            <w:vAlign w:val="bottom"/>
            <w:gridSpan w:val="3"/>
          </w:tcPr>
          <w:p>
            <w:pPr>
              <w:jc w:val="right"/>
              <w:ind w:right="20"/>
              <w:spacing w:after="0"/>
              <w:rPr>
                <w:sz w:val="20"/>
                <w:szCs w:val="20"/>
                <w:color w:val="auto"/>
              </w:rPr>
            </w:pPr>
            <w:r>
              <w:rPr>
                <w:rFonts w:ascii="Arial" w:cs="Arial" w:eastAsia="Arial" w:hAnsi="Arial"/>
                <w:sz w:val="14"/>
                <w:szCs w:val="14"/>
                <w:color w:val="auto"/>
              </w:rPr>
              <w:t>177.5%</w:t>
            </w:r>
          </w:p>
        </w:tc>
      </w:tr>
      <w:tr>
        <w:trPr>
          <w:trHeight w:val="149"/>
        </w:trPr>
        <w:tc>
          <w:tcPr>
            <w:tcW w:w="25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Atlantic Security Bank</w:t>
            </w: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80,071</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19,734</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30,445</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54.3%</w:t>
            </w: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0"/>
              </w:rPr>
              <w:t>-62.0%</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109,713</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50,179</w:t>
            </w:r>
          </w:p>
        </w:tc>
        <w:tc>
          <w:tcPr>
            <w:tcW w:w="106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-54.3%</w:t>
            </w:r>
          </w:p>
        </w:tc>
      </w:tr>
      <w:tr>
        <w:trPr>
          <w:trHeight w:val="149"/>
        </w:trPr>
        <w:tc>
          <w:tcPr>
            <w:tcW w:w="2540" w:type="dxa"/>
            <w:vAlign w:val="bottom"/>
            <w:gridSpan w:val="3"/>
          </w:tcPr>
          <w:p>
            <w:pPr>
              <w:spacing w:after="0" w:line="149" w:lineRule="exact"/>
              <w:rPr>
                <w:sz w:val="20"/>
                <w:szCs w:val="20"/>
                <w:color w:val="auto"/>
              </w:rPr>
            </w:pPr>
            <w:r>
              <w:rPr>
                <w:rFonts w:ascii="Arial" w:cs="Arial" w:eastAsia="Arial" w:hAnsi="Arial"/>
                <w:sz w:val="14"/>
                <w:szCs w:val="14"/>
                <w:color w:val="auto"/>
              </w:rPr>
              <w:t>Prima</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40,787</w:t>
            </w:r>
          </w:p>
        </w:tc>
        <w:tc>
          <w:tcPr>
            <w:tcW w:w="10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40,287</w:t>
            </w:r>
          </w:p>
        </w:tc>
        <w:tc>
          <w:tcPr>
            <w:tcW w:w="10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43,338</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7.6%</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6.3%</w:t>
            </w:r>
          </w:p>
        </w:tc>
        <w:tc>
          <w:tcPr>
            <w:tcW w:w="12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78,914</w:t>
            </w:r>
          </w:p>
        </w:tc>
        <w:tc>
          <w:tcPr>
            <w:tcW w:w="12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83,625</w:t>
            </w:r>
          </w:p>
        </w:tc>
        <w:tc>
          <w:tcPr>
            <w:tcW w:w="106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6.0%</w:t>
            </w:r>
          </w:p>
        </w:tc>
      </w:tr>
      <w:tr>
        <w:trPr>
          <w:trHeight w:val="189"/>
        </w:trPr>
        <w:tc>
          <w:tcPr>
            <w:tcW w:w="2540" w:type="dxa"/>
            <w:vAlign w:val="bottom"/>
            <w:gridSpan w:val="3"/>
            <w:shd w:val="clear" w:color="auto" w:fill="CCEEFF"/>
          </w:tcPr>
          <w:p>
            <w:pPr>
              <w:spacing w:after="0" w:line="189" w:lineRule="exact"/>
              <w:rPr>
                <w:sz w:val="20"/>
                <w:szCs w:val="20"/>
                <w:color w:val="auto"/>
              </w:rPr>
            </w:pPr>
            <w:r>
              <w:rPr>
                <w:rFonts w:ascii="Arial" w:cs="Arial" w:eastAsia="Arial" w:hAnsi="Arial"/>
                <w:sz w:val="13"/>
                <w:szCs w:val="13"/>
                <w:color w:val="auto"/>
              </w:rPr>
              <w:t xml:space="preserve">Credicorp Capital </w:t>
            </w:r>
            <w:r>
              <w:rPr>
                <w:rFonts w:ascii="Arial" w:cs="Arial" w:eastAsia="Arial" w:hAnsi="Arial"/>
                <w:sz w:val="21"/>
                <w:szCs w:val="21"/>
                <w:color w:val="auto"/>
                <w:vertAlign w:val="superscript"/>
              </w:rPr>
              <w:t>(5)</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12,105</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17,402</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16,692</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-4.1%</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37.9%</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28,428</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34,094</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19.9%</w:t>
            </w:r>
          </w:p>
        </w:tc>
      </w:tr>
      <w:tr>
        <w:trPr>
          <w:trHeight w:val="189"/>
        </w:trPr>
        <w:tc>
          <w:tcPr>
            <w:tcW w:w="2540" w:type="dxa"/>
            <w:vAlign w:val="bottom"/>
            <w:gridSpan w:val="3"/>
          </w:tcPr>
          <w:p>
            <w:pPr>
              <w:spacing w:after="0" w:line="189" w:lineRule="exact"/>
              <w:rPr>
                <w:sz w:val="20"/>
                <w:szCs w:val="20"/>
                <w:color w:val="auto"/>
              </w:rPr>
            </w:pPr>
            <w:r>
              <w:rPr>
                <w:rFonts w:ascii="Arial" w:cs="Arial" w:eastAsia="Arial" w:hAnsi="Arial"/>
                <w:sz w:val="13"/>
                <w:szCs w:val="13"/>
                <w:color w:val="auto"/>
              </w:rPr>
              <w:t xml:space="preserve">Others </w:t>
            </w:r>
            <w:r>
              <w:rPr>
                <w:rFonts w:ascii="Arial" w:cs="Arial" w:eastAsia="Arial" w:hAnsi="Arial"/>
                <w:sz w:val="21"/>
                <w:szCs w:val="21"/>
                <w:color w:val="auto"/>
                <w:vertAlign w:val="superscript"/>
              </w:rPr>
              <w:t>(6)</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(17,661)</w:t>
            </w:r>
          </w:p>
        </w:tc>
        <w:tc>
          <w:tcPr>
            <w:tcW w:w="1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(19,871)</w:t>
            </w:r>
          </w:p>
        </w:tc>
        <w:tc>
          <w:tcPr>
            <w:tcW w:w="1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(12,874)</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4"/>
                <w:szCs w:val="14"/>
                <w:color w:val="auto"/>
                <w:w w:val="90"/>
              </w:rPr>
              <w:t>-35.2%</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4"/>
                <w:szCs w:val="14"/>
                <w:color w:val="auto"/>
                <w:w w:val="90"/>
              </w:rPr>
              <w:t>-27.1%</w:t>
            </w:r>
          </w:p>
        </w:tc>
        <w:tc>
          <w:tcPr>
            <w:tcW w:w="12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55,528</w:t>
            </w:r>
          </w:p>
        </w:tc>
        <w:tc>
          <w:tcPr>
            <w:tcW w:w="12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(32,746)</w:t>
            </w:r>
          </w:p>
        </w:tc>
        <w:tc>
          <w:tcPr>
            <w:tcW w:w="1060" w:type="dxa"/>
            <w:vAlign w:val="bottom"/>
            <w:gridSpan w:val="3"/>
          </w:tcPr>
          <w:p>
            <w:pPr>
              <w:jc w:val="right"/>
              <w:ind w:right="20"/>
              <w:spacing w:after="0"/>
              <w:rPr>
                <w:sz w:val="20"/>
                <w:szCs w:val="20"/>
                <w:color w:val="auto"/>
              </w:rPr>
            </w:pPr>
            <w:r>
              <w:rPr>
                <w:rFonts w:ascii="Arial" w:cs="Arial" w:eastAsia="Arial" w:hAnsi="Arial"/>
                <w:sz w:val="14"/>
                <w:szCs w:val="14"/>
                <w:color w:val="auto"/>
              </w:rPr>
              <w:t>-159.0%</w:t>
            </w:r>
          </w:p>
        </w:tc>
      </w:tr>
      <w:tr>
        <w:trPr>
          <w:trHeight w:val="162"/>
        </w:trPr>
        <w:tc>
          <w:tcPr>
            <w:tcW w:w="254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Net income Credicorp</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584,685</w:t>
            </w: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804,735</w:t>
            </w: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749,295</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-6.9%</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28.2%</w:t>
            </w: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1,246,810</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1,554,030</w:t>
            </w:r>
          </w:p>
        </w:tc>
        <w:tc>
          <w:tcPr>
            <w:tcW w:w="200" w:type="dxa"/>
            <w:vAlign w:val="bottom"/>
            <w:shd w:val="clear" w:color="auto" w:fill="CCEEFF"/>
          </w:tcPr>
          <w:p>
            <w:pPr>
              <w:spacing w:after="0"/>
              <w:rPr>
                <w:sz w:val="14"/>
                <w:szCs w:val="14"/>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24.6%</w:t>
            </w:r>
          </w:p>
        </w:tc>
      </w:tr>
      <w:tr>
        <w:trPr>
          <w:trHeight w:val="20"/>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ind w:right="60" w:firstLine="8"/>
        <w:spacing w:after="0" w:line="250" w:lineRule="auto"/>
        <w:tabs>
          <w:tab w:leader="none" w:pos="255"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Banco de Crédito de Bolivia and Mibanco. 1Q15 figure does not include the gain on sale of BCI shares, as it is eliminated in the consolidation to Credicorp.</w:t>
      </w:r>
    </w:p>
    <w:p>
      <w:pPr>
        <w:ind w:right="60" w:firstLine="8"/>
        <w:spacing w:after="0" w:line="250" w:lineRule="auto"/>
        <w:tabs>
          <w:tab w:leader="none" w:pos="2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figure is lower than the net income of Mibanco because Credicorp owns 96.9% of Mibanco (directly and indirectly). Consolidated results of Mibanco and Edyficar</w:t>
      </w: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figure is lower than the net income of BCB because Credicorp owns 97.7% of BCB (directly and indirectly).</w:t>
      </w:r>
    </w:p>
    <w:p>
      <w:pPr>
        <w:spacing w:after="0" w:line="9" w:lineRule="exact"/>
        <w:rPr>
          <w:rFonts w:ascii="Arial" w:cs="Arial" w:eastAsia="Arial" w:hAnsi="Arial"/>
          <w:sz w:val="18"/>
          <w:szCs w:val="18"/>
          <w:color w:val="auto"/>
        </w:rPr>
      </w:pPr>
    </w:p>
    <w:p>
      <w:pPr>
        <w:ind w:right="640" w:firstLine="8"/>
        <w:spacing w:after="0" w:line="250" w:lineRule="auto"/>
        <w:tabs>
          <w:tab w:leader="none" w:pos="252"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figure is lower than the net income before minority interest of Grupo Pacifico because Credicorp owns 98.5% of Grupo Pacifico (directly and indirectly).</w:t>
      </w: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Credicorp Capital Limited and Credicorp Capital Perú.</w:t>
      </w:r>
    </w:p>
    <w:p>
      <w:pPr>
        <w:spacing w:after="0" w:line="9" w:lineRule="exact"/>
        <w:rPr>
          <w:rFonts w:ascii="Arial" w:cs="Arial" w:eastAsia="Arial" w:hAnsi="Arial"/>
          <w:sz w:val="18"/>
          <w:szCs w:val="18"/>
          <w:color w:val="auto"/>
        </w:rPr>
      </w:pPr>
    </w:p>
    <w:p>
      <w:pPr>
        <w:ind w:right="80" w:firstLine="8"/>
        <w:spacing w:after="0" w:line="261" w:lineRule="auto"/>
        <w:tabs>
          <w:tab w:leader="none" w:pos="255"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Grupo Crédito excluding Prima (Servicorp and Emisiones BCP Latam), others of Atlantic Security Holding Corporation and others of Credicorp Ltd.</w:t>
      </w:r>
    </w:p>
    <w:p>
      <w:pPr>
        <w:spacing w:after="0" w:line="393" w:lineRule="exact"/>
        <w:rPr>
          <w:sz w:val="20"/>
          <w:szCs w:val="20"/>
          <w:color w:val="auto"/>
        </w:rPr>
      </w:pPr>
    </w:p>
    <w:p>
      <w:pPr>
        <w:jc w:val="right"/>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tbl>
      <w:tblPr>
        <w:tblLayout w:type="fixed"/>
        <w:tblInd w:w="980" w:type="dxa"/>
        <w:tblCellMar>
          <w:top w:w="0" w:type="dxa"/>
          <w:left w:w="0" w:type="dxa"/>
          <w:bottom w:w="0" w:type="dxa"/>
          <w:right w:w="0" w:type="dxa"/>
        </w:tblCellMar>
      </w:tblPr>
      <w:tr>
        <w:trPr>
          <w:trHeight w:val="230"/>
        </w:trPr>
        <w:tc>
          <w:tcPr>
            <w:tcW w:w="3940" w:type="dxa"/>
            <w:vAlign w:val="bottom"/>
          </w:tcPr>
          <w:p>
            <w:pPr>
              <w:spacing w:after="0"/>
              <w:rPr>
                <w:sz w:val="20"/>
                <w:szCs w:val="20"/>
                <w:color w:val="auto"/>
              </w:rPr>
            </w:pPr>
            <w:r>
              <w:rPr>
                <w:rFonts w:ascii="Arial" w:cs="Arial" w:eastAsia="Arial" w:hAnsi="Arial"/>
                <w:sz w:val="18"/>
                <w:szCs w:val="18"/>
                <w:b w:val="1"/>
                <w:bCs w:val="1"/>
                <w:color w:val="auto"/>
              </w:rPr>
              <w:t>ROAE</w:t>
            </w: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8"/>
              </w:rPr>
              <w:t>Quarter</w:t>
            </w: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4"/>
        </w:trPr>
        <w:tc>
          <w:tcPr>
            <w:tcW w:w="394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2Q14</w:t>
            </w:r>
          </w:p>
        </w:tc>
        <w:tc>
          <w:tcPr>
            <w:tcW w:w="26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1Q15</w:t>
            </w:r>
          </w:p>
        </w:tc>
        <w:tc>
          <w:tcPr>
            <w:tcW w:w="28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2Q15</w:t>
            </w:r>
          </w:p>
        </w:tc>
        <w:tc>
          <w:tcPr>
            <w:tcW w:w="28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1H14</w:t>
            </w:r>
          </w:p>
        </w:tc>
        <w:tc>
          <w:tcPr>
            <w:tcW w:w="26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1H15</w:t>
            </w:r>
          </w:p>
        </w:tc>
        <w:tc>
          <w:tcPr>
            <w:tcW w:w="180" w:type="dxa"/>
            <w:vAlign w:val="bottom"/>
            <w:tcBorders>
              <w:bottom w:val="single" w:sz="8" w:color="CCEEFF"/>
            </w:tcBorders>
          </w:tcPr>
          <w:p>
            <w:pPr>
              <w:spacing w:after="0"/>
              <w:rPr>
                <w:sz w:val="20"/>
                <w:szCs w:val="20"/>
                <w:color w:val="auto"/>
              </w:rPr>
            </w:pPr>
          </w:p>
        </w:tc>
      </w:tr>
      <w:tr>
        <w:trPr>
          <w:trHeight w:val="237"/>
        </w:trPr>
        <w:tc>
          <w:tcPr>
            <w:tcW w:w="3940" w:type="dxa"/>
            <w:vAlign w:val="bottom"/>
            <w:shd w:val="clear" w:color="auto" w:fill="CCEEFF"/>
          </w:tcPr>
          <w:p>
            <w:pPr>
              <w:spacing w:after="0" w:line="236" w:lineRule="exact"/>
              <w:rPr>
                <w:sz w:val="20"/>
                <w:szCs w:val="20"/>
                <w:color w:val="auto"/>
              </w:rPr>
            </w:pPr>
            <w:r>
              <w:rPr>
                <w:rFonts w:ascii="Arial" w:cs="Arial" w:eastAsia="Arial" w:hAnsi="Arial"/>
                <w:sz w:val="17"/>
                <w:szCs w:val="17"/>
                <w:color w:val="auto"/>
              </w:rPr>
              <w:t>Banco de Crédito BCP</w:t>
            </w:r>
            <w:r>
              <w:rPr>
                <w:rFonts w:ascii="Arial" w:cs="Arial" w:eastAsia="Arial" w:hAnsi="Arial"/>
                <w:sz w:val="27"/>
                <w:szCs w:val="27"/>
                <w:color w:val="auto"/>
                <w:vertAlign w:val="superscript"/>
              </w:rPr>
              <w:t>(1)</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19.9%</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24.2%</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24.0%</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21.1%</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23.6%</w:t>
            </w:r>
          </w:p>
        </w:tc>
      </w:tr>
      <w:tr>
        <w:trPr>
          <w:trHeight w:val="257"/>
        </w:trPr>
        <w:tc>
          <w:tcPr>
            <w:tcW w:w="3940" w:type="dxa"/>
            <w:vAlign w:val="bottom"/>
          </w:tcPr>
          <w:p>
            <w:pPr>
              <w:ind w:left="160"/>
              <w:spacing w:after="0" w:line="256" w:lineRule="exact"/>
              <w:rPr>
                <w:sz w:val="20"/>
                <w:szCs w:val="20"/>
                <w:color w:val="auto"/>
              </w:rPr>
            </w:pPr>
            <w:r>
              <w:rPr>
                <w:rFonts w:ascii="Arial" w:cs="Arial" w:eastAsia="Arial" w:hAnsi="Arial"/>
                <w:sz w:val="18"/>
                <w:szCs w:val="18"/>
                <w:color w:val="auto"/>
              </w:rPr>
              <w:t xml:space="preserve">Mibanco </w:t>
            </w:r>
            <w:r>
              <w:rPr>
                <w:rFonts w:ascii="Arial" w:cs="Arial" w:eastAsia="Arial" w:hAnsi="Arial"/>
                <w:sz w:val="29"/>
                <w:szCs w:val="29"/>
                <w:color w:val="auto"/>
                <w:vertAlign w:val="superscript"/>
              </w:rPr>
              <w:t>(2)</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14.8%</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14.4%</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16.5%</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13.6%</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15.4%</w:t>
            </w:r>
          </w:p>
        </w:tc>
      </w:tr>
      <w:tr>
        <w:trPr>
          <w:trHeight w:val="216"/>
        </w:trPr>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BCB</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18.6%</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17.0%</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w:t>
            </w:r>
          </w:p>
        </w:tc>
      </w:tr>
      <w:tr>
        <w:trPr>
          <w:trHeight w:val="257"/>
        </w:trPr>
        <w:tc>
          <w:tcPr>
            <w:tcW w:w="3940" w:type="dxa"/>
            <w:vAlign w:val="bottom"/>
          </w:tcPr>
          <w:p>
            <w:pPr>
              <w:ind w:left="160"/>
              <w:spacing w:after="0" w:line="256" w:lineRule="exact"/>
              <w:rPr>
                <w:sz w:val="20"/>
                <w:szCs w:val="20"/>
                <w:color w:val="auto"/>
              </w:rPr>
            </w:pPr>
            <w:r>
              <w:rPr>
                <w:rFonts w:ascii="Arial" w:cs="Arial" w:eastAsia="Arial" w:hAnsi="Arial"/>
                <w:sz w:val="18"/>
                <w:szCs w:val="18"/>
                <w:color w:val="auto"/>
              </w:rPr>
              <w:t>Grupo Pacífico</w:t>
            </w:r>
            <w:r>
              <w:rPr>
                <w:rFonts w:ascii="Arial" w:cs="Arial" w:eastAsia="Arial" w:hAnsi="Arial"/>
                <w:sz w:val="29"/>
                <w:szCs w:val="29"/>
                <w:color w:val="auto"/>
                <w:vertAlign w:val="superscript"/>
              </w:rPr>
              <w:t>(3)</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11.1%</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36.4%</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13.4%</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10.2%</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26.2%</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Atlantic Security Bank</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58.3%</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12.7%</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20.1%</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41.5%</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15.6%</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Prima</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34.8%</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30.5%</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35.7%</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32.9%</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32.0%</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Credicorp Capital</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Others</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Credicorp</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18.9%</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22.8%</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20.7%</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20.2%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21.6%</w:t>
            </w:r>
          </w:p>
        </w:tc>
      </w:tr>
      <w:tr>
        <w:trPr>
          <w:trHeight w:val="234"/>
        </w:trPr>
        <w:tc>
          <w:tcPr>
            <w:tcW w:w="3940" w:type="dxa"/>
            <w:vAlign w:val="bottom"/>
          </w:tcPr>
          <w:p>
            <w:pPr>
              <w:spacing w:after="0"/>
              <w:rPr>
                <w:sz w:val="20"/>
                <w:szCs w:val="20"/>
                <w:color w:val="auto"/>
              </w:rPr>
            </w:pPr>
            <w:r>
              <w:rPr>
                <w:rFonts w:ascii="Arial" w:cs="Arial" w:eastAsia="Arial" w:hAnsi="Arial"/>
                <w:sz w:val="18"/>
                <w:szCs w:val="18"/>
                <w:b w:val="1"/>
                <w:bCs w:val="1"/>
                <w:color w:val="auto"/>
              </w:rPr>
              <w:t>Recurring net income Credicorp</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17.8%</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19.9%</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20.5%</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18.7%</w:t>
            </w: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3169285</wp:posOffset>
            </wp:positionH>
            <wp:positionV relativeFrom="paragraph">
              <wp:posOffset>-2540</wp:posOffset>
            </wp:positionV>
            <wp:extent cx="31299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29915" cy="8890"/>
                    </a:xfrm>
                    <a:prstGeom prst="rect">
                      <a:avLst/>
                    </a:prstGeom>
                    <a:noFill/>
                  </pic:spPr>
                </pic:pic>
              </a:graphicData>
            </a:graphic>
          </wp:anchor>
        </w:drawing>
      </w:r>
    </w:p>
    <w:p>
      <w:pPr>
        <w:ind w:left="1240" w:hanging="260"/>
        <w:spacing w:after="0"/>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ROAE including the gain on sale of BCI shares in 34.3% for 1Q15 and 23.8% para el 2Q15.</w:t>
      </w:r>
    </w:p>
    <w:p>
      <w:pPr>
        <w:spacing w:after="0" w:line="17" w:lineRule="exact"/>
        <w:rPr>
          <w:rFonts w:ascii="Arial" w:cs="Arial" w:eastAsia="Arial" w:hAnsi="Arial"/>
          <w:sz w:val="18"/>
          <w:szCs w:val="18"/>
          <w:color w:val="auto"/>
        </w:rPr>
      </w:pPr>
    </w:p>
    <w:p>
      <w:pPr>
        <w:ind w:left="1240" w:hanging="260"/>
        <w:spacing w:after="0"/>
        <w:tabs>
          <w:tab w:leader="none" w:pos="12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ROAE for 2Q14 and June 2014 does not considers Edyficar´s goodwill (US$50.7 Million). Calculations based on proforma figures.</w:t>
      </w:r>
    </w:p>
    <w:p>
      <w:pPr>
        <w:spacing w:after="0" w:line="20" w:lineRule="exact"/>
        <w:rPr>
          <w:rFonts w:ascii="Arial" w:cs="Arial" w:eastAsia="Arial" w:hAnsi="Arial"/>
          <w:sz w:val="17"/>
          <w:szCs w:val="17"/>
          <w:color w:val="auto"/>
        </w:rPr>
      </w:pPr>
    </w:p>
    <w:p>
      <w:pPr>
        <w:ind w:left="1240" w:hanging="260"/>
        <w:spacing w:after="0"/>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ROAE without including the income for the JV with Banmédica is 12.6% for 1Q15.</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This quarter, </w:t>
      </w:r>
      <w:r>
        <w:rPr>
          <w:rFonts w:ascii="Arial" w:cs="Arial" w:eastAsia="Arial" w:hAnsi="Arial"/>
          <w:sz w:val="17"/>
          <w:szCs w:val="17"/>
          <w:b w:val="1"/>
          <w:bCs w:val="1"/>
          <w:i w:val="1"/>
          <w:iCs w:val="1"/>
          <w:color w:val="auto"/>
        </w:rPr>
        <w:t>BCP</w:t>
      </w:r>
      <w:r>
        <w:rPr>
          <w:rFonts w:ascii="Arial" w:cs="Arial" w:eastAsia="Arial" w:hAnsi="Arial"/>
          <w:sz w:val="17"/>
          <w:szCs w:val="17"/>
          <w:color w:val="auto"/>
        </w:rPr>
        <w:t xml:space="preserve"> posted a contribution of S/.605.6 million, which represented an increase of +4.6% QoQ and 43.2% YoY. The aforementioned led to a ROAE of 24.0%, which is similar to the figure registered in 1Q15. Better performance this quarter was due primarily to: (i) growth of +1.5% in NII, which was in line with the evolution of loans; (ii) the +3.3% QoQ increase in fee income and (iii) the -13.7% decline in net provisions, due to an improvement in the quality of risk associated with new vintages. In terms of operating efficiency, seasonality relative to administrative expenses in 1Q15 explains the 100 bps increase in the efficiency ratio, which rose from 42% in 1Q15 to 43% in 2Q15. In accumulated terms, BCP reported a contribution to Credicorp of S/.1,184.7 million, which represents growth of 62.4% with regard to 1H14. The aforementioned led to an ROAE of 23.6% in 1H15. This figure does not include the income generated by this subsidiary following a transfer of BCI shares to Credicorp.</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Mibanco </w:t>
      </w:r>
      <w:r>
        <w:rPr>
          <w:rFonts w:ascii="Arial" w:cs="Arial" w:eastAsia="Arial" w:hAnsi="Arial"/>
          <w:sz w:val="18"/>
          <w:szCs w:val="18"/>
          <w:color w:val="auto"/>
        </w:rPr>
        <w:t>registered a net contribution to Credicorp of S/. 46.5 million and a ROAE of 16.5% at the end of 2Q15. These results represent a significant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improvement of +16.9% QoQ and +45.7% YoY. In 2Q15, Mibanco registered a considerable contraction in operating expenses (-10.7% QoQ), which offset the decrease in NII, the growth in provisions; and the lower non-financial expenses. The drop in NII was due primarily to higher funding costs and a contraction in the portfolio that led to lower income from loan interest. This quarter, non-financial income fell -65.9% QoQ after the bank sold its portfolio of leasing products to BCP in the previous quarter. The loan book grew slightly (+0.6% QoQ); nevertheless, delinquency rose +9.0% QoQ given that pre-acquisition vintages matured. This led to an increase in the provisions for the PDL portfolio (+1.6% QoQ) and to a higher delinquency level, however both within the expected levels.</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BCP Bolivia </w:t>
      </w:r>
      <w:r>
        <w:rPr>
          <w:rFonts w:ascii="Arial" w:cs="Arial" w:eastAsia="Arial" w:hAnsi="Arial"/>
          <w:sz w:val="18"/>
          <w:szCs w:val="18"/>
          <w:color w:val="auto"/>
        </w:rPr>
        <w:t>reported a contribution of S/.11.2 million, which represented a decrease of -22.1% QoQ. This was due primarily to an increase in operating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expenses due to (i) a move to set aside a guaranty fund to promote home, social and productive loans; and (ii) a statutory salary increase corresponding to 2015. The aforementioned was offset by the growth in non-financial income. This was attributable to higher gains on foreign exchange transactions, which was in line with an increase in the volume of this type of operations. Finally, loans grew +7.4% QoQ. This allowed BCP Bolivia to achieve a market share of 10.3%, making it the fourth largest bank in the Bolivian financial system at the end of 2Q15.</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 xml:space="preserve">ASB </w:t>
      </w:r>
      <w:r>
        <w:rPr>
          <w:rFonts w:ascii="Arial" w:cs="Arial" w:eastAsia="Arial" w:hAnsi="Arial"/>
          <w:sz w:val="17"/>
          <w:szCs w:val="17"/>
          <w:color w:val="auto"/>
        </w:rPr>
        <w:t>reported a contribution of S/.30.4 million, which represented an increase of +54.3% QoQ. This was due primarily to a net loss on investments 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trading portfolio, and to the fact that the provisions set aside in the first quarter were not required in 2Q15. The aforementioned led to an ROAE of 20.1%, which topped the 12.7% reported in 1Q15. It is important to note that the YoY decrease was due primarily as a result that in 2Q14 an non-recurring income was registered, because of reinsurance collections associated with losses incurred during the financial crisis in 2008.</w:t>
      </w:r>
    </w:p>
    <w:p>
      <w:pPr>
        <w:spacing w:after="0" w:line="380" w:lineRule="exact"/>
        <w:rPr>
          <w:sz w:val="20"/>
          <w:szCs w:val="20"/>
          <w:color w:val="auto"/>
        </w:rPr>
      </w:pPr>
    </w:p>
    <w:p>
      <w:pPr>
        <w:ind w:left="1132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 w:name="page8"/>
    <w:bookmarkEnd w:id="7"/>
    <w:p>
      <w:pPr>
        <w:jc w:val="both"/>
        <w:spacing w:after="0" w:line="234" w:lineRule="auto"/>
        <w:rPr>
          <w:sz w:val="20"/>
          <w:szCs w:val="20"/>
          <w:color w:val="auto"/>
        </w:rPr>
      </w:pPr>
      <w:r>
        <w:rPr>
          <w:rFonts w:ascii="Arial" w:cs="Arial" w:eastAsia="Arial" w:hAnsi="Arial"/>
          <w:sz w:val="18"/>
          <w:szCs w:val="18"/>
          <w:b w:val="1"/>
          <w:bCs w:val="1"/>
          <w:i w:val="1"/>
          <w:iCs w:val="1"/>
          <w:color w:val="auto"/>
        </w:rPr>
        <w:t xml:space="preserve">Grupo Pacífico </w:t>
      </w:r>
      <w:r>
        <w:rPr>
          <w:rFonts w:ascii="Arial" w:cs="Arial" w:eastAsia="Arial" w:hAnsi="Arial"/>
          <w:sz w:val="18"/>
          <w:szCs w:val="18"/>
          <w:color w:val="auto"/>
        </w:rPr>
        <w:t>reported a contribution to Credicorp of S/.66 million in 2Q15, which led to a ROAE of 13.2%, higher than the recurring ROAE</w:t>
      </w:r>
      <w:r>
        <w:rPr>
          <w:rFonts w:ascii="Arial" w:cs="Arial" w:eastAsia="Arial" w:hAnsi="Arial"/>
          <w:sz w:val="30"/>
          <w:szCs w:val="30"/>
          <w:color w:val="auto"/>
          <w:vertAlign w:val="superscript"/>
        </w:rPr>
        <w:t>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12.6%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registered in 1Q15, which shows that the subsidiary is evolving favorably. In this context, the increase in the contribution generated by recurring business is due to (i) an improvement in the underwriting result, mainly in P&amp;C, due to higher net premiums earned and a decrease in the acquisition cost, which offset higher claims; and ii) an increase in financial income primarily associated with the life insurance business. The aforementioned was reflected in the combined ratio (for the P&amp;C business), that reached a level of 90.6% (92.8% in 1Q15 and 100.3% in 2Q14). On the other hand, the loss ratio increased QoQ from 56.6% to 58.8%, but was considerably lower than the 64.3% reported in 2Q14.</w:t>
      </w:r>
    </w:p>
    <w:p>
      <w:pPr>
        <w:spacing w:after="0" w:line="20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 xml:space="preserve">Prima AFP’s </w:t>
      </w:r>
      <w:r>
        <w:rPr>
          <w:rFonts w:ascii="Arial" w:cs="Arial" w:eastAsia="Arial" w:hAnsi="Arial"/>
          <w:sz w:val="16"/>
          <w:szCs w:val="16"/>
          <w:color w:val="auto"/>
        </w:rPr>
        <w:t>contribution to Credicorp in 2Q15 totaled S/.43.3 million. This represented an increase of 7.6% QoQ and +6.3% YoY and led to a ROAE level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35.7% in 2Q15. Operating efficiency was situated at 44.0%, which topped the figure posted in 1Q15 (41.9%). This was primarily due to an increase in the administrative and sale expenses (+6.0% QoQ) due to seasonality effects, and because in 1Q15 a repayment related to expenses of the sales force was made. Prima AFP’s total funds under management were situated at S/. 39,004 million, representing a high market share, with 32 % of the total funds of the system.</w:t>
      </w:r>
    </w:p>
    <w:p>
      <w:pPr>
        <w:spacing w:after="0" w:line="15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Credicorp Capital </w:t>
      </w:r>
      <w:r>
        <w:rPr>
          <w:rFonts w:ascii="Arial" w:cs="Arial" w:eastAsia="Arial" w:hAnsi="Arial"/>
          <w:sz w:val="18"/>
          <w:szCs w:val="18"/>
          <w:color w:val="auto"/>
        </w:rPr>
        <w:t>reported a -4.0% decrease QoQ in its contribution to Credicorp, which was situated at S/.16.6 million. It is important to note that fee</w:t>
      </w:r>
      <w:r>
        <w:rPr>
          <w:rFonts w:ascii="Arial" w:cs="Arial" w:eastAsia="Arial" w:hAnsi="Arial"/>
          <w:sz w:val="18"/>
          <w:szCs w:val="18"/>
          <w:b w:val="1"/>
          <w:bCs w:val="1"/>
          <w:color w:val="auto"/>
        </w:rPr>
        <w:t xml:space="preserve"> </w:t>
      </w:r>
      <w:r>
        <w:rPr>
          <w:rFonts w:ascii="Arial" w:cs="Arial" w:eastAsia="Arial" w:hAnsi="Arial"/>
          <w:sz w:val="18"/>
          <w:szCs w:val="18"/>
          <w:color w:val="auto"/>
        </w:rPr>
        <w:t>income increased +19.5% QoQ due to higher non-recurring income, which was attributable to Asset Management businesses in the three countries (Perú, Colombia y Chile). This helped offset (i) lower income from net gains on sales of securities (-50.9% QoQ), which was due mainly to losses on positions in Colombia in Government Bonds; and ii) lower income on foreign exchange transactions (-83.2%) due to the fact that in 1Q15, the Colombian Peso registered high volatility with regard to the US Dollar (-8.57% in 1Q15 vs 0.26% in 2Q15).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18097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29" w:lineRule="exact"/>
        <w:rPr>
          <w:sz w:val="20"/>
          <w:szCs w:val="20"/>
          <w:color w:val="auto"/>
        </w:rPr>
      </w:pPr>
    </w:p>
    <w:p>
      <w:pPr>
        <w:ind w:left="120" w:hanging="112"/>
        <w:spacing w:after="0"/>
        <w:tabs>
          <w:tab w:leader="none" w:pos="120" w:val="left"/>
        </w:tabs>
        <w:numPr>
          <w:ilvl w:val="0"/>
          <w:numId w:val="5"/>
        </w:numPr>
        <w:rPr>
          <w:rFonts w:ascii="Arial" w:cs="Arial" w:eastAsia="Arial" w:hAnsi="Arial"/>
          <w:sz w:val="30"/>
          <w:szCs w:val="30"/>
          <w:color w:val="auto"/>
          <w:vertAlign w:val="superscript"/>
        </w:rPr>
      </w:pPr>
      <w:r>
        <w:rPr>
          <w:rFonts w:ascii="Arial" w:cs="Arial" w:eastAsia="Arial" w:hAnsi="Arial"/>
          <w:sz w:val="18"/>
          <w:szCs w:val="18"/>
          <w:color w:val="auto"/>
        </w:rPr>
        <w:t>In 1Q15 Grupo Pacífico reported an non-recurring income due to the JV with Banmédica, which resulted in a ROAE of 36.4%.</w:t>
      </w: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2" w:right="239" w:bottom="1440" w:gutter="0" w:footer="0" w:header="0"/>
        </w:sectPr>
      </w:pPr>
    </w:p>
    <w:bookmarkStart w:id="8" w:name="page9"/>
    <w:bookmarkEnd w:id="8"/>
    <w:p>
      <w:pPr>
        <w:ind w:left="500" w:hanging="492"/>
        <w:spacing w:after="0"/>
        <w:tabs>
          <w:tab w:leader="none" w:pos="5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Interest-earning assets (IEA)</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IEA grew +3.4% QoQ due mainly to a +13.4% QoQ expansion in funds in BCRP and other banks followed by a +2.3% increase QoQ in loans, the most profitable asset- which represent 64% of IEA. Additionally, average daily balances of loans reported better real growth than last quarter’s (+3% 2Q15 vs +2.4% 1Q15).</w:t>
      </w:r>
    </w:p>
    <w:p>
      <w:pPr>
        <w:spacing w:after="0" w:line="177" w:lineRule="exact"/>
        <w:rPr>
          <w:sz w:val="20"/>
          <w:szCs w:val="20"/>
          <w:color w:val="auto"/>
        </w:rPr>
      </w:pPr>
    </w:p>
    <w:tbl>
      <w:tblPr>
        <w:tblLayout w:type="fixed"/>
        <w:tblInd w:w="860" w:type="dxa"/>
        <w:tblCellMar>
          <w:top w:w="0" w:type="dxa"/>
          <w:left w:w="0" w:type="dxa"/>
          <w:bottom w:w="0" w:type="dxa"/>
          <w:right w:w="0" w:type="dxa"/>
        </w:tblCellMar>
      </w:tblPr>
      <w:tr>
        <w:trPr>
          <w:trHeight w:val="230"/>
        </w:trPr>
        <w:tc>
          <w:tcPr>
            <w:tcW w:w="3800" w:type="dxa"/>
            <w:vAlign w:val="bottom"/>
            <w:gridSpan w:val="3"/>
          </w:tcPr>
          <w:p>
            <w:pPr>
              <w:spacing w:after="0"/>
              <w:rPr>
                <w:sz w:val="20"/>
                <w:szCs w:val="20"/>
                <w:color w:val="auto"/>
              </w:rPr>
            </w:pPr>
            <w:r>
              <w:rPr>
                <w:rFonts w:ascii="Arial" w:cs="Arial" w:eastAsia="Arial" w:hAnsi="Arial"/>
                <w:sz w:val="18"/>
                <w:szCs w:val="18"/>
                <w:b w:val="1"/>
                <w:bCs w:val="1"/>
                <w:color w:val="auto"/>
              </w:rPr>
              <w:t>Interest earning assets</w:t>
            </w: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5"/>
              </w:rPr>
              <w:t>Quarter</w:t>
            </w: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3"/>
          </w:tcPr>
          <w:p>
            <w:pPr>
              <w:ind w:left="700"/>
              <w:spacing w:after="0"/>
              <w:rPr>
                <w:sz w:val="20"/>
                <w:szCs w:val="20"/>
                <w:color w:val="auto"/>
              </w:rPr>
            </w:pPr>
            <w:r>
              <w:rPr>
                <w:rFonts w:ascii="Arial" w:cs="Arial" w:eastAsia="Arial" w:hAnsi="Arial"/>
                <w:sz w:val="18"/>
                <w:szCs w:val="18"/>
                <w:b w:val="1"/>
                <w:bCs w:val="1"/>
                <w:color w:val="auto"/>
                <w:w w:val="92"/>
              </w:rPr>
              <w:t>% change</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800" w:type="dxa"/>
            <w:vAlign w:val="bottom"/>
            <w:gridSpan w:val="3"/>
          </w:tcPr>
          <w:p>
            <w:pPr>
              <w:spacing w:after="0"/>
              <w:rPr>
                <w:sz w:val="20"/>
                <w:szCs w:val="20"/>
                <w:color w:val="auto"/>
              </w:rPr>
            </w:pPr>
            <w:r>
              <w:rPr>
                <w:rFonts w:ascii="Arial" w:cs="Arial" w:eastAsia="Arial" w:hAnsi="Arial"/>
                <w:sz w:val="18"/>
                <w:szCs w:val="18"/>
                <w:color w:val="auto"/>
              </w:rPr>
              <w:t>S/. 000</w:t>
            </w:r>
          </w:p>
        </w:tc>
        <w:tc>
          <w:tcPr>
            <w:tcW w:w="1160" w:type="dxa"/>
            <w:vAlign w:val="bottom"/>
            <w:gridSpan w:val="2"/>
          </w:tcPr>
          <w:p>
            <w:pPr>
              <w:ind w:left="280"/>
              <w:spacing w:after="0"/>
              <w:rPr>
                <w:sz w:val="20"/>
                <w:szCs w:val="20"/>
                <w:color w:val="auto"/>
              </w:rPr>
            </w:pPr>
            <w:r>
              <w:rPr>
                <w:rFonts w:ascii="Arial" w:cs="Arial" w:eastAsia="Arial" w:hAnsi="Arial"/>
                <w:sz w:val="18"/>
                <w:szCs w:val="18"/>
                <w:b w:val="1"/>
                <w:bCs w:val="1"/>
                <w:color w:val="auto"/>
              </w:rPr>
              <w:t>2Q14</w:t>
            </w: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1Q15</w:t>
            </w:r>
          </w:p>
        </w:tc>
        <w:tc>
          <w:tcPr>
            <w:tcW w:w="1180" w:type="dxa"/>
            <w:vAlign w:val="bottom"/>
            <w:gridSpan w:val="2"/>
          </w:tcPr>
          <w:p>
            <w:pPr>
              <w:ind w:left="280"/>
              <w:spacing w:after="0"/>
              <w:rPr>
                <w:sz w:val="20"/>
                <w:szCs w:val="20"/>
                <w:color w:val="auto"/>
              </w:rPr>
            </w:pPr>
            <w:r>
              <w:rPr>
                <w:rFonts w:ascii="Arial" w:cs="Arial" w:eastAsia="Arial" w:hAnsi="Arial"/>
                <w:sz w:val="18"/>
                <w:szCs w:val="18"/>
                <w:b w:val="1"/>
                <w:bCs w:val="1"/>
                <w:color w:val="auto"/>
              </w:rPr>
              <w:t>2Q15</w:t>
            </w:r>
          </w:p>
        </w:tc>
        <w:tc>
          <w:tcPr>
            <w:tcW w:w="1500" w:type="dxa"/>
            <w:vAlign w:val="bottom"/>
            <w:gridSpan w:val="3"/>
          </w:tcPr>
          <w:p>
            <w:pPr>
              <w:ind w:left="280"/>
              <w:spacing w:after="0"/>
              <w:rPr>
                <w:sz w:val="20"/>
                <w:szCs w:val="20"/>
                <w:color w:val="auto"/>
              </w:rPr>
            </w:pPr>
            <w:r>
              <w:rPr>
                <w:rFonts w:ascii="Arial" w:cs="Arial" w:eastAsia="Arial" w:hAnsi="Arial"/>
                <w:sz w:val="18"/>
                <w:szCs w:val="18"/>
                <w:b w:val="1"/>
                <w:bCs w:val="1"/>
                <w:color w:val="auto"/>
              </w:rPr>
              <w:t>QoQ</w:t>
            </w:r>
          </w:p>
        </w:tc>
        <w:tc>
          <w:tcPr>
            <w:tcW w:w="86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w w:val="96"/>
              </w:rPr>
              <w:t>YoY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BCRP and other banks</w:t>
            </w:r>
          </w:p>
        </w:tc>
        <w:tc>
          <w:tcPr>
            <w:tcW w:w="100" w:type="dxa"/>
            <w:vAlign w:val="bottom"/>
            <w:vMerge w:val="continue"/>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19,305,206</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21,767,800</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24,746,182</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13.7%</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Interbank funds</w:t>
            </w:r>
          </w:p>
        </w:tc>
        <w:tc>
          <w:tcPr>
            <w:tcW w:w="980" w:type="dxa"/>
            <w:vAlign w:val="bottom"/>
          </w:tcPr>
          <w:p>
            <w:pPr>
              <w:jc w:val="right"/>
              <w:spacing w:after="0"/>
              <w:rPr>
                <w:sz w:val="20"/>
                <w:szCs w:val="20"/>
                <w:color w:val="auto"/>
              </w:rPr>
            </w:pPr>
            <w:r>
              <w:rPr>
                <w:rFonts w:ascii="Arial" w:cs="Arial" w:eastAsia="Arial" w:hAnsi="Arial"/>
                <w:sz w:val="18"/>
                <w:szCs w:val="18"/>
                <w:color w:val="auto"/>
              </w:rPr>
              <w:t>321,997</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71,600</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42,846</w:t>
            </w:r>
          </w:p>
        </w:tc>
        <w:tc>
          <w:tcPr>
            <w:tcW w:w="180" w:type="dxa"/>
            <w:vAlign w:val="bottom"/>
          </w:tcPr>
          <w:p>
            <w:pPr>
              <w:spacing w:after="0"/>
              <w:rPr>
                <w:sz w:val="18"/>
                <w:szCs w:val="18"/>
                <w:color w:val="auto"/>
              </w:rPr>
            </w:pPr>
          </w:p>
        </w:tc>
        <w:tc>
          <w:tcPr>
            <w:tcW w:w="1240" w:type="dxa"/>
            <w:vAlign w:val="bottom"/>
            <w:gridSpan w:val="2"/>
          </w:tcPr>
          <w:p>
            <w:pPr>
              <w:jc w:val="right"/>
              <w:ind w:right="50"/>
              <w:spacing w:after="0"/>
              <w:rPr>
                <w:sz w:val="20"/>
                <w:szCs w:val="20"/>
                <w:color w:val="auto"/>
              </w:rPr>
            </w:pPr>
            <w:r>
              <w:rPr>
                <w:rFonts w:ascii="Arial" w:cs="Arial" w:eastAsia="Arial" w:hAnsi="Arial"/>
                <w:sz w:val="18"/>
                <w:szCs w:val="18"/>
                <w:color w:val="auto"/>
              </w:rPr>
              <w:t>-40.2%</w:t>
            </w:r>
          </w:p>
        </w:tc>
        <w:tc>
          <w:tcPr>
            <w:tcW w:w="2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Trading securities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2,249,019</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2,847,236</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2,130,997</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-25.2%</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Investments available for sale</w:t>
            </w:r>
          </w:p>
        </w:tc>
        <w:tc>
          <w:tcPr>
            <w:tcW w:w="980" w:type="dxa"/>
            <w:vAlign w:val="bottom"/>
          </w:tcPr>
          <w:p>
            <w:pPr>
              <w:jc w:val="right"/>
              <w:spacing w:after="0"/>
              <w:rPr>
                <w:sz w:val="20"/>
                <w:szCs w:val="20"/>
                <w:color w:val="auto"/>
              </w:rPr>
            </w:pPr>
            <w:r>
              <w:rPr>
                <w:rFonts w:ascii="Arial" w:cs="Arial" w:eastAsia="Arial" w:hAnsi="Arial"/>
                <w:sz w:val="18"/>
                <w:szCs w:val="18"/>
                <w:color w:val="auto"/>
              </w:rPr>
              <w:t>17,782,454</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17,905,751</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17,772,153</w:t>
            </w:r>
          </w:p>
        </w:tc>
        <w:tc>
          <w:tcPr>
            <w:tcW w:w="180" w:type="dxa"/>
            <w:vAlign w:val="bottom"/>
          </w:tcPr>
          <w:p>
            <w:pPr>
              <w:spacing w:after="0"/>
              <w:rPr>
                <w:sz w:val="18"/>
                <w:szCs w:val="18"/>
                <w:color w:val="auto"/>
              </w:rPr>
            </w:pPr>
          </w:p>
        </w:tc>
        <w:tc>
          <w:tcPr>
            <w:tcW w:w="1240" w:type="dxa"/>
            <w:vAlign w:val="bottom"/>
            <w:gridSpan w:val="2"/>
          </w:tcPr>
          <w:p>
            <w:pPr>
              <w:jc w:val="right"/>
              <w:ind w:right="50"/>
              <w:spacing w:after="0"/>
              <w:rPr>
                <w:sz w:val="20"/>
                <w:szCs w:val="20"/>
                <w:color w:val="auto"/>
              </w:rPr>
            </w:pPr>
            <w:r>
              <w:rPr>
                <w:rFonts w:ascii="Arial" w:cs="Arial" w:eastAsia="Arial" w:hAnsi="Arial"/>
                <w:sz w:val="18"/>
                <w:szCs w:val="18"/>
                <w:color w:val="auto"/>
              </w:rPr>
              <w:t>-0.7%</w:t>
            </w:r>
          </w:p>
        </w:tc>
        <w:tc>
          <w:tcPr>
            <w:tcW w:w="2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held to maturity</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1,760,576</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2,640,261</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2,970,260</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12.5%</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Total loans</w:t>
            </w:r>
          </w:p>
        </w:tc>
        <w:tc>
          <w:tcPr>
            <w:tcW w:w="980" w:type="dxa"/>
            <w:vAlign w:val="bottom"/>
          </w:tcPr>
          <w:p>
            <w:pPr>
              <w:jc w:val="right"/>
              <w:spacing w:after="0"/>
              <w:rPr>
                <w:sz w:val="20"/>
                <w:szCs w:val="20"/>
                <w:color w:val="auto"/>
              </w:rPr>
            </w:pPr>
            <w:r>
              <w:rPr>
                <w:rFonts w:ascii="Arial" w:cs="Arial" w:eastAsia="Arial" w:hAnsi="Arial"/>
                <w:sz w:val="18"/>
                <w:szCs w:val="18"/>
                <w:color w:val="auto"/>
              </w:rPr>
              <w:t>73,464,928</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81,620,723</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83,503,213</w:t>
            </w:r>
          </w:p>
        </w:tc>
        <w:tc>
          <w:tcPr>
            <w:tcW w:w="180" w:type="dxa"/>
            <w:vAlign w:val="bottom"/>
          </w:tcPr>
          <w:p>
            <w:pPr>
              <w:spacing w:after="0"/>
              <w:rPr>
                <w:sz w:val="19"/>
                <w:szCs w:val="19"/>
                <w:color w:val="auto"/>
              </w:rPr>
            </w:pPr>
          </w:p>
        </w:tc>
        <w:tc>
          <w:tcPr>
            <w:tcW w:w="1240" w:type="dxa"/>
            <w:vAlign w:val="bottom"/>
            <w:gridSpan w:val="2"/>
          </w:tcPr>
          <w:p>
            <w:pPr>
              <w:jc w:val="right"/>
              <w:ind w:right="50"/>
              <w:spacing w:after="0"/>
              <w:rPr>
                <w:sz w:val="20"/>
                <w:szCs w:val="20"/>
                <w:color w:val="auto"/>
              </w:rPr>
            </w:pPr>
            <w:r>
              <w:rPr>
                <w:rFonts w:ascii="Arial" w:cs="Arial" w:eastAsia="Arial" w:hAnsi="Arial"/>
                <w:sz w:val="18"/>
                <w:szCs w:val="18"/>
                <w:color w:val="auto"/>
              </w:rPr>
              <w:t>2.3%</w:t>
            </w:r>
          </w:p>
        </w:tc>
        <w:tc>
          <w:tcPr>
            <w:tcW w:w="26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interest earning assets</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114,884,180</w:t>
            </w:r>
          </w:p>
        </w:tc>
        <w:tc>
          <w:tcPr>
            <w:tcW w:w="1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126,853,371</w:t>
            </w: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131,165,651</w:t>
            </w:r>
          </w:p>
        </w:tc>
        <w:tc>
          <w:tcPr>
            <w:tcW w:w="1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w:t>
            </w:r>
          </w:p>
        </w:tc>
        <w:tc>
          <w:tcPr>
            <w:tcW w:w="28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87"/>
              </w:rPr>
              <w:t>%</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14.2</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Evolution of IEA</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QoQ growth of +3.4% in IEA is mainly due to a +13.7% QoQ expansion in BCRP and other banks, which was in line with an increase in the use of BCRP instruments. The highest increase in the use of this type of instrument was seen in currency repos under the substitution and expansion schemes. Under both schemes, repo transactions generate restricted deposits in BCRP. In Credicorp’s case, these transactions were only conducted by BCP Stand-alone and Mibanco.</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increase in IEA was also attributable to growth in Credicorp’s total loans, which expanded +2.3% QoQ and 13.7% YoY in period-end balances and continued to be led by Wholesale Banking. In terms of real growth, quarter-end balances expanded +1.2% QoQ and +11.1% YoY, as expected. It should be noted that the second half of the year tends to present a better dynamic in terms of loan expansion given that during this period, the largest financing campaigns for Retail Banking and micro-lending are held.</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terms of average daily balances, which better reflect interest income generation, loans registered an increase of +3.8% QoQ and +17.2% YoY. It is important to note that expansion continued to be led by Wholesale Banking while Retail Banking, despite posting a higher growth rate YoY, registered a slightly lower rate QoQ than that posted in 1Q15. In terms of real growth, average daily balances expanded +3.0% QoQ and +11.3% YoY, which we will discuss in depth later in the report</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Growth rates in quarter-end balances vs. average daily balances posted a significant difference due to the fact that various FC loans were amortized at quarter-end, which impact in a lesser extend the average daily balances in 2Q15.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highlight the main factors that led to QoQ and YoY expansion in average daily balances of loans:</w:t>
      </w: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Loan growth contribution QoQ</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average daily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965835</wp:posOffset>
            </wp:positionH>
            <wp:positionV relativeFrom="paragraph">
              <wp:posOffset>142875</wp:posOffset>
            </wp:positionV>
            <wp:extent cx="5325745" cy="18180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325745" cy="1818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 growth contribution YoY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average daily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991235</wp:posOffset>
            </wp:positionH>
            <wp:positionV relativeFrom="paragraph">
              <wp:posOffset>142875</wp:posOffset>
            </wp:positionV>
            <wp:extent cx="5282565" cy="18522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282565" cy="1852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is evident in the figure above, in 2Q15, 22% of the nominal growth in average daily balances was due to the effect of the appreciation of the US Dollar against the Nuevo Sol (+2.62% QoQ) on the loan portfolio denominated in FC, which represented 44.6% of total loans at the end of 2Q15. Average daily balances expanded +3% QoQ in real terms.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Overall, an analysis of growth in average daily balances reveals that:</w:t>
      </w:r>
    </w:p>
    <w:p>
      <w:pPr>
        <w:spacing w:after="0" w:line="225" w:lineRule="exact"/>
        <w:rPr>
          <w:sz w:val="20"/>
          <w:szCs w:val="20"/>
          <w:color w:val="auto"/>
        </w:rPr>
      </w:pPr>
    </w:p>
    <w:p>
      <w:pPr>
        <w:ind w:left="500" w:hanging="370"/>
        <w:spacing w:after="0" w:line="277"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Wholesale Banking continued to lead growth in loans and accounted for +50.6% of the total expansion registered in 2Q15. Corporate Banking posted a higher increase than Middle-Market Banking, and mainly in LC loan book.</w:t>
      </w:r>
    </w:p>
    <w:p>
      <w:pPr>
        <w:spacing w:after="0" w:line="170" w:lineRule="exact"/>
        <w:rPr>
          <w:rFonts w:ascii="Arial" w:cs="Arial" w:eastAsia="Arial" w:hAnsi="Arial"/>
          <w:sz w:val="18"/>
          <w:szCs w:val="18"/>
          <w:color w:val="auto"/>
        </w:rPr>
      </w:pPr>
    </w:p>
    <w:p>
      <w:pPr>
        <w:ind w:left="500" w:hanging="370"/>
        <w:spacing w:after="0"/>
        <w:tabs>
          <w:tab w:leader="none" w:pos="50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Retail Banking accounted for 21.1% of total nominal growth in loans, in line with increases in the Mortgage, Credit Card and SME-Business segments.</w:t>
      </w:r>
    </w:p>
    <w:p>
      <w:pPr>
        <w:spacing w:after="0" w:line="248" w:lineRule="exact"/>
        <w:rPr>
          <w:rFonts w:ascii="Arial" w:cs="Arial" w:eastAsia="Arial" w:hAnsi="Arial"/>
          <w:sz w:val="16"/>
          <w:szCs w:val="16"/>
          <w:color w:val="auto"/>
        </w:rPr>
      </w:pPr>
    </w:p>
    <w:p>
      <w:pPr>
        <w:ind w:left="500" w:hanging="370"/>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On-going and solid growth in the portfolios of ASB and BCP Bolivia represented 5.0% and 4.7% respectively of the total increase QoQ.</w:t>
      </w:r>
    </w:p>
    <w:p>
      <w:pPr>
        <w:spacing w:after="0" w:line="225" w:lineRule="exact"/>
        <w:rPr>
          <w:rFonts w:ascii="Arial" w:cs="Arial" w:eastAsia="Arial" w:hAnsi="Arial"/>
          <w:sz w:val="18"/>
          <w:szCs w:val="18"/>
          <w:color w:val="auto"/>
        </w:rPr>
      </w:pPr>
    </w:p>
    <w:p>
      <w:pPr>
        <w:jc w:val="both"/>
        <w:ind w:left="500" w:hanging="370"/>
        <w:spacing w:after="0" w:line="259"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Mibanco’s portfolio contracted -3.4% QoQ given that it continues to show i) the effect of charge-offs, which were associated with the maturity of pre-acquisition vintages; and ii) lower growth in origination this year as the company focuses on integrating and implementing Edyficar’s business model. Nevertheless, it is important to note that in the last month of 2Q15 (June), slight loan growth was registered and reflected in period-end balances, which increased +0.6% QoQ.</w:t>
      </w:r>
    </w:p>
    <w:p>
      <w:pPr>
        <w:spacing w:after="0" w:line="39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10" w:name="page11"/>
    <w:bookmarkEnd w:id="10"/>
    <w:p>
      <w:pPr>
        <w:jc w:val="both"/>
        <w:spacing w:after="0" w:line="314" w:lineRule="auto"/>
        <w:rPr>
          <w:sz w:val="20"/>
          <w:szCs w:val="20"/>
          <w:color w:val="auto"/>
        </w:rPr>
      </w:pPr>
      <w:r>
        <w:rPr>
          <w:rFonts w:ascii="Arial" w:cs="Arial" w:eastAsia="Arial" w:hAnsi="Arial"/>
          <w:sz w:val="16"/>
          <w:szCs w:val="16"/>
          <w:b w:val="1"/>
          <w:bCs w:val="1"/>
          <w:color w:val="auto"/>
        </w:rPr>
        <w:t xml:space="preserve">Investments held to maturity </w:t>
      </w:r>
      <w:r>
        <w:rPr>
          <w:rFonts w:ascii="Arial" w:cs="Arial" w:eastAsia="Arial" w:hAnsi="Arial"/>
          <w:sz w:val="16"/>
          <w:szCs w:val="16"/>
          <w:color w:val="auto"/>
        </w:rPr>
        <w:t>this type of instruments from conducted solely by BCP.</w:t>
      </w:r>
    </w:p>
    <w:p>
      <w:pPr>
        <w:spacing w:after="0" w:line="20" w:lineRule="exact"/>
        <w:rPr>
          <w:sz w:val="20"/>
          <w:szCs w:val="20"/>
          <w:color w:val="auto"/>
        </w:rPr>
      </w:pPr>
      <w:r>
        <w:rPr>
          <w:sz w:val="20"/>
          <w:szCs w:val="20"/>
          <w:color w:val="auto"/>
        </w:rPr>
        <w:br w:type="column"/>
      </w:r>
    </w:p>
    <w:p>
      <w:pPr>
        <w:ind w:hanging="21"/>
        <w:spacing w:after="0" w:line="342" w:lineRule="auto"/>
        <w:rPr>
          <w:sz w:val="20"/>
          <w:szCs w:val="20"/>
          <w:color w:val="auto"/>
        </w:rPr>
      </w:pPr>
      <w:r>
        <w:rPr>
          <w:rFonts w:ascii="Arial" w:cs="Arial" w:eastAsia="Arial" w:hAnsi="Arial"/>
          <w:sz w:val="16"/>
          <w:szCs w:val="16"/>
          <w:color w:val="auto"/>
        </w:rPr>
        <w:t>increased +12.5% QoQ due to the effect of a larger position in Peruvian government bonds as well as to the reclassification of Investments available for sale to Investments held to maturity portfolio. It is important tote that these transactions were</w:t>
      </w:r>
    </w:p>
    <w:p>
      <w:pPr>
        <w:spacing w:after="0" w:line="335" w:lineRule="exact"/>
        <w:rPr>
          <w:sz w:val="20"/>
          <w:szCs w:val="20"/>
          <w:color w:val="auto"/>
        </w:rPr>
      </w:pPr>
    </w:p>
    <w:p>
      <w:pPr>
        <w:sectPr>
          <w:pgSz w:w="11900" w:h="16838" w:orient="portrait"/>
          <w:cols w:equalWidth="0" w:num="2">
            <w:col w:w="2240" w:space="60"/>
            <w:col w:w="9120"/>
          </w:cols>
          <w:pgMar w:left="240" w:top="904" w:right="239" w:bottom="1440" w:gutter="0" w:footer="0" w:header="0"/>
        </w:sectPr>
      </w:pPr>
    </w:p>
    <w:p>
      <w:pPr>
        <w:spacing w:after="0"/>
        <w:rPr>
          <w:sz w:val="20"/>
          <w:szCs w:val="20"/>
          <w:color w:val="auto"/>
        </w:rPr>
      </w:pPr>
      <w:r>
        <w:rPr>
          <w:rFonts w:ascii="Arial" w:cs="Arial" w:eastAsia="Arial" w:hAnsi="Arial"/>
          <w:sz w:val="18"/>
          <w:szCs w:val="18"/>
          <w:b w:val="1"/>
          <w:bCs w:val="1"/>
          <w:color w:val="auto"/>
        </w:rPr>
        <w:t xml:space="preserve">Trading securities </w:t>
      </w:r>
      <w:r>
        <w:rPr>
          <w:rFonts w:ascii="Arial" w:cs="Arial" w:eastAsia="Arial" w:hAnsi="Arial"/>
          <w:sz w:val="18"/>
          <w:szCs w:val="18"/>
          <w:color w:val="auto"/>
        </w:rPr>
        <w:t>dropped considerably (-25.2% QoQ) due to several sales and redemption transactions at Credicorp’s subsidiaries:</w:t>
      </w:r>
    </w:p>
    <w:p>
      <w:pPr>
        <w:spacing w:after="0" w:line="229" w:lineRule="exact"/>
        <w:rPr>
          <w:sz w:val="20"/>
          <w:szCs w:val="20"/>
          <w:color w:val="auto"/>
        </w:rPr>
      </w:pPr>
    </w:p>
    <w:p>
      <w:pPr>
        <w:ind w:left="500" w:hanging="370"/>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BCP reported one redemption and sale of CDs followed by the sale of a position in sovereign bonds and government bonds from abroad.</w:t>
      </w:r>
    </w:p>
    <w:p>
      <w:pPr>
        <w:spacing w:after="0" w:line="225" w:lineRule="exact"/>
        <w:rPr>
          <w:rFonts w:ascii="Arial" w:cs="Arial" w:eastAsia="Arial" w:hAnsi="Arial"/>
          <w:sz w:val="18"/>
          <w:szCs w:val="18"/>
          <w:color w:val="auto"/>
        </w:rPr>
      </w:pPr>
    </w:p>
    <w:p>
      <w:pPr>
        <w:ind w:left="500" w:hanging="370"/>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Mibanco subsidiary registered a sale of CDs.</w:t>
      </w:r>
    </w:p>
    <w:p>
      <w:pPr>
        <w:spacing w:after="0" w:line="225" w:lineRule="exact"/>
        <w:rPr>
          <w:rFonts w:ascii="Arial" w:cs="Arial" w:eastAsia="Arial" w:hAnsi="Arial"/>
          <w:sz w:val="18"/>
          <w:szCs w:val="18"/>
          <w:color w:val="auto"/>
        </w:rPr>
      </w:pPr>
    </w:p>
    <w:p>
      <w:pPr>
        <w:ind w:left="500" w:hanging="370"/>
        <w:spacing w:after="0" w:line="277"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Credicorp Capital reported i) a trading securities sale, and ii) repurchase agreements (Credicorp Capital Colombia), which led part of the trading investment portfolio to be reclassified in the other assets line.</w:t>
      </w:r>
    </w:p>
    <w:p>
      <w:pPr>
        <w:spacing w:after="0" w:line="166"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Investments available for sale </w:t>
      </w:r>
      <w:r>
        <w:rPr>
          <w:rFonts w:ascii="Arial" w:cs="Arial" w:eastAsia="Arial" w:hAnsi="Arial"/>
          <w:sz w:val="18"/>
          <w:szCs w:val="18"/>
          <w:color w:val="auto"/>
        </w:rPr>
        <w:t>registered slight decline -0.7% QoQ, which was due mainly to the reclassifications explained in investments held to maturity</w:t>
      </w:r>
      <w:r>
        <w:rPr>
          <w:rFonts w:ascii="Arial" w:cs="Arial" w:eastAsia="Arial" w:hAnsi="Arial"/>
          <w:sz w:val="18"/>
          <w:szCs w:val="18"/>
          <w:b w:val="1"/>
          <w:bCs w:val="1"/>
          <w:color w:val="auto"/>
        </w:rPr>
        <w:t xml:space="preserve"> </w:t>
      </w:r>
      <w:r>
        <w:rPr>
          <w:rFonts w:ascii="Arial" w:cs="Arial" w:eastAsia="Arial" w:hAnsi="Arial"/>
          <w:sz w:val="18"/>
          <w:szCs w:val="18"/>
          <w:color w:val="auto"/>
        </w:rPr>
        <w:t>line.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Loan Portfolio of Credicorp</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Credicorp’s portfolio posted an increase of +3.8% QoQ that was led by expansion in BCP Stand-alone, which represents 84% of the group’s portfolio. An analysis by currency shows that the LC portfolio was more dynamic. The increase of +17.2% YoY is proof of the strength of our banking business.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20" w:type="dxa"/>
            <w:vAlign w:val="bottom"/>
            <w:gridSpan w:val="2"/>
          </w:tcPr>
          <w:p>
            <w:pPr>
              <w:spacing w:after="0"/>
              <w:rPr>
                <w:sz w:val="20"/>
                <w:szCs w:val="20"/>
                <w:color w:val="auto"/>
              </w:rPr>
            </w:pPr>
            <w:r>
              <w:rPr>
                <w:rFonts w:ascii="Arial" w:cs="Arial" w:eastAsia="Arial" w:hAnsi="Arial"/>
                <w:sz w:val="18"/>
                <w:szCs w:val="18"/>
                <w:i w:val="1"/>
                <w:iCs w:val="1"/>
                <w:color w:val="auto"/>
              </w:rPr>
              <w:t>1.2.1 Loan evolution by segment</w:t>
            </w:r>
          </w:p>
        </w:tc>
        <w:tc>
          <w:tcPr>
            <w:tcW w:w="9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5880" w:type="dxa"/>
            <w:vAlign w:val="bottom"/>
            <w:gridSpan w:val="9"/>
          </w:tcPr>
          <w:p>
            <w:pPr>
              <w:jc w:val="right"/>
              <w:ind w:right="580"/>
              <w:spacing w:after="0"/>
              <w:rPr>
                <w:sz w:val="20"/>
                <w:szCs w:val="20"/>
                <w:color w:val="auto"/>
              </w:rPr>
            </w:pPr>
            <w:r>
              <w:rPr>
                <w:rFonts w:ascii="Arial" w:cs="Arial" w:eastAsia="Arial" w:hAnsi="Arial"/>
                <w:sz w:val="18"/>
                <w:szCs w:val="18"/>
                <w:b w:val="1"/>
                <w:bCs w:val="1"/>
                <w:color w:val="auto"/>
                <w:w w:val="96"/>
              </w:rPr>
              <w:t>Loan evolution measured in average daily balances by segment</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720" w:type="dxa"/>
            <w:vAlign w:val="bottom"/>
            <w:gridSpan w:val="6"/>
          </w:tcPr>
          <w:p>
            <w:pPr>
              <w:jc w:val="right"/>
              <w:ind w:right="320"/>
              <w:spacing w:after="0"/>
              <w:rPr>
                <w:sz w:val="20"/>
                <w:szCs w:val="20"/>
                <w:color w:val="auto"/>
              </w:rPr>
            </w:pPr>
            <w:r>
              <w:rPr>
                <w:rFonts w:ascii="Arial" w:cs="Arial" w:eastAsia="Arial" w:hAnsi="Arial"/>
                <w:sz w:val="18"/>
                <w:szCs w:val="18"/>
                <w:b w:val="1"/>
                <w:bCs w:val="1"/>
                <w:color w:val="auto"/>
                <w:w w:val="95"/>
              </w:rPr>
              <w:t>TOTAL LOANS, in average daily balances</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gridSpan w:val="3"/>
            <w:vMerge w:val="restart"/>
          </w:tcPr>
          <w:p>
            <w:pPr>
              <w:jc w:val="center"/>
              <w:ind w:right="120"/>
              <w:spacing w:after="0"/>
              <w:rPr>
                <w:sz w:val="20"/>
                <w:szCs w:val="20"/>
                <w:color w:val="auto"/>
              </w:rPr>
            </w:pPr>
            <w:r>
              <w:rPr>
                <w:rFonts w:ascii="Arial" w:cs="Arial" w:eastAsia="Arial" w:hAnsi="Arial"/>
                <w:sz w:val="18"/>
                <w:szCs w:val="18"/>
                <w:b w:val="1"/>
                <w:bCs w:val="1"/>
                <w:color w:val="auto"/>
                <w:w w:val="96"/>
              </w:rPr>
              <w:t>% Part. in Total</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720" w:type="dxa"/>
            <w:vAlign w:val="bottom"/>
            <w:gridSpan w:val="6"/>
          </w:tcPr>
          <w:p>
            <w:pPr>
              <w:jc w:val="right"/>
              <w:ind w:right="660"/>
              <w:spacing w:after="0"/>
              <w:rPr>
                <w:sz w:val="20"/>
                <w:szCs w:val="20"/>
                <w:color w:val="auto"/>
              </w:rPr>
            </w:pPr>
            <w:r>
              <w:rPr>
                <w:rFonts w:ascii="Arial" w:cs="Arial" w:eastAsia="Arial" w:hAnsi="Arial"/>
                <w:sz w:val="18"/>
                <w:szCs w:val="18"/>
                <w:i w:val="1"/>
                <w:iCs w:val="1"/>
                <w:color w:val="auto"/>
              </w:rPr>
              <w:t>(Expressed in million Nuevos Soles)</w:t>
            </w: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00" w:type="dxa"/>
            <w:vAlign w:val="bottom"/>
            <w:tcBorders>
              <w:bottom w:val="single" w:sz="8" w:color="CCEEFF"/>
            </w:tcBorders>
          </w:tcPr>
          <w:p>
            <w:pPr>
              <w:spacing w:after="0"/>
              <w:rPr>
                <w:sz w:val="20"/>
                <w:szCs w:val="20"/>
                <w:color w:val="auto"/>
              </w:rPr>
            </w:pPr>
          </w:p>
        </w:tc>
        <w:tc>
          <w:tcPr>
            <w:tcW w:w="96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2Q14</w:t>
            </w:r>
          </w:p>
        </w:tc>
        <w:tc>
          <w:tcPr>
            <w:tcW w:w="22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1Q15</w:t>
            </w:r>
          </w:p>
        </w:tc>
        <w:tc>
          <w:tcPr>
            <w:tcW w:w="22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2Q15</w:t>
            </w:r>
          </w:p>
        </w:tc>
        <w:tc>
          <w:tcPr>
            <w:tcW w:w="22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YoY</w:t>
            </w:r>
          </w:p>
        </w:tc>
        <w:tc>
          <w:tcPr>
            <w:tcW w:w="2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loans - 2Q15</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BCP Stand-alone</w:t>
            </w:r>
          </w:p>
        </w:tc>
        <w:tc>
          <w:tcPr>
            <w:tcW w:w="9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59,678</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67,729</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70,509</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4.1%</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18.1%</w:t>
            </w:r>
          </w:p>
        </w:tc>
        <w:tc>
          <w:tcPr>
            <w:tcW w:w="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ind w:left="140"/>
              <w:spacing w:after="0"/>
              <w:rPr>
                <w:sz w:val="20"/>
                <w:szCs w:val="20"/>
                <w:color w:val="auto"/>
              </w:rPr>
            </w:pPr>
            <w:r>
              <w:rPr>
                <w:rFonts w:ascii="Arial" w:cs="Arial" w:eastAsia="Arial" w:hAnsi="Arial"/>
                <w:sz w:val="18"/>
                <w:szCs w:val="18"/>
                <w:b w:val="1"/>
                <w:bCs w:val="1"/>
                <w:color w:val="auto"/>
              </w:rPr>
              <w:t>Wholesale Banking</w:t>
            </w:r>
          </w:p>
        </w:tc>
        <w:tc>
          <w:tcPr>
            <w:tcW w:w="216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31,035</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36,110</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38,081</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5.5%</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22.7%</w:t>
            </w:r>
          </w:p>
        </w:tc>
        <w:tc>
          <w:tcPr>
            <w:tcW w:w="1500" w:type="dxa"/>
            <w:vAlign w:val="bottom"/>
            <w:gridSpan w:val="3"/>
          </w:tcPr>
          <w:p>
            <w:pPr>
              <w:jc w:val="right"/>
              <w:spacing w:after="0"/>
              <w:rPr>
                <w:sz w:val="20"/>
                <w:szCs w:val="20"/>
                <w:color w:val="auto"/>
              </w:rPr>
            </w:pPr>
            <w:r>
              <w:rPr>
                <w:rFonts w:ascii="Arial" w:cs="Arial" w:eastAsia="Arial" w:hAnsi="Arial"/>
                <w:sz w:val="18"/>
                <w:szCs w:val="18"/>
                <w:b w:val="1"/>
                <w:bCs w:val="1"/>
                <w:color w:val="auto"/>
              </w:rPr>
              <w:t>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Corporate</w:t>
            </w:r>
          </w:p>
        </w:tc>
        <w:tc>
          <w:tcPr>
            <w:tcW w:w="2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19,790</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23,414</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25,236</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27.5%</w:t>
            </w:r>
          </w:p>
        </w:tc>
        <w:tc>
          <w:tcPr>
            <w:tcW w:w="15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ind w:left="260"/>
              <w:spacing w:after="0"/>
              <w:rPr>
                <w:sz w:val="20"/>
                <w:szCs w:val="20"/>
                <w:color w:val="auto"/>
              </w:rPr>
            </w:pPr>
            <w:r>
              <w:rPr>
                <w:rFonts w:ascii="Arial" w:cs="Arial" w:eastAsia="Arial" w:hAnsi="Arial"/>
                <w:sz w:val="18"/>
                <w:szCs w:val="18"/>
                <w:color w:val="auto"/>
              </w:rPr>
              <w:t>Middle - Market</w:t>
            </w:r>
          </w:p>
        </w:tc>
        <w:tc>
          <w:tcPr>
            <w:tcW w:w="2160" w:type="dxa"/>
            <w:vAlign w:val="bottom"/>
            <w:gridSpan w:val="3"/>
          </w:tcPr>
          <w:p>
            <w:pPr>
              <w:jc w:val="right"/>
              <w:ind w:right="220"/>
              <w:spacing w:after="0"/>
              <w:rPr>
                <w:sz w:val="20"/>
                <w:szCs w:val="20"/>
                <w:color w:val="auto"/>
              </w:rPr>
            </w:pPr>
            <w:r>
              <w:rPr>
                <w:rFonts w:ascii="Arial" w:cs="Arial" w:eastAsia="Arial" w:hAnsi="Arial"/>
                <w:sz w:val="18"/>
                <w:szCs w:val="18"/>
                <w:color w:val="auto"/>
              </w:rPr>
              <w:t>11,245</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12,696</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12,845</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14.2%</w:t>
            </w:r>
          </w:p>
        </w:tc>
        <w:tc>
          <w:tcPr>
            <w:tcW w:w="1500" w:type="dxa"/>
            <w:vAlign w:val="bottom"/>
            <w:gridSpan w:val="3"/>
          </w:tcPr>
          <w:p>
            <w:pPr>
              <w:jc w:val="right"/>
              <w:ind w:right="4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Retail Banking</w:t>
            </w:r>
          </w:p>
        </w:tc>
        <w:tc>
          <w:tcPr>
            <w:tcW w:w="2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28,199</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31,118</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31,900</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2.5%</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13.1%</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ind w:left="260"/>
              <w:spacing w:after="0"/>
              <w:rPr>
                <w:sz w:val="20"/>
                <w:szCs w:val="20"/>
                <w:color w:val="auto"/>
              </w:rPr>
            </w:pPr>
            <w:r>
              <w:rPr>
                <w:rFonts w:ascii="Arial" w:cs="Arial" w:eastAsia="Arial" w:hAnsi="Arial"/>
                <w:sz w:val="18"/>
                <w:szCs w:val="18"/>
                <w:color w:val="auto"/>
              </w:rPr>
              <w:t>SME - Business</w:t>
            </w:r>
          </w:p>
        </w:tc>
        <w:tc>
          <w:tcPr>
            <w:tcW w:w="2160" w:type="dxa"/>
            <w:vAlign w:val="bottom"/>
            <w:gridSpan w:val="3"/>
          </w:tcPr>
          <w:p>
            <w:pPr>
              <w:jc w:val="right"/>
              <w:ind w:right="220"/>
              <w:spacing w:after="0"/>
              <w:rPr>
                <w:sz w:val="20"/>
                <w:szCs w:val="20"/>
                <w:color w:val="auto"/>
              </w:rPr>
            </w:pPr>
            <w:r>
              <w:rPr>
                <w:rFonts w:ascii="Arial" w:cs="Arial" w:eastAsia="Arial" w:hAnsi="Arial"/>
                <w:sz w:val="18"/>
                <w:szCs w:val="18"/>
                <w:color w:val="auto"/>
              </w:rPr>
              <w:t>2,517</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3,237</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3,408</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5.3%</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35.4%</w:t>
            </w:r>
          </w:p>
        </w:tc>
        <w:tc>
          <w:tcPr>
            <w:tcW w:w="1500" w:type="dxa"/>
            <w:vAlign w:val="bottom"/>
            <w:gridSpan w:val="3"/>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SME - Pyme</w:t>
            </w:r>
          </w:p>
        </w:tc>
        <w:tc>
          <w:tcPr>
            <w:tcW w:w="2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6,921</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6,928</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6,865</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-0.9%</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-0.8%</w:t>
            </w:r>
          </w:p>
        </w:tc>
        <w:tc>
          <w:tcPr>
            <w:tcW w:w="15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ind w:left="260"/>
              <w:spacing w:after="0"/>
              <w:rPr>
                <w:sz w:val="20"/>
                <w:szCs w:val="20"/>
                <w:color w:val="auto"/>
              </w:rPr>
            </w:pPr>
            <w:r>
              <w:rPr>
                <w:rFonts w:ascii="Arial" w:cs="Arial" w:eastAsia="Arial" w:hAnsi="Arial"/>
                <w:sz w:val="18"/>
                <w:szCs w:val="18"/>
                <w:color w:val="auto"/>
              </w:rPr>
              <w:t>Mortgage</w:t>
            </w:r>
          </w:p>
        </w:tc>
        <w:tc>
          <w:tcPr>
            <w:tcW w:w="2160" w:type="dxa"/>
            <w:vAlign w:val="bottom"/>
            <w:gridSpan w:val="3"/>
          </w:tcPr>
          <w:p>
            <w:pPr>
              <w:jc w:val="right"/>
              <w:ind w:right="220"/>
              <w:spacing w:after="0"/>
              <w:rPr>
                <w:sz w:val="20"/>
                <w:szCs w:val="20"/>
                <w:color w:val="auto"/>
              </w:rPr>
            </w:pPr>
            <w:r>
              <w:rPr>
                <w:rFonts w:ascii="Arial" w:cs="Arial" w:eastAsia="Arial" w:hAnsi="Arial"/>
                <w:sz w:val="18"/>
                <w:szCs w:val="18"/>
                <w:color w:val="auto"/>
              </w:rPr>
              <w:t>10,247</w:t>
            </w:r>
          </w:p>
        </w:tc>
        <w:tc>
          <w:tcPr>
            <w:tcW w:w="980" w:type="dxa"/>
            <w:vAlign w:val="bottom"/>
          </w:tcPr>
          <w:p>
            <w:pPr>
              <w:jc w:val="right"/>
              <w:spacing w:after="0"/>
              <w:rPr>
                <w:sz w:val="20"/>
                <w:szCs w:val="20"/>
                <w:color w:val="auto"/>
              </w:rPr>
            </w:pPr>
            <w:r>
              <w:rPr>
                <w:rFonts w:ascii="Arial" w:cs="Arial" w:eastAsia="Arial" w:hAnsi="Arial"/>
                <w:sz w:val="18"/>
                <w:szCs w:val="18"/>
                <w:color w:val="auto"/>
              </w:rPr>
              <w:t>11,332</w:t>
            </w: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11,625</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2.6%</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13.5%</w:t>
            </w:r>
          </w:p>
        </w:tc>
        <w:tc>
          <w:tcPr>
            <w:tcW w:w="1500" w:type="dxa"/>
            <w:vAlign w:val="bottom"/>
            <w:gridSpan w:val="3"/>
          </w:tcPr>
          <w:p>
            <w:pPr>
              <w:jc w:val="right"/>
              <w:ind w:right="4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Consumer</w:t>
            </w:r>
          </w:p>
        </w:tc>
        <w:tc>
          <w:tcPr>
            <w:tcW w:w="2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5,555</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6,120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6,258</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12.6%</w:t>
            </w:r>
          </w:p>
        </w:tc>
        <w:tc>
          <w:tcPr>
            <w:tcW w:w="15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ind w:left="260"/>
              <w:spacing w:after="0"/>
              <w:rPr>
                <w:sz w:val="20"/>
                <w:szCs w:val="20"/>
                <w:color w:val="auto"/>
              </w:rPr>
            </w:pPr>
            <w:r>
              <w:rPr>
                <w:rFonts w:ascii="Arial" w:cs="Arial" w:eastAsia="Arial" w:hAnsi="Arial"/>
                <w:sz w:val="18"/>
                <w:szCs w:val="18"/>
                <w:color w:val="auto"/>
              </w:rPr>
              <w:t>Credit Card</w:t>
            </w:r>
          </w:p>
        </w:tc>
        <w:tc>
          <w:tcPr>
            <w:tcW w:w="2160" w:type="dxa"/>
            <w:vAlign w:val="bottom"/>
            <w:gridSpan w:val="3"/>
          </w:tcPr>
          <w:p>
            <w:pPr>
              <w:jc w:val="right"/>
              <w:ind w:right="220"/>
              <w:spacing w:after="0"/>
              <w:rPr>
                <w:sz w:val="20"/>
                <w:szCs w:val="20"/>
                <w:color w:val="auto"/>
              </w:rPr>
            </w:pPr>
            <w:r>
              <w:rPr>
                <w:rFonts w:ascii="Arial" w:cs="Arial" w:eastAsia="Arial" w:hAnsi="Arial"/>
                <w:sz w:val="18"/>
                <w:szCs w:val="18"/>
                <w:color w:val="auto"/>
              </w:rPr>
              <w:t>2,959</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3,501</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3,744</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6.9%</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26.5%</w:t>
            </w:r>
          </w:p>
        </w:tc>
        <w:tc>
          <w:tcPr>
            <w:tcW w:w="1500" w:type="dxa"/>
            <w:vAlign w:val="bottom"/>
            <w:gridSpan w:val="3"/>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800" w:type="dxa"/>
            <w:vAlign w:val="bottom"/>
            <w:shd w:val="clear" w:color="auto" w:fill="CCEEFF"/>
          </w:tcPr>
          <w:p>
            <w:pPr>
              <w:ind w:left="140"/>
              <w:spacing w:after="0" w:line="256" w:lineRule="exact"/>
              <w:rPr>
                <w:sz w:val="20"/>
                <w:szCs w:val="20"/>
                <w:color w:val="auto"/>
              </w:rPr>
            </w:pPr>
            <w:r>
              <w:rPr>
                <w:rFonts w:ascii="Arial" w:cs="Arial" w:eastAsia="Arial" w:hAnsi="Arial"/>
                <w:sz w:val="18"/>
                <w:szCs w:val="18"/>
                <w:b w:val="1"/>
                <w:bCs w:val="1"/>
                <w:color w:val="auto"/>
              </w:rPr>
              <w:t xml:space="preserve">Others </w:t>
            </w:r>
            <w:r>
              <w:rPr>
                <w:rFonts w:ascii="Arial" w:cs="Arial" w:eastAsia="Arial" w:hAnsi="Arial"/>
                <w:sz w:val="29"/>
                <w:szCs w:val="29"/>
                <w:b w:val="1"/>
                <w:bCs w:val="1"/>
                <w:color w:val="auto"/>
                <w:vertAlign w:val="superscript"/>
              </w:rPr>
              <w:t>(1)</w:t>
            </w:r>
          </w:p>
        </w:tc>
        <w:tc>
          <w:tcPr>
            <w:tcW w:w="2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444</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501</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528</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5.4%</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18.9%</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0.6%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800" w:type="dxa"/>
            <w:vAlign w:val="bottom"/>
          </w:tcPr>
          <w:p>
            <w:pPr>
              <w:spacing w:after="0" w:line="256" w:lineRule="exact"/>
              <w:rPr>
                <w:sz w:val="20"/>
                <w:szCs w:val="20"/>
                <w:color w:val="auto"/>
              </w:rPr>
            </w:pPr>
            <w:r>
              <w:rPr>
                <w:rFonts w:ascii="Arial" w:cs="Arial" w:eastAsia="Arial" w:hAnsi="Arial"/>
                <w:sz w:val="18"/>
                <w:szCs w:val="18"/>
                <w:b w:val="1"/>
                <w:bCs w:val="1"/>
                <w:color w:val="auto"/>
              </w:rPr>
              <w:t xml:space="preserve">Mibanco </w:t>
            </w:r>
            <w:r>
              <w:rPr>
                <w:rFonts w:ascii="Arial" w:cs="Arial" w:eastAsia="Arial" w:hAnsi="Arial"/>
                <w:sz w:val="29"/>
                <w:szCs w:val="29"/>
                <w:b w:val="1"/>
                <w:bCs w:val="1"/>
                <w:color w:val="auto"/>
                <w:vertAlign w:val="superscript"/>
              </w:rPr>
              <w:t>(2)(3)</w:t>
            </w:r>
          </w:p>
        </w:tc>
        <w:tc>
          <w:tcPr>
            <w:tcW w:w="216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7,136</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7,447</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7,353</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-1.3%</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3.0%</w:t>
            </w:r>
          </w:p>
        </w:tc>
        <w:tc>
          <w:tcPr>
            <w:tcW w:w="1500" w:type="dxa"/>
            <w:vAlign w:val="bottom"/>
            <w:gridSpan w:val="3"/>
          </w:tcPr>
          <w:p>
            <w:pPr>
              <w:jc w:val="right"/>
              <w:spacing w:after="0"/>
              <w:rPr>
                <w:sz w:val="20"/>
                <w:szCs w:val="20"/>
                <w:color w:val="auto"/>
              </w:rPr>
            </w:pPr>
            <w:r>
              <w:rPr>
                <w:rFonts w:ascii="Arial" w:cs="Arial" w:eastAsia="Arial" w:hAnsi="Arial"/>
                <w:sz w:val="18"/>
                <w:szCs w:val="18"/>
                <w:b w:val="1"/>
                <w:bCs w:val="1"/>
                <w:color w:val="auto"/>
              </w:rPr>
              <w:t>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Bolivia</w:t>
            </w:r>
          </w:p>
        </w:tc>
        <w:tc>
          <w:tcPr>
            <w:tcW w:w="2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3,021</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3,590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3,806</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6.0%</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26.0%</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00" w:type="dxa"/>
            <w:vAlign w:val="bottom"/>
          </w:tcPr>
          <w:p>
            <w:pPr>
              <w:spacing w:after="0"/>
              <w:rPr>
                <w:sz w:val="20"/>
                <w:szCs w:val="20"/>
                <w:color w:val="auto"/>
              </w:rPr>
            </w:pPr>
            <w:r>
              <w:rPr>
                <w:rFonts w:ascii="Arial" w:cs="Arial" w:eastAsia="Arial" w:hAnsi="Arial"/>
                <w:sz w:val="18"/>
                <w:szCs w:val="18"/>
                <w:b w:val="1"/>
                <w:bCs w:val="1"/>
                <w:color w:val="auto"/>
              </w:rPr>
              <w:t>ASB</w:t>
            </w:r>
          </w:p>
        </w:tc>
        <w:tc>
          <w:tcPr>
            <w:tcW w:w="216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2,144</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2,519</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2,726</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8.2%</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27.1%</w:t>
            </w:r>
          </w:p>
        </w:tc>
        <w:tc>
          <w:tcPr>
            <w:tcW w:w="1500" w:type="dxa"/>
            <w:vAlign w:val="bottom"/>
            <w:gridSpan w:val="3"/>
          </w:tcPr>
          <w:p>
            <w:pPr>
              <w:jc w:val="right"/>
              <w:spacing w:after="0"/>
              <w:rPr>
                <w:sz w:val="20"/>
                <w:szCs w:val="20"/>
                <w:color w:val="auto"/>
              </w:rPr>
            </w:pPr>
            <w:r>
              <w:rPr>
                <w:rFonts w:ascii="Arial" w:cs="Arial" w:eastAsia="Arial" w:hAnsi="Arial"/>
                <w:sz w:val="18"/>
                <w:szCs w:val="18"/>
                <w:b w:val="1"/>
                <w:bCs w:val="1"/>
                <w:color w:val="auto"/>
              </w:rPr>
              <w:t>3.2%</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28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right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800" w:type="dxa"/>
            <w:vAlign w:val="bottom"/>
          </w:tcPr>
          <w:p>
            <w:pPr>
              <w:spacing w:after="0"/>
              <w:rPr>
                <w:sz w:val="20"/>
                <w:szCs w:val="20"/>
                <w:color w:val="auto"/>
              </w:rPr>
            </w:pPr>
            <w:r>
              <w:rPr>
                <w:rFonts w:ascii="Arial" w:cs="Arial" w:eastAsia="Arial" w:hAnsi="Arial"/>
                <w:sz w:val="18"/>
                <w:szCs w:val="18"/>
                <w:b w:val="1"/>
                <w:bCs w:val="1"/>
                <w:color w:val="auto"/>
              </w:rPr>
              <w:t>Total loans</w:t>
            </w:r>
          </w:p>
        </w:tc>
        <w:tc>
          <w:tcPr>
            <w:tcW w:w="9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71,980</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81,285</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84,394</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3.8%</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17.2%</w:t>
            </w:r>
          </w:p>
        </w:tc>
        <w:tc>
          <w:tcPr>
            <w:tcW w:w="1500" w:type="dxa"/>
            <w:vAlign w:val="bottom"/>
            <w:gridSpan w:val="3"/>
          </w:tcPr>
          <w:p>
            <w:pPr>
              <w:jc w:val="right"/>
              <w:spacing w:after="0"/>
              <w:rPr>
                <w:sz w:val="20"/>
                <w:szCs w:val="20"/>
                <w:color w:val="auto"/>
              </w:rPr>
            </w:pPr>
            <w:r>
              <w:rPr>
                <w:rFonts w:ascii="Arial" w:cs="Arial" w:eastAsia="Arial" w:hAnsi="Arial"/>
                <w:sz w:val="18"/>
                <w:szCs w:val="18"/>
                <w:b w:val="1"/>
                <w:bCs w:val="1"/>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For consolidation purposes, loans generated in FC are converted to LC.</w:t>
      </w:r>
    </w:p>
    <w:p>
      <w:pPr>
        <w:spacing w:after="0" w:line="23" w:lineRule="exact"/>
        <w:rPr>
          <w:sz w:val="20"/>
          <w:szCs w:val="20"/>
          <w:color w:val="auto"/>
        </w:rPr>
      </w:pPr>
    </w:p>
    <w:p>
      <w:pPr>
        <w:ind w:left="260" w:hanging="25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Work out unit, and other banking.</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Edyficar and Mibanco .</w:t>
      </w:r>
    </w:p>
    <w:p>
      <w:pPr>
        <w:spacing w:after="0" w:line="9" w:lineRule="exact"/>
        <w:rPr>
          <w:rFonts w:ascii="Arial" w:cs="Arial" w:eastAsia="Arial" w:hAnsi="Arial"/>
          <w:sz w:val="18"/>
          <w:szCs w:val="18"/>
          <w:color w:val="auto"/>
        </w:rPr>
      </w:pPr>
    </w:p>
    <w:p>
      <w:pPr>
        <w:ind w:right="4960" w:firstLine="8"/>
        <w:spacing w:after="0" w:line="261" w:lineRule="auto"/>
        <w:tabs>
          <w:tab w:leader="none" w:pos="255" w:val="left"/>
        </w:tabs>
        <w:numPr>
          <w:ilvl w:val="0"/>
          <w:numId w:val="9"/>
        </w:numPr>
        <w:rPr>
          <w:rFonts w:ascii="Arial" w:cs="Arial" w:eastAsia="Arial" w:hAnsi="Arial"/>
          <w:sz w:val="18"/>
          <w:szCs w:val="18"/>
          <w:color w:val="auto"/>
        </w:rPr>
      </w:pPr>
      <w:r>
        <w:rPr>
          <w:rFonts w:ascii="Arial" w:cs="Arial" w:eastAsia="Arial" w:hAnsi="Arial"/>
          <w:sz w:val="18"/>
          <w:szCs w:val="18"/>
          <w:color w:val="auto"/>
        </w:rPr>
        <w:t>1Q15 figure differs from that reported last quarter. Please consider this report’s figure. Source: BCP.</w:t>
      </w:r>
    </w:p>
    <w:p>
      <w:pPr>
        <w:spacing w:after="0" w:line="393"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11" w:name="page12"/>
    <w:bookmarkEnd w:id="11"/>
    <w:p>
      <w:pPr>
        <w:spacing w:after="0" w:line="313" w:lineRule="auto"/>
        <w:rPr>
          <w:sz w:val="20"/>
          <w:szCs w:val="20"/>
          <w:color w:val="auto"/>
        </w:rPr>
      </w:pPr>
      <w:r>
        <w:rPr>
          <w:rFonts w:ascii="Arial" w:cs="Arial" w:eastAsia="Arial" w:hAnsi="Arial"/>
          <w:sz w:val="17"/>
          <w:szCs w:val="17"/>
          <w:b w:val="1"/>
          <w:bCs w:val="1"/>
          <w:color w:val="auto"/>
        </w:rPr>
        <w:t xml:space="preserve">BCP Stand-alone </w:t>
      </w:r>
      <w:r>
        <w:rPr>
          <w:rFonts w:ascii="Arial" w:cs="Arial" w:eastAsia="Arial" w:hAnsi="Arial"/>
          <w:sz w:val="17"/>
          <w:szCs w:val="17"/>
          <w:color w:val="auto"/>
        </w:rPr>
        <w:t>reported an increase of +4.1% QoQ, which was led by the expansion registered in total loans in Corporate Banking (+7.8% QoQ) followed</w:t>
      </w:r>
      <w:r>
        <w:rPr>
          <w:rFonts w:ascii="Arial" w:cs="Arial" w:eastAsia="Arial" w:hAnsi="Arial"/>
          <w:sz w:val="17"/>
          <w:szCs w:val="17"/>
          <w:b w:val="1"/>
          <w:bCs w:val="1"/>
          <w:color w:val="auto"/>
        </w:rPr>
        <w:t xml:space="preserve"> </w:t>
      </w:r>
      <w:r>
        <w:rPr>
          <w:rFonts w:ascii="Arial" w:cs="Arial" w:eastAsia="Arial" w:hAnsi="Arial"/>
          <w:sz w:val="17"/>
          <w:szCs w:val="17"/>
          <w:color w:val="auto"/>
        </w:rPr>
        <w:t>by an increase in the portfolio of the Mortgage, Credit Card and Business segments (+2.6%, +6.9% and +5.3% QoQ respectively).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The +5.5% QoQ expansion in BCP Stand-alone’s Wholesale Banking loan book was due to:</w:t>
      </w:r>
    </w:p>
    <w:p>
      <w:pPr>
        <w:spacing w:after="0" w:line="221" w:lineRule="exact"/>
        <w:rPr>
          <w:sz w:val="20"/>
          <w:szCs w:val="20"/>
          <w:color w:val="auto"/>
        </w:rPr>
      </w:pPr>
    </w:p>
    <w:p>
      <w:pPr>
        <w:ind w:left="500" w:hanging="370"/>
        <w:spacing w:after="0" w:line="313" w:lineRule="auto"/>
        <w:tabs>
          <w:tab w:leader="none" w:pos="5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 xml:space="preserve">Excellent dynamism in </w:t>
      </w:r>
      <w:r>
        <w:rPr>
          <w:rFonts w:ascii="Arial" w:cs="Arial" w:eastAsia="Arial" w:hAnsi="Arial"/>
          <w:sz w:val="17"/>
          <w:szCs w:val="17"/>
          <w:b w:val="1"/>
          <w:bCs w:val="1"/>
          <w:color w:val="auto"/>
        </w:rPr>
        <w:t>Corporate Banking</w:t>
      </w:r>
      <w:r>
        <w:rPr>
          <w:rFonts w:ascii="Arial" w:cs="Arial" w:eastAsia="Arial" w:hAnsi="Arial"/>
          <w:sz w:val="17"/>
          <w:szCs w:val="17"/>
          <w:color w:val="auto"/>
        </w:rPr>
        <w:t>, which was mainly attributable to an increase in working capital and medium-long term financing, primarily in LC, which in turn led to growth of +16.9% QoQ in this portfolio. This offset the drop posted by the FC portfolio (-0.6% QoQ); and</w:t>
      </w:r>
    </w:p>
    <w:p>
      <w:pPr>
        <w:spacing w:after="0" w:line="138" w:lineRule="exact"/>
        <w:rPr>
          <w:rFonts w:ascii="Arial" w:cs="Arial" w:eastAsia="Arial" w:hAnsi="Arial"/>
          <w:sz w:val="17"/>
          <w:szCs w:val="17"/>
          <w:color w:val="auto"/>
        </w:rPr>
      </w:pPr>
    </w:p>
    <w:p>
      <w:pPr>
        <w:ind w:left="500" w:hanging="370"/>
        <w:spacing w:after="0" w:line="282"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Middle-Market Banking </w:t>
      </w:r>
      <w:r>
        <w:rPr>
          <w:rFonts w:ascii="Arial" w:cs="Arial" w:eastAsia="Arial" w:hAnsi="Arial"/>
          <w:sz w:val="18"/>
          <w:szCs w:val="18"/>
          <w:color w:val="auto"/>
        </w:rPr>
        <w:t>loans expanded +1.2% QoQ. This expansion was led by growth in the LC portfolio (+18.2% QoQ), which was primarily</w:t>
      </w:r>
      <w:r>
        <w:rPr>
          <w:rFonts w:ascii="Arial" w:cs="Arial" w:eastAsia="Arial" w:hAnsi="Arial"/>
          <w:sz w:val="18"/>
          <w:szCs w:val="18"/>
          <w:b w:val="1"/>
          <w:bCs w:val="1"/>
          <w:color w:val="auto"/>
        </w:rPr>
        <w:t xml:space="preserve"> </w:t>
      </w:r>
      <w:r>
        <w:rPr>
          <w:rFonts w:ascii="Arial" w:cs="Arial" w:eastAsia="Arial" w:hAnsi="Arial"/>
          <w:sz w:val="18"/>
          <w:szCs w:val="18"/>
          <w:color w:val="auto"/>
        </w:rPr>
        <w:t>attributable to an increase in medium-long term financing that offset the decrease in the FC portfolio (-9.9% QoQ).</w:t>
      </w:r>
    </w:p>
    <w:p>
      <w:pPr>
        <w:spacing w:after="0" w:line="166"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Retail Banking portfolio at BCP Stand-alone reported expansion of +2.5% QoQ. This was due mainly to loan growth in LC (+5.3% QoQ), which was in line with increases in the Mortgage, Credit Card and SME-Business segments. Variations by business segment within Retail Banking were due to:</w:t>
      </w:r>
    </w:p>
    <w:p>
      <w:pPr>
        <w:spacing w:after="0" w:line="143" w:lineRule="exact"/>
        <w:rPr>
          <w:sz w:val="20"/>
          <w:szCs w:val="20"/>
          <w:color w:val="auto"/>
        </w:rPr>
      </w:pPr>
    </w:p>
    <w:p>
      <w:pPr>
        <w:jc w:val="both"/>
        <w:ind w:left="500" w:hanging="370"/>
        <w:spacing w:after="0" w:line="261"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Mortgage</w:t>
      </w:r>
      <w:r>
        <w:rPr>
          <w:rFonts w:ascii="Arial" w:cs="Arial" w:eastAsia="Arial" w:hAnsi="Arial"/>
          <w:sz w:val="18"/>
          <w:szCs w:val="18"/>
          <w:color w:val="auto"/>
        </w:rPr>
        <w:t xml:space="preserve"> segment increased +2.6% QoQ, mainly due to expansion in the LC portfolio (+4.2% QoQ), whose share of total loans in the Mortgage segment increased from 65% in 1Q15 to 67% in 2Q15. This was in line with the good results generated by efforts to de-dollarize this segment, given that almost 100% of the amount disbursed this quarter was generated in LC. The FC portfolio continued to fall (-6.6% QoQ) due to amortizations and pre-cancellations.</w:t>
      </w:r>
    </w:p>
    <w:p>
      <w:pPr>
        <w:spacing w:after="0" w:line="180" w:lineRule="exact"/>
        <w:rPr>
          <w:rFonts w:ascii="Arial" w:cs="Arial" w:eastAsia="Arial" w:hAnsi="Arial"/>
          <w:sz w:val="18"/>
          <w:szCs w:val="18"/>
          <w:color w:val="auto"/>
        </w:rPr>
      </w:pPr>
    </w:p>
    <w:p>
      <w:pPr>
        <w:jc w:val="both"/>
        <w:ind w:left="500" w:hanging="370"/>
        <w:spacing w:after="0" w:line="303" w:lineRule="auto"/>
        <w:tabs>
          <w:tab w:leader="none" w:pos="5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 xml:space="preserve">The </w:t>
      </w:r>
      <w:r>
        <w:rPr>
          <w:rFonts w:ascii="Arial" w:cs="Arial" w:eastAsia="Arial" w:hAnsi="Arial"/>
          <w:sz w:val="16"/>
          <w:szCs w:val="16"/>
          <w:b w:val="1"/>
          <w:bCs w:val="1"/>
          <w:color w:val="auto"/>
        </w:rPr>
        <w:t>Credit Card</w:t>
      </w:r>
      <w:r>
        <w:rPr>
          <w:rFonts w:ascii="Arial" w:cs="Arial" w:eastAsia="Arial" w:hAnsi="Arial"/>
          <w:sz w:val="16"/>
          <w:szCs w:val="16"/>
          <w:color w:val="auto"/>
        </w:rPr>
        <w:t xml:space="preserve"> segment expanded +6.9% QoQ. Once again, this evolution was attributable to the +7.1% QoQ increase in the LC portfolio. The </w:t>
      </w:r>
      <w:r>
        <w:rPr>
          <w:rFonts w:ascii="Arial" w:cs="Arial" w:eastAsia="Arial" w:hAnsi="Arial"/>
          <w:sz w:val="16"/>
          <w:szCs w:val="16"/>
          <w:b w:val="1"/>
          <w:bCs w:val="1"/>
          <w:color w:val="auto"/>
        </w:rPr>
        <w:t xml:space="preserve">SME-Business </w:t>
      </w:r>
      <w:r>
        <w:rPr>
          <w:rFonts w:ascii="Arial" w:cs="Arial" w:eastAsia="Arial" w:hAnsi="Arial"/>
          <w:sz w:val="16"/>
          <w:szCs w:val="16"/>
          <w:color w:val="auto"/>
        </w:rPr>
        <w:t>segment registered growth of +5.3% QoQ that was led by an expansion in the LC portfolio (+26.2% QoQ). The aforementioned is in</w:t>
      </w:r>
      <w:r>
        <w:rPr>
          <w:rFonts w:ascii="Arial" w:cs="Arial" w:eastAsia="Arial" w:hAnsi="Arial"/>
          <w:sz w:val="16"/>
          <w:szCs w:val="16"/>
          <w:b w:val="1"/>
          <w:bCs w:val="1"/>
          <w:color w:val="auto"/>
        </w:rPr>
        <w:t xml:space="preserve"> </w:t>
      </w:r>
      <w:r>
        <w:rPr>
          <w:rFonts w:ascii="Arial" w:cs="Arial" w:eastAsia="Arial" w:hAnsi="Arial"/>
          <w:sz w:val="16"/>
          <w:szCs w:val="16"/>
          <w:color w:val="auto"/>
        </w:rPr>
        <w:t>line with efforts to de-dollarize this portfolio, mainly in terms of clients exposed to FX risk on credit risk, and that represent a higher risk according to internal credit ratings. This period, FC loans expanded +9.6% QoQ. Nonetheless, this increase does not represent a substantial risk as explained later.</w:t>
      </w:r>
    </w:p>
    <w:p>
      <w:pPr>
        <w:spacing w:after="0" w:line="151" w:lineRule="exact"/>
        <w:rPr>
          <w:rFonts w:ascii="Arial" w:cs="Arial" w:eastAsia="Arial" w:hAnsi="Arial"/>
          <w:sz w:val="16"/>
          <w:szCs w:val="16"/>
          <w:color w:val="auto"/>
        </w:rPr>
      </w:pPr>
    </w:p>
    <w:p>
      <w:pPr>
        <w:ind w:left="500" w:hanging="370"/>
        <w:spacing w:after="0" w:line="282"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Consumer</w:t>
      </w:r>
      <w:r>
        <w:rPr>
          <w:rFonts w:ascii="Arial" w:cs="Arial" w:eastAsia="Arial" w:hAnsi="Arial"/>
          <w:sz w:val="18"/>
          <w:szCs w:val="18"/>
          <w:color w:val="auto"/>
        </w:rPr>
        <w:t xml:space="preserve"> segment increased +2.3% QoQ, mainly due to an increase in the LC portfolio (+4.6% QoQ), which represents approximately 81% of total consumer loans, that helped offset a reduction in the FC portfolio (-8.6% QoQ).</w:t>
      </w:r>
    </w:p>
    <w:p>
      <w:pPr>
        <w:spacing w:after="0" w:line="161" w:lineRule="exact"/>
        <w:rPr>
          <w:rFonts w:ascii="Arial" w:cs="Arial" w:eastAsia="Arial" w:hAnsi="Arial"/>
          <w:sz w:val="18"/>
          <w:szCs w:val="18"/>
          <w:color w:val="auto"/>
        </w:rPr>
      </w:pPr>
    </w:p>
    <w:p>
      <w:pPr>
        <w:jc w:val="both"/>
        <w:ind w:left="500" w:hanging="370"/>
        <w:spacing w:after="0" w:line="266"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SME-Pyme</w:t>
      </w:r>
      <w:r>
        <w:rPr>
          <w:rFonts w:ascii="Arial" w:cs="Arial" w:eastAsia="Arial" w:hAnsi="Arial"/>
          <w:sz w:val="18"/>
          <w:szCs w:val="18"/>
          <w:color w:val="auto"/>
        </w:rPr>
        <w:t xml:space="preserve"> segment once again posted a slight decline of -0.9% QoQ that was mainly associated with debt payment of loans granted in the second half of 2014, and a decrease in the pace of origination. The latter was in line with the adjustments made to risk models, which are now more demanding and are expected to become increasingly so in a scenario of low economic growth.</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BCP Bolivia </w:t>
      </w:r>
      <w:r>
        <w:rPr>
          <w:rFonts w:ascii="Arial" w:cs="Arial" w:eastAsia="Arial" w:hAnsi="Arial"/>
          <w:sz w:val="18"/>
          <w:szCs w:val="18"/>
          <w:color w:val="auto"/>
        </w:rPr>
        <w:t>continued to post good dynamism on the loan and registered growth of +6.0% QoQ in average daily balances and +7.4% QoQ in quarter-end</w:t>
      </w:r>
      <w:r>
        <w:rPr>
          <w:rFonts w:ascii="Arial" w:cs="Arial" w:eastAsia="Arial" w:hAnsi="Arial"/>
          <w:sz w:val="18"/>
          <w:szCs w:val="18"/>
          <w:b w:val="1"/>
          <w:bCs w:val="1"/>
          <w:color w:val="auto"/>
        </w:rPr>
        <w:t xml:space="preserve"> </w:t>
      </w:r>
      <w:r>
        <w:rPr>
          <w:rFonts w:ascii="Arial" w:cs="Arial" w:eastAsia="Arial" w:hAnsi="Arial"/>
          <w:sz w:val="18"/>
          <w:szCs w:val="18"/>
          <w:color w:val="auto"/>
        </w:rPr>
        <w:t>balances. The aforementioned was in line with growth in the Wholesale Banking portfolio (+7.5% QoQ), which represented 60% of total growth this quarter that was due primarily to an increase in Corporate loans.</w:t>
      </w:r>
    </w:p>
    <w:p>
      <w:pPr>
        <w:spacing w:after="0" w:line="176"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 xml:space="preserve">ASB </w:t>
      </w:r>
      <w:r>
        <w:rPr>
          <w:rFonts w:ascii="Arial" w:cs="Arial" w:eastAsia="Arial" w:hAnsi="Arial"/>
          <w:sz w:val="16"/>
          <w:szCs w:val="16"/>
          <w:color w:val="auto"/>
        </w:rPr>
        <w:t>reported growth of +8.2% QoQ in average daily balances and +4.6% in quarter-end balances. The difference in these growth levels was due primarily to</w:t>
      </w:r>
      <w:r>
        <w:rPr>
          <w:rFonts w:ascii="Arial" w:cs="Arial" w:eastAsia="Arial" w:hAnsi="Arial"/>
          <w:sz w:val="16"/>
          <w:szCs w:val="16"/>
          <w:b w:val="1"/>
          <w:bCs w:val="1"/>
          <w:color w:val="auto"/>
        </w:rPr>
        <w:t xml:space="preserve"> </w:t>
      </w:r>
      <w:r>
        <w:rPr>
          <w:rFonts w:ascii="Arial" w:cs="Arial" w:eastAsia="Arial" w:hAnsi="Arial"/>
          <w:sz w:val="16"/>
          <w:szCs w:val="16"/>
          <w:color w:val="auto"/>
        </w:rPr>
        <w:t>the 2.62% QoQ appreciation in the US Dollar, which had a direct impact on the ASB portfolio that is denominated completely in FC (US Dollars).</w:t>
      </w:r>
    </w:p>
    <w:p>
      <w:pPr>
        <w:spacing w:after="0" w:line="11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Finally, </w:t>
      </w:r>
      <w:r>
        <w:rPr>
          <w:rFonts w:ascii="Arial" w:cs="Arial" w:eastAsia="Arial" w:hAnsi="Arial"/>
          <w:sz w:val="18"/>
          <w:szCs w:val="18"/>
          <w:b w:val="1"/>
          <w:bCs w:val="1"/>
          <w:color w:val="auto"/>
        </w:rPr>
        <w:t>Mibanco’s</w:t>
      </w:r>
      <w:r>
        <w:rPr>
          <w:rFonts w:ascii="Arial" w:cs="Arial" w:eastAsia="Arial" w:hAnsi="Arial"/>
          <w:sz w:val="18"/>
          <w:szCs w:val="18"/>
          <w:color w:val="auto"/>
        </w:rPr>
        <w:t xml:space="preserve"> portfolio, measured in average daily balances, experienced a slight decline of -1.3% QoQ, but measured in period-end balances, increased +0.6% QoQ. This difference was primarily attributable to low origination during the first few months of 2Q15.</w:t>
      </w:r>
    </w:p>
    <w:p>
      <w:pPr>
        <w:spacing w:after="0" w:line="37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2" w:name="page13"/>
    <w:bookmarkEnd w:id="12"/>
    <w:p>
      <w:pPr>
        <w:spacing w:after="0"/>
        <w:tabs>
          <w:tab w:leader="none" w:pos="480" w:val="left"/>
        </w:tabs>
        <w:rPr>
          <w:sz w:val="20"/>
          <w:szCs w:val="20"/>
          <w:color w:val="auto"/>
        </w:rPr>
      </w:pPr>
      <w:r>
        <w:rPr>
          <w:rFonts w:ascii="Arial" w:cs="Arial" w:eastAsia="Arial" w:hAnsi="Arial"/>
          <w:sz w:val="18"/>
          <w:szCs w:val="18"/>
          <w:i w:val="1"/>
          <w:iCs w:val="1"/>
          <w:color w:val="auto"/>
        </w:rPr>
        <w:t>1.2.2</w:t>
      </w:r>
      <w:r>
        <w:rPr>
          <w:sz w:val="20"/>
          <w:szCs w:val="20"/>
          <w:color w:val="auto"/>
        </w:rPr>
        <w:tab/>
      </w:r>
      <w:r>
        <w:rPr>
          <w:rFonts w:ascii="Arial" w:cs="Arial" w:eastAsia="Arial" w:hAnsi="Arial"/>
          <w:sz w:val="16"/>
          <w:szCs w:val="16"/>
          <w:i w:val="1"/>
          <w:iCs w:val="1"/>
          <w:color w:val="auto"/>
        </w:rPr>
        <w:t>Loan evolution by currency</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 evolution by currency - average daily balances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2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rPr>
              <w:t>DOMESTIC CURRENCY LOANS</w:t>
            </w: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6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rPr>
              <w:t>FOREIGN CURRENCY LOANS</w:t>
            </w: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2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 Part. by currency</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20" w:type="dxa"/>
            <w:vAlign w:val="bottom"/>
            <w:gridSpan w:val="6"/>
          </w:tcPr>
          <w:p>
            <w:pPr>
              <w:jc w:val="right"/>
              <w:ind w:right="300"/>
              <w:spacing w:after="0"/>
              <w:rPr>
                <w:sz w:val="20"/>
                <w:szCs w:val="20"/>
                <w:color w:val="auto"/>
              </w:rPr>
            </w:pPr>
            <w:r>
              <w:rPr>
                <w:rFonts w:ascii="Arial" w:cs="Arial" w:eastAsia="Arial" w:hAnsi="Arial"/>
                <w:sz w:val="14"/>
                <w:szCs w:val="14"/>
                <w:i w:val="1"/>
                <w:iCs w:val="1"/>
                <w:color w:val="auto"/>
                <w:w w:val="98"/>
              </w:rPr>
              <w:t>(Expressed in million Nuevos Soles)</w:t>
            </w: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60" w:type="dxa"/>
            <w:vAlign w:val="bottom"/>
            <w:gridSpan w:val="6"/>
          </w:tcPr>
          <w:p>
            <w:pPr>
              <w:jc w:val="center"/>
              <w:ind w:right="260"/>
              <w:spacing w:after="0"/>
              <w:rPr>
                <w:sz w:val="20"/>
                <w:szCs w:val="20"/>
                <w:color w:val="auto"/>
              </w:rPr>
            </w:pPr>
            <w:r>
              <w:rPr>
                <w:rFonts w:ascii="Arial" w:cs="Arial" w:eastAsia="Arial" w:hAnsi="Arial"/>
                <w:sz w:val="14"/>
                <w:szCs w:val="14"/>
                <w:i w:val="1"/>
                <w:iCs w:val="1"/>
                <w:color w:val="auto"/>
                <w:w w:val="95"/>
              </w:rPr>
              <w:t>(Expressed in million USD)</w:t>
            </w: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2Q15</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2Q14</w:t>
            </w:r>
          </w:p>
        </w:tc>
        <w:tc>
          <w:tcPr>
            <w:tcW w:w="18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1Q15</w:t>
            </w:r>
          </w:p>
        </w:tc>
        <w:tc>
          <w:tcPr>
            <w:tcW w:w="20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2Q15</w:t>
            </w:r>
          </w:p>
        </w:tc>
        <w:tc>
          <w:tcPr>
            <w:tcW w:w="20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QoQ</w:t>
            </w:r>
          </w:p>
        </w:tc>
        <w:tc>
          <w:tcPr>
            <w:tcW w:w="26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YoY</w:t>
            </w:r>
          </w:p>
        </w:tc>
        <w:tc>
          <w:tcPr>
            <w:tcW w:w="24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2Q14</w:t>
            </w:r>
          </w:p>
        </w:tc>
        <w:tc>
          <w:tcPr>
            <w:tcW w:w="22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1Q15</w:t>
            </w:r>
          </w:p>
        </w:tc>
        <w:tc>
          <w:tcPr>
            <w:tcW w:w="22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2Q15</w:t>
            </w:r>
          </w:p>
        </w:tc>
        <w:tc>
          <w:tcPr>
            <w:tcW w:w="2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QoQ</w:t>
            </w:r>
          </w:p>
        </w:tc>
        <w:tc>
          <w:tcPr>
            <w:tcW w:w="26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YoY</w:t>
            </w:r>
          </w:p>
        </w:tc>
        <w:tc>
          <w:tcPr>
            <w:tcW w:w="26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LC</w:t>
            </w:r>
          </w:p>
        </w:tc>
        <w:tc>
          <w:tcPr>
            <w:tcW w:w="26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FC</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140" w:type="dxa"/>
            <w:vAlign w:val="bottom"/>
            <w:shd w:val="clear" w:color="auto" w:fill="CCEEFF"/>
          </w:tcPr>
          <w:p>
            <w:pPr>
              <w:spacing w:after="0" w:line="106" w:lineRule="exact"/>
              <w:rPr>
                <w:sz w:val="20"/>
                <w:szCs w:val="20"/>
                <w:color w:val="auto"/>
              </w:rPr>
            </w:pPr>
            <w:r>
              <w:rPr>
                <w:rFonts w:ascii="Arial" w:cs="Arial" w:eastAsia="Arial" w:hAnsi="Arial"/>
                <w:sz w:val="12"/>
                <w:szCs w:val="12"/>
                <w:b w:val="1"/>
                <w:bCs w:val="1"/>
                <w:color w:val="auto"/>
              </w:rPr>
              <w:t>BCP Stand-</w:t>
            </w:r>
          </w:p>
        </w:tc>
        <w:tc>
          <w:tcPr>
            <w:tcW w:w="8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30,815</w:t>
            </w:r>
          </w:p>
        </w:tc>
        <w:tc>
          <w:tcPr>
            <w:tcW w:w="8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36,434</w:t>
            </w:r>
          </w:p>
        </w:tc>
        <w:tc>
          <w:tcPr>
            <w:tcW w:w="8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40,017</w:t>
            </w:r>
          </w:p>
        </w:tc>
        <w:tc>
          <w:tcPr>
            <w:tcW w:w="8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9.8%</w:t>
            </w:r>
          </w:p>
        </w:tc>
        <w:tc>
          <w:tcPr>
            <w:tcW w:w="8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29.9%</w:t>
            </w: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10,345</w:t>
            </w: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10,072</w:t>
            </w:r>
          </w:p>
        </w:tc>
        <w:tc>
          <w:tcPr>
            <w:tcW w:w="8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9,670</w:t>
            </w:r>
          </w:p>
        </w:tc>
        <w:tc>
          <w:tcPr>
            <w:tcW w:w="9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-4.0%</w:t>
            </w:r>
          </w:p>
        </w:tc>
        <w:tc>
          <w:tcPr>
            <w:tcW w:w="9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-6.5%</w:t>
            </w:r>
          </w:p>
        </w:tc>
        <w:tc>
          <w:tcPr>
            <w:tcW w:w="9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56.8%</w:t>
            </w:r>
          </w:p>
        </w:tc>
        <w:tc>
          <w:tcPr>
            <w:tcW w:w="7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43.2%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alone</w:t>
            </w:r>
          </w:p>
        </w:tc>
        <w:tc>
          <w:tcPr>
            <w:tcW w:w="80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140" w:type="dxa"/>
            <w:vAlign w:val="bottom"/>
          </w:tcPr>
          <w:p>
            <w:pPr>
              <w:ind w:left="140"/>
              <w:spacing w:after="0" w:line="126" w:lineRule="exact"/>
              <w:rPr>
                <w:sz w:val="20"/>
                <w:szCs w:val="20"/>
                <w:color w:val="auto"/>
              </w:rPr>
            </w:pPr>
            <w:r>
              <w:rPr>
                <w:rFonts w:ascii="Arial" w:cs="Arial" w:eastAsia="Arial" w:hAnsi="Arial"/>
                <w:sz w:val="14"/>
                <w:szCs w:val="14"/>
                <w:b w:val="1"/>
                <w:bCs w:val="1"/>
                <w:color w:val="auto"/>
              </w:rPr>
              <w:t>Wholesale</w:t>
            </w: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10,104</w:t>
            </w:r>
          </w:p>
        </w:tc>
        <w:tc>
          <w:tcPr>
            <w:tcW w:w="8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13,742</w:t>
            </w: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16,125</w:t>
            </w:r>
          </w:p>
        </w:tc>
        <w:tc>
          <w:tcPr>
            <w:tcW w:w="86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17.3%</w:t>
            </w:r>
          </w:p>
        </w:tc>
        <w:tc>
          <w:tcPr>
            <w:tcW w:w="8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59.6%</w:t>
            </w: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7,502</w:t>
            </w: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7,260</w:t>
            </w: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6,963</w:t>
            </w:r>
          </w:p>
        </w:tc>
        <w:tc>
          <w:tcPr>
            <w:tcW w:w="92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-4.1%</w:t>
            </w:r>
          </w:p>
        </w:tc>
        <w:tc>
          <w:tcPr>
            <w:tcW w:w="90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-7.2%</w:t>
            </w:r>
          </w:p>
        </w:tc>
        <w:tc>
          <w:tcPr>
            <w:tcW w:w="92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42.3%</w:t>
            </w:r>
          </w:p>
        </w:tc>
        <w:tc>
          <w:tcPr>
            <w:tcW w:w="7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57.7%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40" w:type="dxa"/>
            <w:vAlign w:val="bottom"/>
          </w:tcPr>
          <w:p>
            <w:pPr>
              <w:ind w:left="140"/>
              <w:spacing w:after="0"/>
              <w:rPr>
                <w:sz w:val="20"/>
                <w:szCs w:val="20"/>
                <w:color w:val="auto"/>
              </w:rPr>
            </w:pPr>
            <w:r>
              <w:rPr>
                <w:rFonts w:ascii="Arial" w:cs="Arial" w:eastAsia="Arial" w:hAnsi="Arial"/>
                <w:sz w:val="14"/>
                <w:szCs w:val="14"/>
                <w:b w:val="1"/>
                <w:bCs w:val="1"/>
                <w:color w:val="auto"/>
              </w:rPr>
              <w:t>Banking</w:t>
            </w:r>
          </w:p>
        </w:tc>
        <w:tc>
          <w:tcPr>
            <w:tcW w:w="80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Corporate</w:t>
            </w: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6,763</w:t>
            </w: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9,362</w:t>
            </w: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10,947</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16.9%</w:t>
            </w: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61.9%</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4,669</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4,561</w:t>
            </w: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4,532</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-0.6%</w:t>
            </w: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-3.0%</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43.4%</w:t>
            </w:r>
          </w:p>
        </w:tc>
        <w:tc>
          <w:tcPr>
            <w:tcW w:w="7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56.6%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140" w:type="dxa"/>
            <w:vAlign w:val="bottom"/>
          </w:tcPr>
          <w:p>
            <w:pPr>
              <w:ind w:left="220"/>
              <w:spacing w:after="0" w:line="130" w:lineRule="exact"/>
              <w:rPr>
                <w:sz w:val="20"/>
                <w:szCs w:val="20"/>
                <w:color w:val="auto"/>
              </w:rPr>
            </w:pPr>
            <w:r>
              <w:rPr>
                <w:rFonts w:ascii="Arial" w:cs="Arial" w:eastAsia="Arial" w:hAnsi="Arial"/>
                <w:sz w:val="14"/>
                <w:szCs w:val="14"/>
                <w:color w:val="auto"/>
              </w:rPr>
              <w:t>Middle-</w:t>
            </w: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40" w:type="dxa"/>
            <w:vAlign w:val="bottom"/>
          </w:tcPr>
          <w:p>
            <w:pPr>
              <w:ind w:left="220"/>
              <w:spacing w:after="0"/>
              <w:rPr>
                <w:sz w:val="20"/>
                <w:szCs w:val="20"/>
                <w:color w:val="auto"/>
              </w:rPr>
            </w:pPr>
            <w:r>
              <w:rPr>
                <w:rFonts w:ascii="Arial" w:cs="Arial" w:eastAsia="Arial" w:hAnsi="Arial"/>
                <w:sz w:val="14"/>
                <w:szCs w:val="14"/>
                <w:color w:val="auto"/>
              </w:rPr>
              <w:t>Market</w:t>
            </w: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3,342</w:t>
            </w: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4,380</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5,178</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18.2%</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55.0%</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2,833</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2,699</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2,432</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-9.9%</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-14.2%</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40.3%</w:t>
            </w: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59.7%</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140" w:type="dxa"/>
            <w:vAlign w:val="bottom"/>
            <w:shd w:val="clear" w:color="auto" w:fill="CCEEFF"/>
          </w:tcPr>
          <w:p>
            <w:pPr>
              <w:ind w:left="140"/>
              <w:spacing w:after="0" w:line="126" w:lineRule="exact"/>
              <w:rPr>
                <w:sz w:val="20"/>
                <w:szCs w:val="20"/>
                <w:color w:val="auto"/>
              </w:rPr>
            </w:pPr>
            <w:r>
              <w:rPr>
                <w:rFonts w:ascii="Arial" w:cs="Arial" w:eastAsia="Arial" w:hAnsi="Arial"/>
                <w:sz w:val="14"/>
                <w:szCs w:val="14"/>
                <w:b w:val="1"/>
                <w:bCs w:val="1"/>
                <w:color w:val="auto"/>
              </w:rPr>
              <w:t>Retail</w:t>
            </w:r>
          </w:p>
        </w:tc>
        <w:tc>
          <w:tcPr>
            <w:tcW w:w="8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20,549</w:t>
            </w:r>
          </w:p>
        </w:tc>
        <w:tc>
          <w:tcPr>
            <w:tcW w:w="8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22,561</w:t>
            </w:r>
          </w:p>
        </w:tc>
        <w:tc>
          <w:tcPr>
            <w:tcW w:w="8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23,751</w:t>
            </w:r>
          </w:p>
        </w:tc>
        <w:tc>
          <w:tcPr>
            <w:tcW w:w="8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5.3%</w:t>
            </w:r>
          </w:p>
        </w:tc>
        <w:tc>
          <w:tcPr>
            <w:tcW w:w="8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15.6%</w:t>
            </w: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2,742</w:t>
            </w: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2,711</w:t>
            </w:r>
          </w:p>
        </w:tc>
        <w:tc>
          <w:tcPr>
            <w:tcW w:w="8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2,584</w:t>
            </w:r>
          </w:p>
        </w:tc>
        <w:tc>
          <w:tcPr>
            <w:tcW w:w="9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-4.7%</w:t>
            </w:r>
          </w:p>
        </w:tc>
        <w:tc>
          <w:tcPr>
            <w:tcW w:w="9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-5.8%</w:t>
            </w:r>
          </w:p>
        </w:tc>
        <w:tc>
          <w:tcPr>
            <w:tcW w:w="9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74.5%</w:t>
            </w:r>
          </w:p>
        </w:tc>
        <w:tc>
          <w:tcPr>
            <w:tcW w:w="7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25.5%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4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Banking</w:t>
            </w:r>
          </w:p>
        </w:tc>
        <w:tc>
          <w:tcPr>
            <w:tcW w:w="80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140" w:type="dxa"/>
            <w:vAlign w:val="bottom"/>
          </w:tcPr>
          <w:p>
            <w:pPr>
              <w:ind w:left="220"/>
              <w:spacing w:after="0" w:line="130" w:lineRule="exact"/>
              <w:rPr>
                <w:sz w:val="20"/>
                <w:szCs w:val="20"/>
                <w:color w:val="auto"/>
              </w:rPr>
            </w:pPr>
            <w:r>
              <w:rPr>
                <w:rFonts w:ascii="Arial" w:cs="Arial" w:eastAsia="Arial" w:hAnsi="Arial"/>
                <w:sz w:val="14"/>
                <w:szCs w:val="14"/>
                <w:color w:val="auto"/>
              </w:rPr>
              <w:t>SME -</w:t>
            </w: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40" w:type="dxa"/>
            <w:vAlign w:val="bottom"/>
          </w:tcPr>
          <w:p>
            <w:pPr>
              <w:ind w:left="220"/>
              <w:spacing w:after="0"/>
              <w:rPr>
                <w:sz w:val="20"/>
                <w:szCs w:val="20"/>
                <w:color w:val="auto"/>
              </w:rPr>
            </w:pPr>
            <w:r>
              <w:rPr>
                <w:rFonts w:ascii="Arial" w:cs="Arial" w:eastAsia="Arial" w:hAnsi="Arial"/>
                <w:sz w:val="14"/>
                <w:szCs w:val="14"/>
                <w:color w:val="auto"/>
              </w:rPr>
              <w:t>Business</w:t>
            </w:r>
          </w:p>
        </w:tc>
        <w:tc>
          <w:tcPr>
            <w:tcW w:w="620" w:type="dxa"/>
            <w:vAlign w:val="bottom"/>
          </w:tcPr>
          <w:p>
            <w:pPr>
              <w:jc w:val="right"/>
              <w:spacing w:after="0"/>
              <w:rPr>
                <w:sz w:val="20"/>
                <w:szCs w:val="20"/>
                <w:color w:val="auto"/>
              </w:rPr>
            </w:pPr>
            <w:r>
              <w:rPr>
                <w:rFonts w:ascii="Arial" w:cs="Arial" w:eastAsia="Arial" w:hAnsi="Arial"/>
                <w:sz w:val="14"/>
                <w:szCs w:val="14"/>
                <w:color w:val="auto"/>
              </w:rPr>
              <w:t>782</w:t>
            </w:r>
          </w:p>
        </w:tc>
        <w:tc>
          <w:tcPr>
            <w:tcW w:w="18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1,026</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1,294</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26.2%</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65.5%</w:t>
            </w:r>
          </w:p>
        </w:tc>
        <w:tc>
          <w:tcPr>
            <w:tcW w:w="660" w:type="dxa"/>
            <w:vAlign w:val="bottom"/>
          </w:tcPr>
          <w:p>
            <w:pPr>
              <w:jc w:val="right"/>
              <w:spacing w:after="0"/>
              <w:rPr>
                <w:sz w:val="20"/>
                <w:szCs w:val="20"/>
                <w:color w:val="auto"/>
              </w:rPr>
            </w:pPr>
            <w:r>
              <w:rPr>
                <w:rFonts w:ascii="Arial" w:cs="Arial" w:eastAsia="Arial" w:hAnsi="Arial"/>
                <w:sz w:val="14"/>
                <w:szCs w:val="14"/>
                <w:color w:val="auto"/>
              </w:rPr>
              <w:t>622</w:t>
            </w:r>
          </w:p>
        </w:tc>
        <w:tc>
          <w:tcPr>
            <w:tcW w:w="22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612</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670</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9.6%</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7.8%</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38.0%</w:t>
            </w: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62.0%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SME - Pyme</w:t>
            </w: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6,200</w:t>
            </w: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6,245</w:t>
            </w: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6,255</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0.2%</w:t>
            </w: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0.9%</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259</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261</w:t>
            </w: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193</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-26.0%</w:t>
            </w: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-25.2%</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91.1%</w:t>
            </w:r>
          </w:p>
        </w:tc>
        <w:tc>
          <w:tcPr>
            <w:tcW w:w="7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ind w:left="220"/>
              <w:spacing w:after="0" w:line="149" w:lineRule="exact"/>
              <w:rPr>
                <w:sz w:val="20"/>
                <w:szCs w:val="20"/>
                <w:color w:val="auto"/>
              </w:rPr>
            </w:pPr>
            <w:r>
              <w:rPr>
                <w:rFonts w:ascii="Arial" w:cs="Arial" w:eastAsia="Arial" w:hAnsi="Arial"/>
                <w:sz w:val="14"/>
                <w:szCs w:val="14"/>
                <w:color w:val="auto"/>
              </w:rPr>
              <w:t>Mortgage</w:t>
            </w: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6,536</w:t>
            </w: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7,326</w:t>
            </w: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7,796</w:t>
            </w: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6.4%</w:t>
            </w: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19.3%</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1,330</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1,300</w:t>
            </w: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1,214</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-6.6%</w:t>
            </w: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-8.7%</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67.1%</w:t>
            </w:r>
          </w:p>
        </w:tc>
        <w:tc>
          <w:tcPr>
            <w:tcW w:w="7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Consumer</w:t>
            </w: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4,402</w:t>
            </w: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4,842</w:t>
            </w: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5,063</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4.6%</w:t>
            </w: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15.0%</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413</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415</w:t>
            </w: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379</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-8.6%</w:t>
            </w: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-8.3%</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80.9%</w:t>
            </w:r>
          </w:p>
        </w:tc>
        <w:tc>
          <w:tcPr>
            <w:tcW w:w="7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ind w:left="220"/>
              <w:spacing w:after="0" w:line="149" w:lineRule="exact"/>
              <w:rPr>
                <w:sz w:val="20"/>
                <w:szCs w:val="20"/>
                <w:color w:val="auto"/>
              </w:rPr>
            </w:pPr>
            <w:r>
              <w:rPr>
                <w:rFonts w:ascii="Arial" w:cs="Arial" w:eastAsia="Arial" w:hAnsi="Arial"/>
                <w:sz w:val="14"/>
                <w:szCs w:val="14"/>
                <w:color w:val="auto"/>
              </w:rPr>
              <w:t>Credit Card</w:t>
            </w: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2,628</w:t>
            </w: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3,121</w:t>
            </w: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3,343</w:t>
            </w: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7.1%</w:t>
            </w: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27.2%</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119</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123</w:t>
            </w: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127</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3.1%</w:t>
            </w: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7.2%</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89.3%</w:t>
            </w:r>
          </w:p>
        </w:tc>
        <w:tc>
          <w:tcPr>
            <w:tcW w:w="7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140" w:type="dxa"/>
            <w:vAlign w:val="bottom"/>
            <w:shd w:val="clear" w:color="auto" w:fill="CCEEFF"/>
          </w:tcPr>
          <w:p>
            <w:pPr>
              <w:ind w:left="140"/>
              <w:spacing w:after="0" w:line="189" w:lineRule="exact"/>
              <w:rPr>
                <w:sz w:val="20"/>
                <w:szCs w:val="20"/>
                <w:color w:val="auto"/>
              </w:rPr>
            </w:pPr>
            <w:r>
              <w:rPr>
                <w:rFonts w:ascii="Arial" w:cs="Arial" w:eastAsia="Arial" w:hAnsi="Arial"/>
                <w:sz w:val="13"/>
                <w:szCs w:val="13"/>
                <w:b w:val="1"/>
                <w:bCs w:val="1"/>
                <w:color w:val="auto"/>
              </w:rPr>
              <w:t xml:space="preserve">Others </w:t>
            </w:r>
            <w:r>
              <w:rPr>
                <w:rFonts w:ascii="Arial" w:cs="Arial" w:eastAsia="Arial" w:hAnsi="Arial"/>
                <w:sz w:val="21"/>
                <w:szCs w:val="21"/>
                <w:b w:val="1"/>
                <w:bCs w:val="1"/>
                <w:color w:val="auto"/>
                <w:vertAlign w:val="superscript"/>
              </w:rPr>
              <w:t>(1)</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163</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131</w:t>
            </w: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141</w:t>
            </w:r>
          </w:p>
        </w:tc>
        <w:tc>
          <w:tcPr>
            <w:tcW w:w="2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7.7%</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-13.5%</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101</w:t>
            </w:r>
          </w:p>
        </w:tc>
        <w:tc>
          <w:tcPr>
            <w:tcW w:w="2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100</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123</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22.5%</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21.8%</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26.6%</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73.4%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140" w:type="dxa"/>
            <w:vAlign w:val="bottom"/>
          </w:tcPr>
          <w:p>
            <w:pPr>
              <w:spacing w:after="0" w:line="189" w:lineRule="exact"/>
              <w:rPr>
                <w:sz w:val="20"/>
                <w:szCs w:val="20"/>
                <w:color w:val="auto"/>
              </w:rPr>
            </w:pPr>
            <w:r>
              <w:rPr>
                <w:rFonts w:ascii="Arial" w:cs="Arial" w:eastAsia="Arial" w:hAnsi="Arial"/>
                <w:sz w:val="13"/>
                <w:szCs w:val="13"/>
                <w:b w:val="1"/>
                <w:bCs w:val="1"/>
                <w:color w:val="auto"/>
              </w:rPr>
              <w:t xml:space="preserve">Mibanco </w:t>
            </w:r>
            <w:r>
              <w:rPr>
                <w:rFonts w:ascii="Arial" w:cs="Arial" w:eastAsia="Arial" w:hAnsi="Arial"/>
                <w:sz w:val="21"/>
                <w:szCs w:val="21"/>
                <w:b w:val="1"/>
                <w:bCs w:val="1"/>
                <w:color w:val="auto"/>
                <w:vertAlign w:val="superscript"/>
              </w:rPr>
              <w:t>(2)(3)</w:t>
            </w:r>
          </w:p>
        </w:tc>
        <w:tc>
          <w:tcPr>
            <w:tcW w:w="8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6,539</w:t>
            </w:r>
          </w:p>
        </w:tc>
        <w:tc>
          <w:tcPr>
            <w:tcW w:w="8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6,990</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6,715</w:t>
            </w:r>
          </w:p>
        </w:tc>
        <w:tc>
          <w:tcPr>
            <w:tcW w:w="8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-3.9%</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2.7%</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214</w:t>
            </w:r>
          </w:p>
        </w:tc>
        <w:tc>
          <w:tcPr>
            <w:tcW w:w="22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193</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202</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4.6%</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-5.6%</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91.3%</w:t>
            </w: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Bolivia</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w:t>
            </w: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b w:val="1"/>
                <w:bCs w:val="1"/>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1,083</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1,165</w:t>
            </w: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1,207</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3.6%</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11.5%</w:t>
            </w: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b w:val="1"/>
                <w:bCs w:val="1"/>
                <w:color w:val="auto"/>
              </w:rPr>
              <w:t>-</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100.0%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40" w:type="dxa"/>
            <w:vAlign w:val="bottom"/>
          </w:tcPr>
          <w:p>
            <w:pPr>
              <w:spacing w:after="0"/>
              <w:rPr>
                <w:sz w:val="20"/>
                <w:szCs w:val="20"/>
                <w:color w:val="auto"/>
              </w:rPr>
            </w:pPr>
            <w:r>
              <w:rPr>
                <w:rFonts w:ascii="Arial" w:cs="Arial" w:eastAsia="Arial" w:hAnsi="Arial"/>
                <w:sz w:val="14"/>
                <w:szCs w:val="14"/>
                <w:b w:val="1"/>
                <w:bCs w:val="1"/>
                <w:color w:val="auto"/>
              </w:rPr>
              <w:t>ASB</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769</w:t>
            </w:r>
          </w:p>
        </w:tc>
        <w:tc>
          <w:tcPr>
            <w:tcW w:w="22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811</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864</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6.5%</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12.5%</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100.0%</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114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0" w:type="dxa"/>
            <w:vAlign w:val="bottom"/>
            <w:vMerge w:val="continue"/>
          </w:tcPr>
          <w:p>
            <w:pPr>
              <w:spacing w:after="0"/>
              <w:rPr>
                <w:sz w:val="15"/>
                <w:szCs w:val="15"/>
                <w:color w:val="auto"/>
              </w:rPr>
            </w:pPr>
          </w:p>
        </w:tc>
        <w:tc>
          <w:tcPr>
            <w:tcW w:w="1140" w:type="dxa"/>
            <w:vAlign w:val="bottom"/>
          </w:tcPr>
          <w:p>
            <w:pPr>
              <w:spacing w:after="0"/>
              <w:rPr>
                <w:sz w:val="20"/>
                <w:szCs w:val="20"/>
                <w:color w:val="auto"/>
              </w:rPr>
            </w:pPr>
            <w:r>
              <w:rPr>
                <w:rFonts w:ascii="Arial" w:cs="Arial" w:eastAsia="Arial" w:hAnsi="Arial"/>
                <w:sz w:val="14"/>
                <w:szCs w:val="14"/>
                <w:b w:val="1"/>
                <w:bCs w:val="1"/>
                <w:color w:val="auto"/>
              </w:rPr>
              <w:t>Total loans</w:t>
            </w:r>
          </w:p>
        </w:tc>
        <w:tc>
          <w:tcPr>
            <w:tcW w:w="8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37,354</w:t>
            </w:r>
          </w:p>
        </w:tc>
        <w:tc>
          <w:tcPr>
            <w:tcW w:w="8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43,424</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46,732</w:t>
            </w:r>
          </w:p>
        </w:tc>
        <w:tc>
          <w:tcPr>
            <w:tcW w:w="8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7.6%</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25.1%</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12,411</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12,241</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11,944</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-2.4%</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-3.8%</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55.4%</w:t>
            </w: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44.6%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-8890</wp:posOffset>
            </wp:positionV>
            <wp:extent cx="64230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423025" cy="8890"/>
                    </a:xfrm>
                    <a:prstGeom prst="rect">
                      <a:avLst/>
                    </a:prstGeom>
                    <a:noFill/>
                  </pic:spPr>
                </pic:pic>
              </a:graphicData>
            </a:graphic>
          </wp:anchor>
        </w:drawing>
      </w:r>
    </w:p>
    <w:p>
      <w:pPr>
        <w:ind w:left="300" w:hanging="265"/>
        <w:spacing w:after="0"/>
        <w:tabs>
          <w:tab w:leader="none" w:pos="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Work out unit, and other banking.</w:t>
      </w:r>
    </w:p>
    <w:p>
      <w:pPr>
        <w:spacing w:after="0" w:line="7" w:lineRule="exact"/>
        <w:rPr>
          <w:rFonts w:ascii="Arial" w:cs="Arial" w:eastAsia="Arial" w:hAnsi="Arial"/>
          <w:sz w:val="18"/>
          <w:szCs w:val="18"/>
          <w:color w:val="auto"/>
        </w:rPr>
      </w:pPr>
    </w:p>
    <w:p>
      <w:pPr>
        <w:ind w:left="300" w:hanging="265"/>
        <w:spacing w:after="0"/>
        <w:tabs>
          <w:tab w:leader="none" w:pos="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Edyficar and Mibanco.</w:t>
      </w:r>
    </w:p>
    <w:p>
      <w:pPr>
        <w:spacing w:after="0" w:line="9" w:lineRule="exact"/>
        <w:rPr>
          <w:rFonts w:ascii="Arial" w:cs="Arial" w:eastAsia="Arial" w:hAnsi="Arial"/>
          <w:sz w:val="18"/>
          <w:szCs w:val="18"/>
          <w:color w:val="auto"/>
        </w:rPr>
      </w:pPr>
    </w:p>
    <w:p>
      <w:pPr>
        <w:ind w:left="40" w:right="4920" w:hanging="5"/>
        <w:spacing w:after="0" w:line="261" w:lineRule="auto"/>
        <w:tabs>
          <w:tab w:leader="none" w:pos="294" w:val="left"/>
        </w:tabs>
        <w:numPr>
          <w:ilvl w:val="0"/>
          <w:numId w:val="12"/>
        </w:numPr>
        <w:rPr>
          <w:rFonts w:ascii="Arial" w:cs="Arial" w:eastAsia="Arial" w:hAnsi="Arial"/>
          <w:sz w:val="18"/>
          <w:szCs w:val="18"/>
          <w:color w:val="auto"/>
        </w:rPr>
      </w:pPr>
      <w:r>
        <w:rPr>
          <w:rFonts w:ascii="Arial" w:cs="Arial" w:eastAsia="Arial" w:hAnsi="Arial"/>
          <w:sz w:val="18"/>
          <w:szCs w:val="18"/>
          <w:color w:val="auto"/>
        </w:rPr>
        <w:t>1Q15 figure differs from that reported last quarter. Please consider this report’s figure. Source: BCP.</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terms of the analysis by currency, it is important to note that on-going growth is evident in the LC portfolio, which expanded +7.6% QoQ. This expansion offset the decline in the FC portfolio (-2.4% QoQ), which was primarily seen in BCP Stand-alone.</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LC loans increased their share of total loans, going from 53.4% in 1Q15 to 55.4% at the end of 2Q15. This reflects the efforts made to de-dollarize the portfolio, which have mainly been rolled out on two fronts: i) a program to manage the FC loan stock, where clients that are highly exposed to exchange rate shock have been prioritized; and ii) a series of measures that have been implemented in risk policies for origination. The second front has been the most important source of de-dollarization. In the case of converting FC loans to LC, the results in some cases, such as Mortgage and SME-Business, have not been significant given that the main reason for these clients to take loans in FC was the difference in rates between FC and LC loans (lower rates in FC), a situation that is still in play although the difference is currently much smaller (going from a difference of 400 bps to a maximum of 150 pbs to date).</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It is important to explain some of the characteristics of the FC portfolios in the business lines that have the highest loan dollarization levels: Wholesale Banking, Mortgages and SME-Business.</w:t>
      </w:r>
    </w:p>
    <w:p>
      <w:pPr>
        <w:spacing w:after="0" w:line="170" w:lineRule="exact"/>
        <w:rPr>
          <w:sz w:val="20"/>
          <w:szCs w:val="20"/>
          <w:color w:val="auto"/>
        </w:rPr>
      </w:pPr>
    </w:p>
    <w:p>
      <w:pPr>
        <w:jc w:val="both"/>
        <w:ind w:left="500" w:hanging="370"/>
        <w:spacing w:after="0" w:line="259"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level of dollarization in Wholesale Banking (57.7% a Jun15) is attributable to financing that was given to clients that generate income in FC and as such, are not exposed to FX risk on credit risk. A considerable amount of loans taken in FC, due to lower interest rates (a decision that was reinforced by the appreciation of the Nuevo Sol until the beginning of 2013), have been converted to LC loans taking advantage of the low funding cost offered by BCRP.</w:t>
      </w:r>
    </w:p>
    <w:p>
      <w:pPr>
        <w:spacing w:after="0" w:line="186" w:lineRule="exact"/>
        <w:rPr>
          <w:rFonts w:ascii="Arial" w:cs="Arial" w:eastAsia="Arial" w:hAnsi="Arial"/>
          <w:sz w:val="18"/>
          <w:szCs w:val="18"/>
          <w:color w:val="auto"/>
        </w:rPr>
      </w:pPr>
    </w:p>
    <w:p>
      <w:pPr>
        <w:jc w:val="both"/>
        <w:ind w:left="500" w:hanging="370"/>
        <w:spacing w:after="0" w:line="257"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the case of the Mortgage portfolio, it is important to note that the FC stock registers a very low LTV of approximately 51% (lower than the portfolio average of 58%) and disbursements since mid-2013 have been primarily in LC, reaching levels of 100% most months. Additionally, it is important to note that Mortgages constitute long-term loans where the difference in interest rates (lower rates in FC than in LC), which was also the main reason for taking a loan in FC, has reduced significantly but still exists (in some cases reaching 150 bps) and as such, a significant number of clients have rejected the proposal to convert their debt to LC loans.</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 w:name="page14"/>
    <w:bookmarkEnd w:id="13"/>
    <w:p>
      <w:pPr>
        <w:jc w:val="both"/>
        <w:ind w:left="500" w:hanging="370"/>
        <w:spacing w:after="0" w:line="257" w:lineRule="auto"/>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the case of SME-Business, the current level of dollarization also represents a limited risk given that: a) a significant percentage of the FC stock corresponds to clients that generate income in FC; b) the loans have very short term (no more than 90 days), which means that clients continue to take advantage of the lower rates offered in FC given that in a scenario of a significant devaluation at a high speed, these loans can be quickly converted; c) it is important to note the high level of collateral (70% approximately), mainly real estate; and lastly d) 81% of the FC stock corresponds to clients with a good risk profile that fall within the organization risk appetite for this segment.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YoY evolution of dollarization by segment </w:t>
      </w:r>
      <w:r>
        <w:rPr>
          <w:rFonts w:ascii="Arial" w:cs="Arial" w:eastAsia="Arial" w:hAnsi="Arial"/>
          <w:sz w:val="30"/>
          <w:szCs w:val="30"/>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90170</wp:posOffset>
            </wp:positionV>
            <wp:extent cx="5746115" cy="1783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46115" cy="1783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analysis of the YoY evolution of dollarization by segment, measured in average daily balances in the figure above, shows that the majority of segments that make up BCP’s portfolio have continued to de-dollarize. De-dollarization in Wholesale Banking and in Corporate Banking in particular, was noteworthy this quarter.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most highly dollarized segments in Retail Banking (Business and Mortgage) registered more significant levels of de-dollarization.</w:t>
      </w:r>
    </w:p>
    <w:p>
      <w:pPr>
        <w:spacing w:after="0" w:line="22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i w:val="1"/>
          <w:iCs w:val="1"/>
          <w:color w:val="auto"/>
        </w:rPr>
        <w:t>1.2.3</w:t>
      </w:r>
      <w:r>
        <w:rPr>
          <w:sz w:val="20"/>
          <w:szCs w:val="20"/>
          <w:color w:val="auto"/>
        </w:rPr>
        <w:tab/>
      </w:r>
      <w:r>
        <w:rPr>
          <w:rFonts w:ascii="Arial" w:cs="Arial" w:eastAsia="Arial" w:hAnsi="Arial"/>
          <w:sz w:val="16"/>
          <w:szCs w:val="16"/>
          <w:i w:val="1"/>
          <w:iCs w:val="1"/>
          <w:color w:val="auto"/>
        </w:rPr>
        <w:t>BCRP loan de-dollarization plan at BCP Stand-alone</w:t>
      </w:r>
    </w:p>
    <w:p>
      <w:pPr>
        <w:spacing w:after="0" w:line="225"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BCRP defined de-dollarization targets to be reached by the end of June 2015 and the end of December 2015 in two books: (i) the total FC portfolio with certain exceptions</w:t>
      </w:r>
      <w:r>
        <w:rPr>
          <w:rFonts w:ascii="Arial" w:cs="Arial" w:eastAsia="Arial" w:hAnsi="Arial"/>
          <w:sz w:val="30"/>
          <w:szCs w:val="30"/>
          <w:color w:val="auto"/>
          <w:vertAlign w:val="superscript"/>
        </w:rPr>
        <w:t>2</w:t>
      </w:r>
      <w:r>
        <w:rPr>
          <w:rFonts w:ascii="Arial" w:cs="Arial" w:eastAsia="Arial" w:hAnsi="Arial"/>
          <w:sz w:val="18"/>
          <w:szCs w:val="18"/>
          <w:color w:val="auto"/>
        </w:rPr>
        <w:t>; and (ii) the mortgage and car portfolios as a whole.</w:t>
      </w:r>
    </w:p>
    <w:p>
      <w:pPr>
        <w:spacing w:after="0" w:line="4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case of FC total loans, with the exceptions, the reduction target is calculated based on period-end balances (in Peru GAAP) as of September 2013. The reduction target for the joint portfolio of mortgage and car loans is calculated with period-end balances (in Peru GAAP) as of February 2013. However, compliance levels for both targets are calculated using average daily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180975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22" w:lineRule="exact"/>
        <w:rPr>
          <w:sz w:val="20"/>
          <w:szCs w:val="20"/>
          <w:color w:val="auto"/>
        </w:rPr>
      </w:pPr>
    </w:p>
    <w:p>
      <w:pPr>
        <w:ind w:left="120" w:hanging="112"/>
        <w:spacing w:after="0"/>
        <w:tabs>
          <w:tab w:leader="none" w:pos="120" w:val="left"/>
        </w:tabs>
        <w:numPr>
          <w:ilvl w:val="0"/>
          <w:numId w:val="15"/>
        </w:numPr>
        <w:rPr>
          <w:rFonts w:ascii="Arial" w:cs="Arial" w:eastAsia="Arial" w:hAnsi="Arial"/>
          <w:sz w:val="30"/>
          <w:szCs w:val="30"/>
          <w:color w:val="auto"/>
          <w:vertAlign w:val="superscript"/>
        </w:rPr>
      </w:pPr>
      <w:r>
        <w:rPr>
          <w:rFonts w:ascii="Arial" w:cs="Arial" w:eastAsia="Arial" w:hAnsi="Arial"/>
          <w:sz w:val="18"/>
          <w:szCs w:val="18"/>
          <w:color w:val="auto"/>
        </w:rPr>
        <w:t>This total portfolio excludes loans for foreign trade and loans issues for more than 3 years for amounts that exceed US$10 million.</w:t>
      </w:r>
    </w:p>
    <w:p>
      <w:pPr>
        <w:spacing w:after="0" w:line="19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 w:name="page15"/>
    <w:bookmarkEnd w:id="14"/>
    <w:p>
      <w:pPr>
        <w:spacing w:after="0"/>
        <w:rPr>
          <w:sz w:val="20"/>
          <w:szCs w:val="20"/>
          <w:color w:val="auto"/>
        </w:rPr>
      </w:pPr>
      <w:r>
        <w:rPr>
          <w:rFonts w:ascii="Arial" w:cs="Arial" w:eastAsia="Arial" w:hAnsi="Arial"/>
          <w:sz w:val="16"/>
          <w:szCs w:val="16"/>
          <w:color w:val="auto"/>
        </w:rPr>
        <w:t>The following figures show the percentage of compliance at the end of June 2015:</w:t>
      </w:r>
    </w:p>
    <w:p>
      <w:pPr>
        <w:sectPr>
          <w:pgSz w:w="11900" w:h="16838" w:orient="portrait"/>
          <w:cols w:equalWidth="0" w:num="1">
            <w:col w:w="11420"/>
          </w:cols>
          <w:pgMar w:left="240" w:top="908" w:right="239" w:bottom="1440" w:gutter="0" w:footer="0" w:header="0"/>
        </w:sectPr>
      </w:pPr>
    </w:p>
    <w:p>
      <w:pPr>
        <w:spacing w:after="0" w:line="244" w:lineRule="exact"/>
        <w:rPr>
          <w:sz w:val="20"/>
          <w:szCs w:val="20"/>
          <w:color w:val="auto"/>
        </w:rPr>
      </w:pPr>
    </w:p>
    <w:p>
      <w:pPr>
        <w:jc w:val="center"/>
        <w:ind w:right="380"/>
        <w:spacing w:after="0"/>
        <w:rPr>
          <w:sz w:val="20"/>
          <w:szCs w:val="20"/>
          <w:color w:val="auto"/>
        </w:rPr>
      </w:pPr>
      <w:r>
        <w:rPr>
          <w:rFonts w:ascii="Arial" w:cs="Arial" w:eastAsia="Arial" w:hAnsi="Arial"/>
          <w:sz w:val="16"/>
          <w:szCs w:val="16"/>
          <w:b w:val="1"/>
          <w:bCs w:val="1"/>
          <w:color w:val="auto"/>
        </w:rPr>
        <w:t>Reduction target for total loans in FC</w:t>
      </w:r>
    </w:p>
    <w:p>
      <w:pPr>
        <w:spacing w:after="0" w:line="50"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 at the end of June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142875</wp:posOffset>
            </wp:positionV>
            <wp:extent cx="2804160" cy="13550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804160" cy="13550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jc w:val="center"/>
        <w:ind w:right="1100"/>
        <w:spacing w:after="0"/>
        <w:rPr>
          <w:sz w:val="20"/>
          <w:szCs w:val="20"/>
          <w:color w:val="auto"/>
        </w:rPr>
      </w:pPr>
      <w:r>
        <w:rPr>
          <w:rFonts w:ascii="Arial" w:cs="Arial" w:eastAsia="Arial" w:hAnsi="Arial"/>
          <w:sz w:val="16"/>
          <w:szCs w:val="16"/>
          <w:b w:val="1"/>
          <w:bCs w:val="1"/>
          <w:color w:val="auto"/>
        </w:rPr>
        <w:t>Reduction target for “mortgage &amp; car” loans in FC</w:t>
      </w:r>
    </w:p>
    <w:p>
      <w:pPr>
        <w:spacing w:after="0" w:line="50"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 at the end of June 2015 –</w:t>
      </w:r>
    </w:p>
    <w:p>
      <w:pPr>
        <w:spacing w:after="0" w:line="200" w:lineRule="exact"/>
        <w:rPr>
          <w:sz w:val="20"/>
          <w:szCs w:val="20"/>
          <w:color w:val="auto"/>
        </w:rPr>
      </w:pPr>
    </w:p>
    <w:p>
      <w:pPr>
        <w:sectPr>
          <w:pgSz w:w="11900" w:h="16838" w:orient="portrait"/>
          <w:cols w:equalWidth="0" w:num="2">
            <w:col w:w="5660" w:space="720"/>
            <w:col w:w="5040"/>
          </w:cols>
          <w:pgMar w:left="240" w:top="908"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As seen above, BCP Stand-alone has achieved high levels of compliance on both loan portfolios subject to the de-dollarization program.</w:t>
      </w:r>
    </w:p>
    <w:p>
      <w:pPr>
        <w:spacing w:after="0" w:line="22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i w:val="1"/>
          <w:iCs w:val="1"/>
          <w:color w:val="auto"/>
        </w:rPr>
        <w:t>1.2.4</w:t>
      </w:r>
      <w:r>
        <w:rPr>
          <w:sz w:val="20"/>
          <w:szCs w:val="20"/>
          <w:color w:val="auto"/>
        </w:rPr>
        <w:tab/>
      </w:r>
      <w:r>
        <w:rPr>
          <w:rFonts w:ascii="Arial" w:cs="Arial" w:eastAsia="Arial" w:hAnsi="Arial"/>
          <w:sz w:val="16"/>
          <w:szCs w:val="16"/>
          <w:i w:val="1"/>
          <w:iCs w:val="1"/>
          <w:color w:val="auto"/>
        </w:rPr>
        <w:t>Market share in loans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share in Peru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154940</wp:posOffset>
            </wp:positionV>
            <wp:extent cx="5746115" cy="17583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46115" cy="175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Source: BCP</w:t>
      </w:r>
    </w:p>
    <w:p>
      <w:pPr>
        <w:spacing w:after="0" w:line="23" w:lineRule="exact"/>
        <w:rPr>
          <w:sz w:val="20"/>
          <w:szCs w:val="20"/>
          <w:color w:val="auto"/>
        </w:rPr>
      </w:pPr>
    </w:p>
    <w:p>
      <w:pPr>
        <w:ind w:left="400" w:hanging="264"/>
        <w:spacing w:after="0"/>
        <w:tabs>
          <w:tab w:leader="none" w:pos="4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 of June 2015.</w:t>
      </w:r>
    </w:p>
    <w:p>
      <w:pPr>
        <w:spacing w:after="0" w:line="9" w:lineRule="exact"/>
        <w:rPr>
          <w:rFonts w:ascii="Arial" w:cs="Arial" w:eastAsia="Arial" w:hAnsi="Arial"/>
          <w:sz w:val="18"/>
          <w:szCs w:val="18"/>
          <w:color w:val="auto"/>
        </w:rPr>
      </w:pPr>
    </w:p>
    <w:p>
      <w:pPr>
        <w:ind w:left="400" w:hanging="264"/>
        <w:spacing w:after="0"/>
        <w:tabs>
          <w:tab w:leader="none" w:pos="4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Mortgage segment includes Mibanco’s market share of 1% as of March 2015 and May 2015.</w:t>
      </w:r>
    </w:p>
    <w:p>
      <w:pPr>
        <w:spacing w:after="0" w:line="9" w:lineRule="exact"/>
        <w:rPr>
          <w:rFonts w:ascii="Arial" w:cs="Arial" w:eastAsia="Arial" w:hAnsi="Arial"/>
          <w:sz w:val="18"/>
          <w:szCs w:val="18"/>
          <w:color w:val="auto"/>
        </w:rPr>
      </w:pPr>
    </w:p>
    <w:p>
      <w:pPr>
        <w:ind w:left="400" w:hanging="264"/>
        <w:spacing w:after="0"/>
        <w:tabs>
          <w:tab w:leader="none" w:pos="4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Consumer segment includes Mibanco’s market share of 2.2% as of March 2015 and May 2015.</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At the end of May 2015, BCP Stand-alone continued to lead the market with a share of 30.3%, which is significantly higher than the level posted by its closest competitor.</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In this context, Wholesale Banking continued to lead the market and posted a slight increase in its market share in Middle-Market Banking, which went from</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33.0% in March 2015 to 33.4% in June 2015. With regards to Corporate Banking, its market share posted a slight reduction from 46.1% in March 2015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44.5% in June 2015, mainly due to debt payments by clients in the last month of the quarter.</w:t>
      </w: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15" w:name="page16"/>
    <w:bookmarkEnd w:id="15"/>
    <w:p>
      <w:pPr>
        <w:spacing w:after="0" w:line="277" w:lineRule="auto"/>
        <w:rPr>
          <w:sz w:val="20"/>
          <w:szCs w:val="20"/>
          <w:color w:val="auto"/>
        </w:rPr>
      </w:pPr>
      <w:r>
        <w:rPr>
          <w:rFonts w:ascii="Arial" w:cs="Arial" w:eastAsia="Arial" w:hAnsi="Arial"/>
          <w:sz w:val="18"/>
          <w:szCs w:val="18"/>
          <w:color w:val="auto"/>
        </w:rPr>
        <w:t>In Retail Banking, BCP continued to lead the market in almost every segment with the exception of SME-Business and Credit Cards, where is in second place. The bank also increased its market share in the SME-Business and Credit Card segments in March-May 2015.</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Mibanco (including Edyficar) posted a slight drop in its market share in the Peruvian financial system, going from 3.2% (March 2015) to 3.1% (May 2015). If we analyze the SME-Pyme segment in Peru, Mibanco maintained its market share of 20.6%, March-May 2015.</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Finally, BCP Bolivia held on to its market share QoQ (10.3% at the end of June 2015 and 10.4% at the end of March 2015), which situates the bank fourth in the Bolivian Financial System.</w:t>
      </w:r>
    </w:p>
    <w:p>
      <w:pPr>
        <w:spacing w:after="0" w:line="166" w:lineRule="exact"/>
        <w:rPr>
          <w:sz w:val="20"/>
          <w:szCs w:val="20"/>
          <w:color w:val="auto"/>
        </w:rPr>
      </w:pPr>
    </w:p>
    <w:p>
      <w:pPr>
        <w:ind w:left="500" w:hanging="492"/>
        <w:spacing w:after="0"/>
        <w:tabs>
          <w:tab w:leader="none" w:pos="50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Funding Sources</w:t>
      </w:r>
    </w:p>
    <w:p>
      <w:pPr>
        <w:spacing w:after="0" w:line="233" w:lineRule="exact"/>
        <w:rPr>
          <w:sz w:val="20"/>
          <w:szCs w:val="20"/>
          <w:color w:val="auto"/>
        </w:rPr>
      </w:pPr>
    </w:p>
    <w:p>
      <w:pPr>
        <w:jc w:val="both"/>
        <w:spacing w:after="0" w:line="235" w:lineRule="auto"/>
        <w:rPr>
          <w:sz w:val="20"/>
          <w:szCs w:val="20"/>
          <w:color w:val="auto"/>
        </w:rPr>
      </w:pPr>
      <w:r>
        <w:rPr>
          <w:rFonts w:ascii="Arial" w:cs="Arial" w:eastAsia="Arial" w:hAnsi="Arial"/>
          <w:sz w:val="17"/>
          <w:szCs w:val="17"/>
          <w:i w:val="1"/>
          <w:iCs w:val="1"/>
          <w:color w:val="auto"/>
        </w:rPr>
        <w:t xml:space="preserve">The funding cost </w:t>
      </w:r>
      <w:r>
        <w:rPr>
          <w:rFonts w:ascii="Arial" w:cs="Arial" w:eastAsia="Arial" w:hAnsi="Arial"/>
          <w:sz w:val="28"/>
          <w:szCs w:val="28"/>
          <w:color w:val="auto"/>
          <w:vertAlign w:val="superscript"/>
        </w:rPr>
        <w:t>3</w:t>
      </w:r>
      <w:r>
        <w:rPr>
          <w:rFonts w:ascii="Arial" w:cs="Arial" w:eastAsia="Arial" w:hAnsi="Arial"/>
          <w:sz w:val="17"/>
          <w:szCs w:val="17"/>
          <w:i w:val="1"/>
          <w:iCs w:val="1"/>
          <w:color w:val="auto"/>
        </w:rPr>
        <w:t xml:space="preserve"> at Credicorp and BCP Stand-alone remained at low levels, posting only slight growth QoQ (+3 bps and +8 bps, respectively). This was basically the result of an increase in the use of BCRP instruments (+25.8% QoQ). The latter improved our long-term funding at a low cost, because of its tenure between two and four years. These instruments accompanied the expansion and conversion of LC and FC loans, respectively.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Funding Structure</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Credicorp’s </w:t>
      </w:r>
      <w:r>
        <w:rPr>
          <w:rFonts w:ascii="Arial" w:cs="Arial" w:eastAsia="Arial" w:hAnsi="Arial"/>
          <w:sz w:val="18"/>
          <w:szCs w:val="18"/>
          <w:color w:val="auto"/>
        </w:rPr>
        <w:t>funding structure has allowed it to increase the share of long-term funding (funds with tenure higher than two years) and to keep a low cost of</w:t>
      </w:r>
      <w:r>
        <w:rPr>
          <w:rFonts w:ascii="Arial" w:cs="Arial" w:eastAsia="Arial" w:hAnsi="Arial"/>
          <w:sz w:val="18"/>
          <w:szCs w:val="18"/>
          <w:b w:val="1"/>
          <w:bCs w:val="1"/>
          <w:color w:val="auto"/>
        </w:rPr>
        <w:t xml:space="preserve"> </w:t>
      </w:r>
      <w:r>
        <w:rPr>
          <w:rFonts w:ascii="Arial" w:cs="Arial" w:eastAsia="Arial" w:hAnsi="Arial"/>
          <w:sz w:val="18"/>
          <w:szCs w:val="18"/>
          <w:color w:val="auto"/>
        </w:rPr>
        <w:t>funds. Nevertheless, this has meant that the loan to deposit ratio shows an upward trend, which is due basically to an increase in the larger use of BCRP instruments, which represents a more stable funding source, as opposed to Time deposits (which have an average tenure of 180 days, carry higher cost and are less stable).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BAP - Funding structure and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3336290</wp:posOffset>
            </wp:positionV>
            <wp:extent cx="180975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09750" cy="8890"/>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154940</wp:posOffset>
            </wp:positionV>
            <wp:extent cx="5556885" cy="28727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556885" cy="2872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20" w:hanging="112"/>
        <w:spacing w:after="0"/>
        <w:tabs>
          <w:tab w:leader="none" w:pos="120" w:val="left"/>
        </w:tabs>
        <w:numPr>
          <w:ilvl w:val="0"/>
          <w:numId w:val="18"/>
        </w:numPr>
        <w:rPr>
          <w:rFonts w:ascii="Arial" w:cs="Arial" w:eastAsia="Arial" w:hAnsi="Arial"/>
          <w:sz w:val="30"/>
          <w:szCs w:val="30"/>
          <w:color w:val="auto"/>
          <w:vertAlign w:val="superscript"/>
        </w:rPr>
      </w:pPr>
      <w:r>
        <w:rPr>
          <w:rFonts w:ascii="Arial" w:cs="Arial" w:eastAsia="Arial" w:hAnsi="Arial"/>
          <w:sz w:val="18"/>
          <w:szCs w:val="18"/>
          <w:color w:val="auto"/>
        </w:rPr>
        <w:t>The funding cost is calculate using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2792095</wp:posOffset>
            </wp:positionH>
            <wp:positionV relativeFrom="paragraph">
              <wp:posOffset>137160</wp:posOffset>
            </wp:positionV>
            <wp:extent cx="1680845" cy="2057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68084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 It considers the average between the initial balance and the closing balance of total liabilities for the period.</w:t>
      </w:r>
    </w:p>
    <w:p>
      <w:pPr>
        <w:spacing w:after="0" w:line="200" w:lineRule="exact"/>
        <w:rPr>
          <w:sz w:val="20"/>
          <w:szCs w:val="20"/>
          <w:color w:val="auto"/>
        </w:rPr>
      </w:pPr>
    </w:p>
    <w:p>
      <w:pPr>
        <w:spacing w:after="0" w:line="26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6" w:name="page17"/>
    <w:bookmarkEnd w:id="16"/>
    <w:p>
      <w:pPr>
        <w:jc w:val="both"/>
        <w:spacing w:after="0" w:line="259" w:lineRule="auto"/>
        <w:rPr>
          <w:sz w:val="20"/>
          <w:szCs w:val="20"/>
          <w:color w:val="auto"/>
        </w:rPr>
      </w:pPr>
      <w:r>
        <w:rPr>
          <w:rFonts w:ascii="Arial" w:cs="Arial" w:eastAsia="Arial" w:hAnsi="Arial"/>
          <w:sz w:val="18"/>
          <w:szCs w:val="18"/>
          <w:color w:val="auto"/>
        </w:rPr>
        <w:t>As shown in the chart above, in a first stage BCRP instruments allowed a reduction of funding cost (2Q14 vs. 2Q13) by replacing mainly Bonds and subordinated debt, which are one of the most expensive funding sources, and in a lesser extend Due to banks and correspondents. In a second stage, the increaing use of BCRP instruments offset the reduction in deposits, mainly Time deposits, which in turn improved the stability and tenure of funding, and attenuated the increase in funding cost (2T15 vs. 2T14).</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Nevertheless, it is important to note that deposits still represent the main funding source and that the ones with zero or low cost (Non-interest bearing deposits, Demand deposits and Savings deposits) have balanced the increase in funding cost.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During the quarter, the share of BCRP instruments in Credicorp’s total funding increased from 1.1% at the end of 2Q14 to 7.8% at the end of 2Q15.</w:t>
      </w:r>
    </w:p>
    <w:p>
      <w:pPr>
        <w:spacing w:after="0" w:line="23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A similar scenario is evident if we analyze </w:t>
      </w:r>
      <w:r>
        <w:rPr>
          <w:rFonts w:ascii="Arial" w:cs="Arial" w:eastAsia="Arial" w:hAnsi="Arial"/>
          <w:sz w:val="18"/>
          <w:szCs w:val="18"/>
          <w:b w:val="1"/>
          <w:bCs w:val="1"/>
          <w:color w:val="auto"/>
        </w:rPr>
        <w:t>BCP Stand-alone</w:t>
      </w:r>
      <w:r>
        <w:rPr>
          <w:rFonts w:ascii="Arial" w:cs="Arial" w:eastAsia="Arial" w:hAnsi="Arial"/>
          <w:sz w:val="18"/>
          <w:szCs w:val="18"/>
          <w:color w:val="auto"/>
        </w:rPr>
        <w:t>, which represents approximately 78% of Credicorp’s total liabilities and accounts for 94% of the total BCRP instruments.</w:t>
      </w:r>
    </w:p>
    <w:p>
      <w:pPr>
        <w:spacing w:after="0" w:line="162"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 xml:space="preserve">Mibanco </w:t>
      </w:r>
      <w:r>
        <w:rPr>
          <w:rFonts w:ascii="Arial" w:cs="Arial" w:eastAsia="Arial" w:hAnsi="Arial"/>
          <w:sz w:val="18"/>
          <w:szCs w:val="18"/>
          <w:color w:val="auto"/>
        </w:rPr>
        <w:t>is still in the process of aligning strategies. In 2Q15, it concentrated on obtaining funding sources with lower costs. Therefore, Mibanco has pre-paid debts with high financing costs and has sought out other sources of funding, such as BCRP instruments and Debt with other banks. The first option, pre-paying debts, implied higher costs but in the short term.</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20" w:type="dxa"/>
            <w:vAlign w:val="bottom"/>
            <w:gridSpan w:val="3"/>
          </w:tcPr>
          <w:p>
            <w:pPr>
              <w:spacing w:after="0"/>
              <w:rPr>
                <w:sz w:val="20"/>
                <w:szCs w:val="20"/>
                <w:color w:val="auto"/>
              </w:rPr>
            </w:pPr>
            <w:r>
              <w:rPr>
                <w:rFonts w:ascii="Arial" w:cs="Arial" w:eastAsia="Arial" w:hAnsi="Arial"/>
                <w:sz w:val="18"/>
                <w:szCs w:val="18"/>
                <w:b w:val="1"/>
                <w:bCs w:val="1"/>
                <w:color w:val="auto"/>
              </w:rPr>
              <w:t>2.2  Deposits</w:t>
            </w: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27"/>
        </w:trPr>
        <w:tc>
          <w:tcPr>
            <w:tcW w:w="880" w:type="dxa"/>
            <w:vAlign w:val="bottom"/>
          </w:tcPr>
          <w:p>
            <w:pPr>
              <w:spacing w:after="0"/>
              <w:rPr>
                <w:sz w:val="24"/>
                <w:szCs w:val="24"/>
                <w:color w:val="auto"/>
              </w:rPr>
            </w:pPr>
          </w:p>
        </w:tc>
        <w:tc>
          <w:tcPr>
            <w:tcW w:w="3440" w:type="dxa"/>
            <w:vAlign w:val="bottom"/>
            <w:gridSpan w:val="2"/>
          </w:tcPr>
          <w:p>
            <w:pPr>
              <w:spacing w:after="0"/>
              <w:rPr>
                <w:sz w:val="20"/>
                <w:szCs w:val="20"/>
                <w:color w:val="auto"/>
              </w:rPr>
            </w:pPr>
            <w:r>
              <w:rPr>
                <w:rFonts w:ascii="Arial" w:cs="Arial" w:eastAsia="Arial" w:hAnsi="Arial"/>
                <w:sz w:val="18"/>
                <w:szCs w:val="18"/>
                <w:b w:val="1"/>
                <w:bCs w:val="1"/>
                <w:color w:val="auto"/>
              </w:rPr>
              <w:t>Deposits</w:t>
            </w: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tcPr>
          <w:p>
            <w:pPr>
              <w:ind w:left="180"/>
              <w:spacing w:after="0"/>
              <w:rPr>
                <w:sz w:val="20"/>
                <w:szCs w:val="20"/>
                <w:color w:val="auto"/>
              </w:rPr>
            </w:pPr>
            <w:r>
              <w:rPr>
                <w:rFonts w:ascii="Arial" w:cs="Arial" w:eastAsia="Arial" w:hAnsi="Arial"/>
                <w:sz w:val="18"/>
                <w:szCs w:val="18"/>
                <w:b w:val="1"/>
                <w:bCs w:val="1"/>
                <w:color w:val="auto"/>
              </w:rPr>
              <w:t>Quarter</w:t>
            </w: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3"/>
          </w:tcPr>
          <w:p>
            <w:pPr>
              <w:ind w:left="640"/>
              <w:spacing w:after="0"/>
              <w:rPr>
                <w:sz w:val="20"/>
                <w:szCs w:val="20"/>
                <w:color w:val="auto"/>
              </w:rPr>
            </w:pPr>
            <w:r>
              <w:rPr>
                <w:rFonts w:ascii="Arial" w:cs="Arial" w:eastAsia="Arial" w:hAnsi="Arial"/>
                <w:sz w:val="18"/>
                <w:szCs w:val="18"/>
                <w:b w:val="1"/>
                <w:bCs w:val="1"/>
                <w:color w:val="auto"/>
                <w:w w:val="90"/>
              </w:rPr>
              <w:t>% change</w:t>
            </w: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4"/>
        </w:trPr>
        <w:tc>
          <w:tcPr>
            <w:tcW w:w="880" w:type="dxa"/>
            <w:vAlign w:val="bottom"/>
          </w:tcPr>
          <w:p>
            <w:pPr>
              <w:spacing w:after="0"/>
              <w:rPr>
                <w:sz w:val="20"/>
                <w:szCs w:val="20"/>
                <w:color w:val="auto"/>
              </w:rPr>
            </w:pPr>
          </w:p>
        </w:tc>
        <w:tc>
          <w:tcPr>
            <w:tcW w:w="3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000</w:t>
            </w:r>
          </w:p>
        </w:tc>
        <w:tc>
          <w:tcPr>
            <w:tcW w:w="8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2Q14</w:t>
            </w:r>
          </w:p>
        </w:tc>
        <w:tc>
          <w:tcPr>
            <w:tcW w:w="16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1Q15</w:t>
            </w:r>
          </w:p>
        </w:tc>
        <w:tc>
          <w:tcPr>
            <w:tcW w:w="16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2Q15</w:t>
            </w:r>
          </w:p>
        </w:tc>
        <w:tc>
          <w:tcPr>
            <w:tcW w:w="16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QoQ</w:t>
            </w:r>
          </w:p>
        </w:tc>
        <w:tc>
          <w:tcPr>
            <w:tcW w:w="2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6"/>
              </w:rPr>
              <w:t>YoY</w:t>
            </w:r>
          </w:p>
        </w:tc>
        <w:tc>
          <w:tcPr>
            <w:tcW w:w="180" w:type="dxa"/>
            <w:vAlign w:val="bottom"/>
            <w:tcBorders>
              <w:bottom w:val="single" w:sz="8" w:color="CCEEFF"/>
            </w:tcBorders>
          </w:tcPr>
          <w:p>
            <w:pPr>
              <w:spacing w:after="0"/>
              <w:rPr>
                <w:sz w:val="20"/>
                <w:szCs w:val="20"/>
                <w:color w:val="auto"/>
              </w:rPr>
            </w:pPr>
          </w:p>
        </w:tc>
      </w:tr>
      <w:tr>
        <w:trPr>
          <w:trHeight w:val="210"/>
        </w:trPr>
        <w:tc>
          <w:tcPr>
            <w:tcW w:w="88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Non-interest bearing deposits</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19,669,034</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21,498,770</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23,707,385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10.3%</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w:t>
            </w:r>
          </w:p>
        </w:tc>
      </w:tr>
      <w:tr>
        <w:trPr>
          <w:trHeight w:val="216"/>
        </w:trPr>
        <w:tc>
          <w:tcPr>
            <w:tcW w:w="88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Demand deposits</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4,770,957</w:t>
            </w:r>
          </w:p>
        </w:tc>
        <w:tc>
          <w:tcPr>
            <w:tcW w:w="1000" w:type="dxa"/>
            <w:vAlign w:val="bottom"/>
          </w:tcPr>
          <w:p>
            <w:pPr>
              <w:jc w:val="right"/>
              <w:spacing w:after="0"/>
              <w:rPr>
                <w:sz w:val="20"/>
                <w:szCs w:val="20"/>
                <w:color w:val="auto"/>
              </w:rPr>
            </w:pPr>
            <w:r>
              <w:rPr>
                <w:rFonts w:ascii="Arial" w:cs="Arial" w:eastAsia="Arial" w:hAnsi="Arial"/>
                <w:sz w:val="18"/>
                <w:szCs w:val="18"/>
                <w:color w:val="auto"/>
              </w:rPr>
              <w:t>6,385,890</w:t>
            </w: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6,858,187</w:t>
            </w: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rPr>
              <w:t>7.4%</w:t>
            </w:r>
          </w:p>
        </w:tc>
        <w:tc>
          <w:tcPr>
            <w:tcW w:w="2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43.7%</w:t>
            </w:r>
          </w:p>
        </w:tc>
      </w:tr>
      <w:tr>
        <w:trPr>
          <w:trHeight w:val="216"/>
        </w:trPr>
        <w:tc>
          <w:tcPr>
            <w:tcW w:w="880" w:type="dxa"/>
            <w:vAlign w:val="bottom"/>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Saving deposits</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19,033,712</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22,368,542</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21,934,964</w:t>
            </w:r>
          </w:p>
        </w:tc>
        <w:tc>
          <w:tcPr>
            <w:tcW w:w="11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w:t>
            </w:r>
          </w:p>
        </w:tc>
      </w:tr>
      <w:tr>
        <w:trPr>
          <w:trHeight w:val="216"/>
        </w:trPr>
        <w:tc>
          <w:tcPr>
            <w:tcW w:w="88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Time deposits</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24,755,007</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22,436,049</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20,972,289</w:t>
            </w: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rPr>
              <w:t>-6.5%</w:t>
            </w:r>
          </w:p>
        </w:tc>
        <w:tc>
          <w:tcPr>
            <w:tcW w:w="2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-15.3%</w:t>
            </w:r>
          </w:p>
        </w:tc>
      </w:tr>
      <w:tr>
        <w:trPr>
          <w:trHeight w:val="257"/>
        </w:trPr>
        <w:tc>
          <w:tcPr>
            <w:tcW w:w="880" w:type="dxa"/>
            <w:vAlign w:val="bottom"/>
          </w:tcPr>
          <w:p>
            <w:pPr>
              <w:spacing w:after="0"/>
              <w:rPr>
                <w:sz w:val="22"/>
                <w:szCs w:val="22"/>
                <w:color w:val="auto"/>
              </w:rPr>
            </w:pPr>
          </w:p>
        </w:tc>
        <w:tc>
          <w:tcPr>
            <w:tcW w:w="34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CTS deposits </w:t>
            </w:r>
            <w:r>
              <w:rPr>
                <w:rFonts w:ascii="Arial" w:cs="Arial" w:eastAsia="Arial" w:hAnsi="Arial"/>
                <w:sz w:val="29"/>
                <w:szCs w:val="29"/>
                <w:color w:val="auto"/>
                <w:vertAlign w:val="superscript"/>
              </w:rPr>
              <w:t>(1)</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7,148,162</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6,204,360</w:t>
            </w:r>
          </w:p>
        </w:tc>
        <w:tc>
          <w:tcPr>
            <w:tcW w:w="16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7,173,252</w:t>
            </w:r>
          </w:p>
        </w:tc>
        <w:tc>
          <w:tcPr>
            <w:tcW w:w="11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15.6%</w:t>
            </w:r>
          </w:p>
        </w:tc>
        <w:tc>
          <w:tcPr>
            <w:tcW w:w="26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30"/>
        </w:trPr>
        <w:tc>
          <w:tcPr>
            <w:tcW w:w="88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Interest payable</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234,188</w:t>
            </w:r>
          </w:p>
        </w:tc>
        <w:tc>
          <w:tcPr>
            <w:tcW w:w="1000" w:type="dxa"/>
            <w:vAlign w:val="bottom"/>
          </w:tcPr>
          <w:p>
            <w:pPr>
              <w:jc w:val="right"/>
              <w:spacing w:after="0"/>
              <w:rPr>
                <w:sz w:val="20"/>
                <w:szCs w:val="20"/>
                <w:color w:val="auto"/>
              </w:rPr>
            </w:pPr>
            <w:r>
              <w:rPr>
                <w:rFonts w:ascii="Arial" w:cs="Arial" w:eastAsia="Arial" w:hAnsi="Arial"/>
                <w:sz w:val="18"/>
                <w:szCs w:val="18"/>
                <w:color w:val="auto"/>
              </w:rPr>
              <w:t>249,293</w:t>
            </w:r>
          </w:p>
        </w:tc>
        <w:tc>
          <w:tcPr>
            <w:tcW w:w="16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264,545</w:t>
            </w: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rPr>
              <w:t>6.1%</w:t>
            </w:r>
          </w:p>
        </w:tc>
        <w:tc>
          <w:tcPr>
            <w:tcW w:w="26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13.0%</w:t>
            </w:r>
          </w:p>
        </w:tc>
      </w:tr>
      <w:tr>
        <w:trPr>
          <w:trHeight w:val="210"/>
        </w:trPr>
        <w:tc>
          <w:tcPr>
            <w:tcW w:w="880" w:type="dxa"/>
            <w:vAlign w:val="bottom"/>
          </w:tcPr>
          <w:p>
            <w:pPr>
              <w:spacing w:after="0"/>
              <w:rPr>
                <w:sz w:val="18"/>
                <w:szCs w:val="18"/>
                <w:color w:val="auto"/>
              </w:rPr>
            </w:pPr>
          </w:p>
        </w:tc>
        <w:tc>
          <w:tcPr>
            <w:tcW w:w="34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customer deposits</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75,611,060</w:t>
            </w:r>
          </w:p>
        </w:tc>
        <w:tc>
          <w:tcPr>
            <w:tcW w:w="1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79,142,904</w:t>
            </w:r>
          </w:p>
        </w:tc>
        <w:tc>
          <w:tcPr>
            <w:tcW w:w="1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80,910,622</w:t>
            </w: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2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r>
    </w:tbl>
    <w:p>
      <w:pPr>
        <w:ind w:left="880"/>
        <w:spacing w:after="0"/>
        <w:rPr>
          <w:sz w:val="20"/>
          <w:szCs w:val="20"/>
          <w:color w:val="auto"/>
        </w:rPr>
      </w:pPr>
      <w:r>
        <w:rPr>
          <w:rFonts w:ascii="Arial" w:cs="Arial" w:eastAsia="Arial" w:hAnsi="Arial"/>
          <w:sz w:val="18"/>
          <w:szCs w:val="18"/>
          <w:color w:val="auto"/>
        </w:rPr>
        <w:t>(1) Severance indemnity deposits.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deposits expanded +2.2 QoQ mainly due to the increase of +10.3% QoQ of Non-interest bearing deposits, followed by the growth of +15.6% and +7.4% QoQ of CTS deposits and Demand deposits, respectively.</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QoQ increase of Non-interest bearing and Demand deposits came mainly from FC deposits of Wholesale Banking clients. It is important to note that the expansion of these deposits (+20.5%YoY) was intensified by the US Dollar appreciation (+13.6% YoY), because approximately 65% of them are in FC. Thus, real growth was +11.0% YoY.</w:t>
      </w:r>
    </w:p>
    <w:p>
      <w:pPr>
        <w:spacing w:after="0" w:line="17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The QoQ evolution of </w:t>
      </w:r>
      <w:r>
        <w:rPr>
          <w:rFonts w:ascii="Arial" w:cs="Arial" w:eastAsia="Arial" w:hAnsi="Arial"/>
          <w:sz w:val="18"/>
          <w:szCs w:val="18"/>
          <w:b w:val="1"/>
          <w:bCs w:val="1"/>
          <w:color w:val="auto"/>
        </w:rPr>
        <w:t>CTS deposits</w:t>
      </w:r>
      <w:r>
        <w:rPr>
          <w:rFonts w:ascii="Arial" w:cs="Arial" w:eastAsia="Arial" w:hAnsi="Arial"/>
          <w:sz w:val="18"/>
          <w:szCs w:val="18"/>
          <w:color w:val="auto"/>
        </w:rPr>
        <w:t xml:space="preserve"> was affected by the seasonality of these deposits every May when the first payment of the year is made (the next one is made in November). The latter, explains the increase in this component’s share of Credicorp’s total funding, which was generated mainly by BCP Stand-alone. Nevertheless, the YoY analysis shows that these deposits did not grow due primarily to the measures enacted by the Ministry of Economy of Peru, to drive economic growth in the short term, which allowed employees that have already accumulated four gross monthly salaries to have free access to any surplus in the CTS account.</w:t>
      </w:r>
    </w:p>
    <w:p>
      <w:pPr>
        <w:spacing w:after="0" w:line="18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Time deposits </w:t>
      </w:r>
      <w:r>
        <w:rPr>
          <w:rFonts w:ascii="Arial" w:cs="Arial" w:eastAsia="Arial" w:hAnsi="Arial"/>
          <w:sz w:val="18"/>
          <w:szCs w:val="18"/>
          <w:color w:val="auto"/>
        </w:rPr>
        <w:t>fell -6.5% QoQ. This was due to a decrease in deposits in BCP Stand-alone (mainly in FC) associated to both individuals and companies,</w:t>
      </w:r>
      <w:r>
        <w:rPr>
          <w:rFonts w:ascii="Arial" w:cs="Arial" w:eastAsia="Arial" w:hAnsi="Arial"/>
          <w:sz w:val="18"/>
          <w:szCs w:val="18"/>
          <w:b w:val="1"/>
          <w:bCs w:val="1"/>
          <w:color w:val="auto"/>
        </w:rPr>
        <w:t xml:space="preserve"> </w:t>
      </w:r>
      <w:r>
        <w:rPr>
          <w:rFonts w:ascii="Arial" w:cs="Arial" w:eastAsia="Arial" w:hAnsi="Arial"/>
          <w:sz w:val="18"/>
          <w:szCs w:val="18"/>
          <w:color w:val="auto"/>
        </w:rPr>
        <w:t>followed by scheduled withdrawals by institutional clients at Mibanco. As it was explained before with regards to the increasing use of BCRP instruments, Time deposits decreased -15.3% YoY.</w:t>
      </w:r>
    </w:p>
    <w:p>
      <w:pPr>
        <w:spacing w:after="0" w:line="389" w:lineRule="exact"/>
        <w:rPr>
          <w:sz w:val="20"/>
          <w:szCs w:val="20"/>
          <w:color w:val="auto"/>
        </w:rPr>
      </w:pPr>
    </w:p>
    <w:p>
      <w:pPr>
        <w:ind w:left="11200"/>
        <w:spacing w:after="0"/>
        <w:rPr>
          <w:sz w:val="20"/>
          <w:szCs w:val="20"/>
          <w:color w:val="auto"/>
        </w:rPr>
      </w:pPr>
      <w:r>
        <w:rPr>
          <w:rFonts w:ascii="Arial" w:cs="Arial" w:eastAsia="Arial" w:hAnsi="Arial"/>
          <w:sz w:val="19"/>
          <w:szCs w:val="19"/>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7" w:name="page18"/>
    <w:bookmarkEnd w:id="17"/>
    <w:p>
      <w:pPr>
        <w:spacing w:after="0" w:line="282" w:lineRule="auto"/>
        <w:rPr>
          <w:sz w:val="20"/>
          <w:szCs w:val="20"/>
          <w:color w:val="auto"/>
        </w:rPr>
      </w:pPr>
      <w:r>
        <w:rPr>
          <w:rFonts w:ascii="Arial" w:cs="Arial" w:eastAsia="Arial" w:hAnsi="Arial"/>
          <w:sz w:val="18"/>
          <w:szCs w:val="18"/>
          <w:b w:val="1"/>
          <w:bCs w:val="1"/>
          <w:color w:val="auto"/>
        </w:rPr>
        <w:t xml:space="preserve">Savings deposits </w:t>
      </w:r>
      <w:r>
        <w:rPr>
          <w:rFonts w:ascii="Arial" w:cs="Arial" w:eastAsia="Arial" w:hAnsi="Arial"/>
          <w:sz w:val="18"/>
          <w:szCs w:val="18"/>
          <w:color w:val="auto"/>
        </w:rPr>
        <w:t>fell -1.9% QoQ due mainly to withdrawals, primarily from LC funds, in Mibanco and in BCP Stand-alone relative to both individuals and</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These deposits expanded +15.2% YoY, as an effect of the appreciation of US Dollar.</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Finally, it is important to note that growth in deposits was accentuated by the US Dollar’s appreciation against the Nuevo Sol given that 57.3% of Credicorp’s total deposits are denominated in this FC. In this context, real growth in total deposits was +0.7% QoQ and 0.8% YoY.</w:t>
      </w:r>
    </w:p>
    <w:p>
      <w:pPr>
        <w:spacing w:after="0" w:line="170"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i w:val="1"/>
          <w:iCs w:val="1"/>
          <w:color w:val="auto"/>
        </w:rPr>
        <w:t>2.2.1</w:t>
      </w:r>
      <w:r>
        <w:rPr>
          <w:sz w:val="20"/>
          <w:szCs w:val="20"/>
          <w:color w:val="auto"/>
        </w:rPr>
        <w:tab/>
      </w:r>
      <w:r>
        <w:rPr>
          <w:rFonts w:ascii="Arial" w:cs="Arial" w:eastAsia="Arial" w:hAnsi="Arial"/>
          <w:sz w:val="16"/>
          <w:szCs w:val="16"/>
          <w:i w:val="1"/>
          <w:iCs w:val="1"/>
          <w:color w:val="auto"/>
        </w:rPr>
        <w:t>Market share in deposits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share in Peru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154940</wp:posOffset>
            </wp:positionV>
            <wp:extent cx="5419725" cy="13804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419725" cy="1380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Source: BCP</w:t>
      </w:r>
    </w:p>
    <w:p>
      <w:pPr>
        <w:spacing w:after="0" w:line="23" w:lineRule="exact"/>
        <w:rPr>
          <w:sz w:val="20"/>
          <w:szCs w:val="20"/>
          <w:color w:val="auto"/>
        </w:rPr>
      </w:pPr>
    </w:p>
    <w:p>
      <w:pPr>
        <w:ind w:left="780" w:hanging="262"/>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Demand deposits includes Mibanco’s market share of 0.2% at the end of June 2014, March 2015 and May 2015.</w:t>
      </w:r>
    </w:p>
    <w:p>
      <w:pPr>
        <w:spacing w:after="0" w:line="9" w:lineRule="exact"/>
        <w:rPr>
          <w:rFonts w:ascii="Arial" w:cs="Arial" w:eastAsia="Arial" w:hAnsi="Arial"/>
          <w:sz w:val="18"/>
          <w:szCs w:val="18"/>
          <w:color w:val="auto"/>
        </w:rPr>
      </w:pPr>
    </w:p>
    <w:p>
      <w:pPr>
        <w:ind w:left="520" w:hanging="2"/>
        <w:spacing w:after="0" w:line="250" w:lineRule="auto"/>
        <w:tabs>
          <w:tab w:leader="none" w:pos="787" w:val="left"/>
        </w:tabs>
        <w:numPr>
          <w:ilvl w:val="0"/>
          <w:numId w:val="19"/>
        </w:numPr>
        <w:rPr>
          <w:rFonts w:ascii="Arial" w:cs="Arial" w:eastAsia="Arial" w:hAnsi="Arial"/>
          <w:sz w:val="18"/>
          <w:szCs w:val="18"/>
          <w:color w:val="auto"/>
        </w:rPr>
      </w:pPr>
      <w:r>
        <w:rPr>
          <w:rFonts w:ascii="Arial" w:cs="Arial" w:eastAsia="Arial" w:hAnsi="Arial"/>
          <w:sz w:val="18"/>
          <w:szCs w:val="18"/>
          <w:color w:val="auto"/>
        </w:rPr>
        <w:t>Savings deposits includes Mibanco’s market share of 1.7% at the end of June 2014, 1.4% at the end of March 2015 and 1.3% at the end of May 2015.</w:t>
      </w:r>
    </w:p>
    <w:p>
      <w:pPr>
        <w:ind w:left="780" w:hanging="262"/>
        <w:spacing w:after="0"/>
        <w:tabs>
          <w:tab w:leader="none" w:pos="7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Time deposits includes Mibanco’s narket share of 5.3% at the end of June 2014, 5.1% at the end of March 2015 and 4.6% at the end of May 2015.</w:t>
      </w:r>
    </w:p>
    <w:p>
      <w:pPr>
        <w:spacing w:after="0" w:line="32" w:lineRule="exact"/>
        <w:rPr>
          <w:rFonts w:ascii="Arial" w:cs="Arial" w:eastAsia="Arial" w:hAnsi="Arial"/>
          <w:sz w:val="16"/>
          <w:szCs w:val="16"/>
          <w:color w:val="auto"/>
        </w:rPr>
      </w:pPr>
    </w:p>
    <w:p>
      <w:pPr>
        <w:ind w:left="520" w:hanging="2"/>
        <w:spacing w:after="0" w:line="261" w:lineRule="auto"/>
        <w:tabs>
          <w:tab w:leader="none" w:pos="787" w:val="left"/>
        </w:tabs>
        <w:numPr>
          <w:ilvl w:val="0"/>
          <w:numId w:val="19"/>
        </w:numPr>
        <w:rPr>
          <w:rFonts w:ascii="Arial" w:cs="Arial" w:eastAsia="Arial" w:hAnsi="Arial"/>
          <w:sz w:val="18"/>
          <w:szCs w:val="18"/>
          <w:color w:val="auto"/>
        </w:rPr>
      </w:pPr>
      <w:r>
        <w:rPr>
          <w:rFonts w:ascii="Arial" w:cs="Arial" w:eastAsia="Arial" w:hAnsi="Arial"/>
          <w:sz w:val="18"/>
          <w:szCs w:val="18"/>
          <w:color w:val="auto"/>
        </w:rPr>
        <w:t>CTS or Severance indemnity deposits includes Mibanco’s market share of 1.4% at the end of June 2014 and 1.2% at the end of March and May 2015</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the end of May 2015, Credicorp’s subsidiaries in Peru, BCP and Mibanco, continued to lead the deposits market with a consolidated share of 32.4% (31% in LC deposits and 32% in FC). These results outpaced those of our closest competitor by more than 10%. These subsidiaries also maintained market leadership for different deposit types.</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terms of type of deposits, Savings and CTS deposits maintained its market share QoQ while Demand and Time deposits shares fell slightly QoQ. The evolution of Demand and Time deposits was in line with the organization’s strategy to focus on low-cost funding sources as discussed above.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BCP Bolivia continued to rank fifth in the Bolivian financial system with a market share of 10.5%.</w:t>
      </w:r>
    </w:p>
    <w:p>
      <w:pPr>
        <w:spacing w:after="0" w:line="22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i w:val="1"/>
          <w:iCs w:val="1"/>
          <w:color w:val="auto"/>
        </w:rPr>
        <w:t>2.2.2</w:t>
      </w:r>
      <w:r>
        <w:rPr>
          <w:sz w:val="20"/>
          <w:szCs w:val="20"/>
          <w:color w:val="auto"/>
        </w:rPr>
        <w:tab/>
      </w:r>
      <w:r>
        <w:rPr>
          <w:rFonts w:ascii="Arial" w:cs="Arial" w:eastAsia="Arial" w:hAnsi="Arial"/>
          <w:sz w:val="17"/>
          <w:szCs w:val="17"/>
          <w:i w:val="1"/>
          <w:iCs w:val="1"/>
          <w:color w:val="auto"/>
        </w:rPr>
        <w:t>Deposit dollarization</w:t>
      </w:r>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In 2Q15, </w:t>
      </w:r>
      <w:r>
        <w:rPr>
          <w:rFonts w:ascii="Arial" w:cs="Arial" w:eastAsia="Arial" w:hAnsi="Arial"/>
          <w:sz w:val="18"/>
          <w:szCs w:val="18"/>
          <w:b w:val="1"/>
          <w:bCs w:val="1"/>
          <w:color w:val="auto"/>
        </w:rPr>
        <w:t>Credicorp</w:t>
      </w:r>
      <w:r>
        <w:rPr>
          <w:rFonts w:ascii="Arial" w:cs="Arial" w:eastAsia="Arial" w:hAnsi="Arial"/>
          <w:sz w:val="18"/>
          <w:szCs w:val="18"/>
          <w:color w:val="auto"/>
        </w:rPr>
        <w:t xml:space="preserve"> registered an increase in the FC deposits, in line with expansion in Demand deposits. As such, the deposit’s dollarization increased +300 bps QoQ</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It is important to note that approximately 89% of total deposits are originated in Peru (BCP Stand-alone and Mibanco). </w:t>
      </w:r>
      <w:r>
        <w:rPr>
          <w:rFonts w:ascii="Arial" w:cs="Arial" w:eastAsia="Arial" w:hAnsi="Arial"/>
          <w:sz w:val="18"/>
          <w:szCs w:val="18"/>
          <w:b w:val="1"/>
          <w:bCs w:val="1"/>
          <w:color w:val="auto"/>
        </w:rPr>
        <w:t>BCP Stand-alone</w:t>
      </w:r>
      <w:r>
        <w:rPr>
          <w:rFonts w:ascii="Arial" w:cs="Arial" w:eastAsia="Arial" w:hAnsi="Arial"/>
          <w:sz w:val="18"/>
          <w:szCs w:val="18"/>
          <w:color w:val="auto"/>
        </w:rPr>
        <w:t xml:space="preserve"> held 53% of its deposits in FC at the end of 2Q15.</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BAP’s deposits dollarization</w:t>
      </w:r>
      <w:r>
        <w:rPr>
          <w:rFonts w:ascii="Arial" w:cs="Arial" w:eastAsia="Arial" w:hAnsi="Arial"/>
          <w:sz w:val="30"/>
          <w:szCs w:val="30"/>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2483485</wp:posOffset>
            </wp:positionH>
            <wp:positionV relativeFrom="paragraph">
              <wp:posOffset>90170</wp:posOffset>
            </wp:positionV>
            <wp:extent cx="2289810" cy="8578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289810" cy="857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BCP Stand-alone – Deposit dollarization*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905510</wp:posOffset>
            </wp:positionH>
            <wp:positionV relativeFrom="paragraph">
              <wp:posOffset>154940</wp:posOffset>
            </wp:positionV>
            <wp:extent cx="5454015" cy="127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454015" cy="127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 Average daily balances.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 analysis of the evolution of the four types of deposits in BCP Stand-alone, in terms of average daily balances, indicates that: (1) Time deposits have continued to de-dollarize and (2) CTS deposits’ currency mix remains stable. Nevertheless, shorter duration deposits such as Demand and Savings deposits reported a higher dollarization, which is in line with the depreciation of the Nuevo Sol (+2.62% QoQ).</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20" w:type="dxa"/>
            <w:vAlign w:val="bottom"/>
            <w:gridSpan w:val="3"/>
          </w:tcPr>
          <w:p>
            <w:pPr>
              <w:spacing w:after="0"/>
              <w:rPr>
                <w:sz w:val="20"/>
                <w:szCs w:val="20"/>
                <w:color w:val="auto"/>
              </w:rPr>
            </w:pPr>
            <w:r>
              <w:rPr>
                <w:rFonts w:ascii="Arial" w:cs="Arial" w:eastAsia="Arial" w:hAnsi="Arial"/>
                <w:sz w:val="18"/>
                <w:szCs w:val="18"/>
                <w:b w:val="1"/>
                <w:bCs w:val="1"/>
                <w:color w:val="auto"/>
              </w:rPr>
              <w:t>2.3  Other funding sources</w:t>
            </w: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27"/>
        </w:trPr>
        <w:tc>
          <w:tcPr>
            <w:tcW w:w="880" w:type="dxa"/>
            <w:vAlign w:val="bottom"/>
          </w:tcPr>
          <w:p>
            <w:pPr>
              <w:spacing w:after="0"/>
              <w:rPr>
                <w:sz w:val="24"/>
                <w:szCs w:val="24"/>
                <w:color w:val="auto"/>
              </w:rPr>
            </w:pPr>
          </w:p>
        </w:tc>
        <w:tc>
          <w:tcPr>
            <w:tcW w:w="3440" w:type="dxa"/>
            <w:vAlign w:val="bottom"/>
            <w:gridSpan w:val="2"/>
          </w:tcPr>
          <w:p>
            <w:pPr>
              <w:spacing w:after="0"/>
              <w:rPr>
                <w:sz w:val="20"/>
                <w:szCs w:val="20"/>
                <w:color w:val="auto"/>
              </w:rPr>
            </w:pPr>
            <w:r>
              <w:rPr>
                <w:rFonts w:ascii="Arial" w:cs="Arial" w:eastAsia="Arial" w:hAnsi="Arial"/>
                <w:sz w:val="18"/>
                <w:szCs w:val="18"/>
                <w:b w:val="1"/>
                <w:bCs w:val="1"/>
                <w:color w:val="auto"/>
              </w:rPr>
              <w:t>Other funding sources</w:t>
            </w: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tcPr>
          <w:p>
            <w:pPr>
              <w:ind w:left="180"/>
              <w:spacing w:after="0"/>
              <w:rPr>
                <w:sz w:val="20"/>
                <w:szCs w:val="20"/>
                <w:color w:val="auto"/>
              </w:rPr>
            </w:pPr>
            <w:r>
              <w:rPr>
                <w:rFonts w:ascii="Arial" w:cs="Arial" w:eastAsia="Arial" w:hAnsi="Arial"/>
                <w:sz w:val="18"/>
                <w:szCs w:val="18"/>
                <w:b w:val="1"/>
                <w:bCs w:val="1"/>
                <w:color w:val="auto"/>
              </w:rPr>
              <w:t>Quarter</w:t>
            </w: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3"/>
          </w:tcPr>
          <w:p>
            <w:pPr>
              <w:ind w:left="640"/>
              <w:spacing w:after="0"/>
              <w:rPr>
                <w:sz w:val="20"/>
                <w:szCs w:val="20"/>
                <w:color w:val="auto"/>
              </w:rPr>
            </w:pPr>
            <w:r>
              <w:rPr>
                <w:rFonts w:ascii="Arial" w:cs="Arial" w:eastAsia="Arial" w:hAnsi="Arial"/>
                <w:sz w:val="18"/>
                <w:szCs w:val="18"/>
                <w:b w:val="1"/>
                <w:bCs w:val="1"/>
                <w:color w:val="auto"/>
                <w:w w:val="90"/>
              </w:rPr>
              <w:t>% change</w:t>
            </w: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4"/>
        </w:trPr>
        <w:tc>
          <w:tcPr>
            <w:tcW w:w="880" w:type="dxa"/>
            <w:vAlign w:val="bottom"/>
          </w:tcPr>
          <w:p>
            <w:pPr>
              <w:spacing w:after="0"/>
              <w:rPr>
                <w:sz w:val="20"/>
                <w:szCs w:val="20"/>
                <w:color w:val="auto"/>
              </w:rPr>
            </w:pPr>
          </w:p>
        </w:tc>
        <w:tc>
          <w:tcPr>
            <w:tcW w:w="3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000</w:t>
            </w:r>
          </w:p>
        </w:tc>
        <w:tc>
          <w:tcPr>
            <w:tcW w:w="8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2Q14</w:t>
            </w:r>
          </w:p>
        </w:tc>
        <w:tc>
          <w:tcPr>
            <w:tcW w:w="16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1Q15</w:t>
            </w:r>
          </w:p>
        </w:tc>
        <w:tc>
          <w:tcPr>
            <w:tcW w:w="16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2Q15</w:t>
            </w:r>
          </w:p>
        </w:tc>
        <w:tc>
          <w:tcPr>
            <w:tcW w:w="16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QoQ</w:t>
            </w:r>
          </w:p>
        </w:tc>
        <w:tc>
          <w:tcPr>
            <w:tcW w:w="2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6"/>
              </w:rPr>
              <w:t>YoY</w:t>
            </w:r>
          </w:p>
        </w:tc>
        <w:tc>
          <w:tcPr>
            <w:tcW w:w="180" w:type="dxa"/>
            <w:vAlign w:val="bottom"/>
            <w:tcBorders>
              <w:bottom w:val="single" w:sz="8" w:color="CCEEFF"/>
            </w:tcBorders>
          </w:tcPr>
          <w:p>
            <w:pPr>
              <w:spacing w:after="0"/>
              <w:rPr>
                <w:sz w:val="20"/>
                <w:szCs w:val="20"/>
                <w:color w:val="auto"/>
              </w:rPr>
            </w:pPr>
          </w:p>
        </w:tc>
      </w:tr>
      <w:tr>
        <w:trPr>
          <w:trHeight w:val="210"/>
        </w:trPr>
        <w:tc>
          <w:tcPr>
            <w:tcW w:w="88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Due to banks and correspondents</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10,435,500</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9,936,209</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9,180,228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-7.6%</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16"/>
        </w:trPr>
        <w:tc>
          <w:tcPr>
            <w:tcW w:w="88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BCRP instruments</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1,223,753</w:t>
            </w:r>
          </w:p>
        </w:tc>
        <w:tc>
          <w:tcPr>
            <w:tcW w:w="1000" w:type="dxa"/>
            <w:vAlign w:val="bottom"/>
          </w:tcPr>
          <w:p>
            <w:pPr>
              <w:jc w:val="right"/>
              <w:spacing w:after="0"/>
              <w:rPr>
                <w:sz w:val="20"/>
                <w:szCs w:val="20"/>
                <w:color w:val="auto"/>
              </w:rPr>
            </w:pPr>
            <w:r>
              <w:rPr>
                <w:rFonts w:ascii="Arial" w:cs="Arial" w:eastAsia="Arial" w:hAnsi="Arial"/>
                <w:sz w:val="18"/>
                <w:szCs w:val="18"/>
                <w:color w:val="auto"/>
              </w:rPr>
              <w:t>7,956,780</w:t>
            </w: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10,012,756</w:t>
            </w: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rPr>
              <w:t>25.8%</w:t>
            </w:r>
          </w:p>
        </w:tc>
        <w:tc>
          <w:tcPr>
            <w:tcW w:w="2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718.2%</w:t>
            </w:r>
          </w:p>
        </w:tc>
      </w:tr>
      <w:tr>
        <w:trPr>
          <w:trHeight w:val="216"/>
        </w:trPr>
        <w:tc>
          <w:tcPr>
            <w:tcW w:w="880" w:type="dxa"/>
            <w:vAlign w:val="bottom"/>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Bonds and subordinated debt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14,910,646</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15,560,444</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15,601,653</w:t>
            </w:r>
          </w:p>
        </w:tc>
        <w:tc>
          <w:tcPr>
            <w:tcW w:w="11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70"/>
        </w:trPr>
        <w:tc>
          <w:tcPr>
            <w:tcW w:w="880" w:type="dxa"/>
            <w:vAlign w:val="bottom"/>
          </w:tcPr>
          <w:p>
            <w:pPr>
              <w:spacing w:after="0"/>
              <w:rPr>
                <w:sz w:val="23"/>
                <w:szCs w:val="23"/>
                <w:color w:val="auto"/>
              </w:rPr>
            </w:pPr>
          </w:p>
        </w:tc>
        <w:tc>
          <w:tcPr>
            <w:tcW w:w="3440" w:type="dxa"/>
            <w:vAlign w:val="bottom"/>
            <w:gridSpan w:val="2"/>
          </w:tcPr>
          <w:p>
            <w:pPr>
              <w:spacing w:after="0" w:line="269" w:lineRule="exact"/>
              <w:rPr>
                <w:sz w:val="20"/>
                <w:szCs w:val="20"/>
                <w:color w:val="auto"/>
              </w:rPr>
            </w:pPr>
            <w:r>
              <w:rPr>
                <w:rFonts w:ascii="Arial" w:cs="Arial" w:eastAsia="Arial" w:hAnsi="Arial"/>
                <w:sz w:val="18"/>
                <w:szCs w:val="18"/>
                <w:color w:val="auto"/>
              </w:rPr>
              <w:t xml:space="preserve">Other liabilities </w:t>
            </w:r>
            <w:r>
              <w:rPr>
                <w:rFonts w:ascii="Arial" w:cs="Arial" w:eastAsia="Arial" w:hAnsi="Arial"/>
                <w:sz w:val="30"/>
                <w:szCs w:val="30"/>
                <w:color w:val="auto"/>
                <w:vertAlign w:val="superscript"/>
              </w:rPr>
              <w:t>(1)</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11,326,947</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13,458,895</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12,128,489</w:t>
            </w: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rPr>
              <w:t>-9.9%</w:t>
            </w:r>
          </w:p>
        </w:tc>
        <w:tc>
          <w:tcPr>
            <w:tcW w:w="260" w:type="dxa"/>
            <w:vAlign w:val="bottom"/>
          </w:tcPr>
          <w:p>
            <w:pPr>
              <w:spacing w:after="0"/>
              <w:rPr>
                <w:sz w:val="23"/>
                <w:szCs w:val="23"/>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7.1%</w:t>
            </w:r>
          </w:p>
        </w:tc>
      </w:tr>
      <w:tr>
        <w:trPr>
          <w:trHeight w:val="210"/>
        </w:trPr>
        <w:tc>
          <w:tcPr>
            <w:tcW w:w="880" w:type="dxa"/>
            <w:vAlign w:val="bottom"/>
          </w:tcPr>
          <w:p>
            <w:pPr>
              <w:spacing w:after="0"/>
              <w:rPr>
                <w:sz w:val="18"/>
                <w:szCs w:val="18"/>
                <w:color w:val="auto"/>
              </w:rPr>
            </w:pPr>
          </w:p>
        </w:tc>
        <w:tc>
          <w:tcPr>
            <w:tcW w:w="34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37,896,846</w:t>
            </w:r>
          </w:p>
        </w:tc>
        <w:tc>
          <w:tcPr>
            <w:tcW w:w="1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46,912,328</w:t>
            </w:r>
          </w:p>
        </w:tc>
        <w:tc>
          <w:tcPr>
            <w:tcW w:w="1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46,923,126</w:t>
            </w: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w:t>
            </w:r>
          </w:p>
        </w:tc>
        <w:tc>
          <w:tcPr>
            <w:tcW w:w="2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23.8</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r>
    </w:tbl>
    <w:p>
      <w:pPr>
        <w:ind w:left="880" w:right="280" w:hanging="8"/>
        <w:spacing w:after="0" w:line="261" w:lineRule="auto"/>
        <w:tabs>
          <w:tab w:leader="none" w:pos="11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acceptances outstanding, reserves for property and casualty claims, reserve for unearned premiums, reinsurance payable and other liabilities.</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Other funding sources remained stable QoQ, since the increase in BCRP instruments (+25.8% QoQ) was offset by the reduction in the Other liabilities (-9.9% QoQ) and in Due to banks and correspondents (-7.6% QoQ).</w:t>
      </w:r>
    </w:p>
    <w:p>
      <w:pPr>
        <w:spacing w:after="0" w:line="166"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 xml:space="preserve">The increase in the level of </w:t>
      </w:r>
      <w:r>
        <w:rPr>
          <w:rFonts w:ascii="Arial" w:cs="Arial" w:eastAsia="Arial" w:hAnsi="Arial"/>
          <w:sz w:val="16"/>
          <w:szCs w:val="16"/>
          <w:b w:val="1"/>
          <w:bCs w:val="1"/>
          <w:color w:val="auto"/>
        </w:rPr>
        <w:t>BCRP instruments</w:t>
      </w:r>
      <w:r>
        <w:rPr>
          <w:rFonts w:ascii="Arial" w:cs="Arial" w:eastAsia="Arial" w:hAnsi="Arial"/>
          <w:sz w:val="16"/>
          <w:szCs w:val="16"/>
          <w:color w:val="auto"/>
        </w:rPr>
        <w:t xml:space="preserve"> was due to more repo transactions in 2Q15 at both BCP Stand-alone and Mibanco. It is important to note that BCRP increased the supply of this instrument in 2Q15 to maintain liquidity in LC. BCRP not only increased the volume of these instruments but also improved its conditions, mainly in terms of duration. Initially, repos were short-term transactions (less than a year), now they are mid-term (between one and four years). BCRP instruments have increased their share from 1.1% at the end of 2Q14 to 6.3% in 1Q15 and 7.8% at the end of 2Q15 at the Credicorp level.</w:t>
      </w:r>
    </w:p>
    <w:p>
      <w:pPr>
        <w:spacing w:after="0" w:line="15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Bonds and subordinated debt </w:t>
      </w:r>
      <w:r>
        <w:rPr>
          <w:rFonts w:ascii="Arial" w:cs="Arial" w:eastAsia="Arial" w:hAnsi="Arial"/>
          <w:sz w:val="18"/>
          <w:szCs w:val="18"/>
          <w:color w:val="auto"/>
        </w:rPr>
        <w:t>rose slightly QoQ (+0.3%) due to growth in this line at BCP Stand-alone, which in turn was the result of the appreciation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the US Dollar, because 85.8% of this funding is denominated in FC. The aforementioned was offset by a decrease of this funding source at Mibanco, as a result of the repayment of these liabilities.</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The decrease in the level of </w:t>
      </w:r>
      <w:r>
        <w:rPr>
          <w:rFonts w:ascii="Arial" w:cs="Arial" w:eastAsia="Arial" w:hAnsi="Arial"/>
          <w:sz w:val="18"/>
          <w:szCs w:val="18"/>
          <w:b w:val="1"/>
          <w:bCs w:val="1"/>
          <w:color w:val="auto"/>
        </w:rPr>
        <w:t>Other liabilities</w:t>
      </w:r>
      <w:r>
        <w:rPr>
          <w:rFonts w:ascii="Arial" w:cs="Arial" w:eastAsia="Arial" w:hAnsi="Arial"/>
          <w:sz w:val="18"/>
          <w:szCs w:val="18"/>
          <w:color w:val="auto"/>
        </w:rPr>
        <w:t xml:space="preserve"> (-9.9% QoQ) was due mainly to: (i) lower level of dividends payable to shareholders for the financial year 2014, which were paid in May 2015, according to the agreement reached at the Annual General Meeting of Shareholders at the end of 1Q15; and (ii) a decrease in provisions for taxes payable for the financial year 2014 that were paid in April 2015.</w:t>
      </w:r>
    </w:p>
    <w:p>
      <w:pPr>
        <w:spacing w:after="0" w:line="176" w:lineRule="exact"/>
        <w:rPr>
          <w:sz w:val="20"/>
          <w:szCs w:val="20"/>
          <w:color w:val="auto"/>
        </w:rPr>
      </w:pPr>
    </w:p>
    <w:p>
      <w:pPr>
        <w:jc w:val="both"/>
        <w:spacing w:after="0" w:line="313" w:lineRule="auto"/>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b w:val="1"/>
          <w:bCs w:val="1"/>
          <w:color w:val="auto"/>
        </w:rPr>
        <w:t>Due to Banks and Correspondents</w:t>
      </w:r>
      <w:r>
        <w:rPr>
          <w:rFonts w:ascii="Arial" w:cs="Arial" w:eastAsia="Arial" w:hAnsi="Arial"/>
          <w:sz w:val="17"/>
          <w:szCs w:val="17"/>
          <w:color w:val="auto"/>
        </w:rPr>
        <w:t xml:space="preserve"> line fell -7.6% QoQ, mainly due to the evolution of this line at BCP Stand-alone. The aforementioned offset the slightly increase in the level of due to banks and correspondents at Mibanco, associated with the strategy to seek on lower-cost funding sources.</w:t>
      </w:r>
    </w:p>
    <w:p>
      <w:pPr>
        <w:spacing w:after="0" w:line="35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9" w:name="page20"/>
    <w:bookmarkEnd w:id="19"/>
    <w:p>
      <w:pPr>
        <w:jc w:val="both"/>
        <w:spacing w:after="0" w:line="277" w:lineRule="auto"/>
        <w:rPr>
          <w:sz w:val="20"/>
          <w:szCs w:val="20"/>
          <w:color w:val="auto"/>
        </w:rPr>
      </w:pPr>
      <w:r>
        <w:rPr>
          <w:rFonts w:ascii="Arial" w:cs="Arial" w:eastAsia="Arial" w:hAnsi="Arial"/>
          <w:sz w:val="18"/>
          <w:szCs w:val="18"/>
          <w:color w:val="auto"/>
        </w:rPr>
        <w:t>In the YoY analysis, there was a significant increase in Due to banks and correspondents (+64.6% YoY). This was in line with an increase in the level of BCRP Instruments as alternative funding sources, mainly at BCP.</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Loan/Deposits (L/D)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 / Deposit ratio by subsidiary and currency type</w:t>
      </w:r>
    </w:p>
    <w:p>
      <w:pPr>
        <w:spacing w:after="0" w:line="225" w:lineRule="exact"/>
        <w:rPr>
          <w:sz w:val="20"/>
          <w:szCs w:val="20"/>
          <w:color w:val="auto"/>
        </w:rPr>
      </w:pPr>
    </w:p>
    <w:p>
      <w:pPr>
        <w:ind w:left="5480"/>
        <w:spacing w:after="0"/>
        <w:rPr>
          <w:sz w:val="20"/>
          <w:szCs w:val="20"/>
          <w:color w:val="auto"/>
        </w:rPr>
      </w:pPr>
      <w:r>
        <w:rPr>
          <w:rFonts w:ascii="Arial" w:cs="Arial" w:eastAsia="Arial" w:hAnsi="Arial"/>
          <w:sz w:val="18"/>
          <w:szCs w:val="18"/>
          <w:b w:val="1"/>
          <w:bCs w:val="1"/>
          <w:u w:val="single" w:color="auto"/>
          <w:color w:val="auto"/>
        </w:rPr>
        <w:t>Loans</w:t>
      </w:r>
    </w:p>
    <w:p>
      <w:pPr>
        <w:spacing w:after="0" w:line="27" w:lineRule="exact"/>
        <w:rPr>
          <w:sz w:val="20"/>
          <w:szCs w:val="20"/>
          <w:color w:val="auto"/>
        </w:rPr>
      </w:pPr>
    </w:p>
    <w:p>
      <w:pPr>
        <w:ind w:left="5440"/>
        <w:spacing w:after="0"/>
        <w:rPr>
          <w:sz w:val="20"/>
          <w:szCs w:val="20"/>
          <w:color w:val="auto"/>
        </w:rPr>
      </w:pPr>
      <w:r>
        <w:rPr>
          <w:rFonts w:ascii="Arial" w:cs="Arial" w:eastAsia="Arial" w:hAnsi="Arial"/>
          <w:sz w:val="18"/>
          <w:szCs w:val="18"/>
          <w:b w:val="1"/>
          <w:bCs w:val="1"/>
          <w:color w:val="auto"/>
        </w:rPr>
        <w:t>Deposit</w:t>
      </w:r>
    </w:p>
    <w:p>
      <w:pPr>
        <w:spacing w:after="0" w:line="220" w:lineRule="exact"/>
        <w:rPr>
          <w:sz w:val="20"/>
          <w:szCs w:val="20"/>
          <w:color w:val="auto"/>
        </w:rPr>
      </w:pPr>
    </w:p>
    <w:tbl>
      <w:tblPr>
        <w:tblLayout w:type="fixed"/>
        <w:tblInd w:w="1440" w:type="dxa"/>
        <w:tblCellMar>
          <w:top w:w="0" w:type="dxa"/>
          <w:left w:w="0" w:type="dxa"/>
          <w:bottom w:w="0" w:type="dxa"/>
          <w:right w:w="0" w:type="dxa"/>
        </w:tblCellMar>
      </w:tblPr>
      <w:tr>
        <w:trPr>
          <w:trHeight w:val="234"/>
        </w:trPr>
        <w:tc>
          <w:tcPr>
            <w:tcW w:w="1160" w:type="dxa"/>
            <w:vAlign w:val="bottom"/>
          </w:tcPr>
          <w:p>
            <w:pPr>
              <w:ind w:left="380"/>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20"/>
                <w:szCs w:val="20"/>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8"/>
              </w:rPr>
              <w:t>BCP Stand-alone</w:t>
            </w:r>
          </w:p>
        </w:tc>
        <w:tc>
          <w:tcPr>
            <w:tcW w:w="14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Mibanco</w:t>
            </w:r>
          </w:p>
        </w:tc>
        <w:tc>
          <w:tcPr>
            <w:tcW w:w="15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BCP Bolivia</w:t>
            </w:r>
          </w:p>
        </w:tc>
        <w:tc>
          <w:tcPr>
            <w:tcW w:w="820" w:type="dxa"/>
            <w:vAlign w:val="bottom"/>
          </w:tcPr>
          <w:p>
            <w:pPr>
              <w:ind w:left="420"/>
              <w:spacing w:after="0"/>
              <w:rPr>
                <w:sz w:val="20"/>
                <w:szCs w:val="20"/>
                <w:color w:val="auto"/>
              </w:rPr>
            </w:pPr>
            <w:r>
              <w:rPr>
                <w:rFonts w:ascii="Arial" w:cs="Arial" w:eastAsia="Arial" w:hAnsi="Arial"/>
                <w:sz w:val="18"/>
                <w:szCs w:val="18"/>
                <w:b w:val="1"/>
                <w:bCs w:val="1"/>
                <w:color w:val="auto"/>
                <w:w w:val="99"/>
              </w:rPr>
              <w:t>ASB</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BAP</w:t>
            </w:r>
          </w:p>
        </w:tc>
        <w:tc>
          <w:tcPr>
            <w:tcW w:w="0" w:type="dxa"/>
            <w:vAlign w:val="bottom"/>
          </w:tcPr>
          <w:p>
            <w:pPr>
              <w:spacing w:after="0"/>
              <w:rPr>
                <w:sz w:val="1"/>
                <w:szCs w:val="1"/>
                <w:color w:val="auto"/>
              </w:rPr>
            </w:pPr>
          </w:p>
        </w:tc>
      </w:tr>
      <w:tr>
        <w:trPr>
          <w:trHeight w:val="20"/>
        </w:trPr>
        <w:tc>
          <w:tcPr>
            <w:tcW w:w="116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shd w:val="clear" w:color="auto" w:fill="CCEEFF"/>
          </w:tcPr>
          <w:p>
            <w:pPr>
              <w:ind w:left="380"/>
              <w:spacing w:after="0"/>
              <w:rPr>
                <w:sz w:val="20"/>
                <w:szCs w:val="20"/>
                <w:color w:val="auto"/>
              </w:rPr>
            </w:pPr>
            <w:r>
              <w:rPr>
                <w:rFonts w:ascii="Arial" w:cs="Arial" w:eastAsia="Arial" w:hAnsi="Arial"/>
                <w:sz w:val="18"/>
                <w:szCs w:val="18"/>
                <w:b w:val="1"/>
                <w:bCs w:val="1"/>
                <w:color w:val="auto"/>
              </w:rPr>
              <w:t>2Q14</w:t>
            </w:r>
          </w:p>
        </w:tc>
        <w:tc>
          <w:tcPr>
            <w:tcW w:w="80" w:type="dxa"/>
            <w:vAlign w:val="bottom"/>
            <w:vMerge w:val="continue"/>
            <w:shd w:val="clear" w:color="auto" w:fill="CCEEFF"/>
          </w:tcPr>
          <w:p>
            <w:pPr>
              <w:spacing w:after="0"/>
              <w:rPr>
                <w:sz w:val="18"/>
                <w:szCs w:val="18"/>
                <w:color w:val="auto"/>
              </w:rPr>
            </w:pPr>
          </w:p>
        </w:tc>
        <w:tc>
          <w:tcPr>
            <w:tcW w:w="1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98.3%</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127.9%</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76.2%</w:t>
            </w:r>
          </w:p>
        </w:tc>
        <w:tc>
          <w:tcPr>
            <w:tcW w:w="8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53.6%</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0" w:type="dxa"/>
            <w:vAlign w:val="bottom"/>
          </w:tcPr>
          <w:p>
            <w:pPr>
              <w:spacing w:after="0"/>
              <w:rPr>
                <w:sz w:val="1"/>
                <w:szCs w:val="1"/>
                <w:color w:val="auto"/>
              </w:rPr>
            </w:pPr>
          </w:p>
        </w:tc>
      </w:tr>
      <w:tr>
        <w:trPr>
          <w:trHeight w:val="216"/>
        </w:trPr>
        <w:tc>
          <w:tcPr>
            <w:tcW w:w="1160" w:type="dxa"/>
            <w:vAlign w:val="bottom"/>
          </w:tcPr>
          <w:p>
            <w:pPr>
              <w:ind w:left="380"/>
              <w:spacing w:after="0"/>
              <w:rPr>
                <w:sz w:val="20"/>
                <w:szCs w:val="20"/>
                <w:color w:val="auto"/>
              </w:rPr>
            </w:pPr>
            <w:r>
              <w:rPr>
                <w:rFonts w:ascii="Arial" w:cs="Arial" w:eastAsia="Arial" w:hAnsi="Arial"/>
                <w:sz w:val="18"/>
                <w:szCs w:val="18"/>
                <w:b w:val="1"/>
                <w:bCs w:val="1"/>
                <w:color w:val="auto"/>
              </w:rPr>
              <w:t>1Q15</w:t>
            </w:r>
          </w:p>
        </w:tc>
        <w:tc>
          <w:tcPr>
            <w:tcW w:w="1640" w:type="dxa"/>
            <w:vAlign w:val="bottom"/>
            <w:gridSpan w:val="3"/>
          </w:tcPr>
          <w:p>
            <w:pPr>
              <w:jc w:val="right"/>
              <w:ind w:right="80"/>
              <w:spacing w:after="0"/>
              <w:rPr>
                <w:sz w:val="20"/>
                <w:szCs w:val="20"/>
                <w:color w:val="auto"/>
              </w:rPr>
            </w:pPr>
            <w:r>
              <w:rPr>
                <w:rFonts w:ascii="Arial" w:cs="Arial" w:eastAsia="Arial" w:hAnsi="Arial"/>
                <w:sz w:val="18"/>
                <w:szCs w:val="18"/>
                <w:color w:val="auto"/>
              </w:rPr>
              <w:t>105.7%</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143.9%</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75.1%</w:t>
            </w:r>
          </w:p>
        </w:tc>
        <w:tc>
          <w:tcPr>
            <w:tcW w:w="82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55.1%</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103.1%</w:t>
            </w: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ind w:left="380"/>
              <w:spacing w:after="0"/>
              <w:rPr>
                <w:sz w:val="20"/>
                <w:szCs w:val="20"/>
                <w:color w:val="auto"/>
              </w:rPr>
            </w:pPr>
            <w:r>
              <w:rPr>
                <w:rFonts w:ascii="Arial" w:cs="Arial" w:eastAsia="Arial" w:hAnsi="Arial"/>
                <w:sz w:val="18"/>
                <w:szCs w:val="18"/>
                <w:b w:val="1"/>
                <w:bCs w:val="1"/>
                <w:color w:val="auto"/>
              </w:rPr>
              <w:t>2Q15</w:t>
            </w:r>
          </w:p>
        </w:tc>
        <w:tc>
          <w:tcPr>
            <w:tcW w:w="16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106.7%</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150.6%</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72.3%</w:t>
            </w:r>
          </w:p>
        </w:tc>
        <w:tc>
          <w:tcPr>
            <w:tcW w:w="8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55.9%</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103.2%</w:t>
            </w:r>
          </w:p>
        </w:tc>
        <w:tc>
          <w:tcPr>
            <w:tcW w:w="0" w:type="dxa"/>
            <w:vAlign w:val="bottom"/>
          </w:tcPr>
          <w:p>
            <w:pPr>
              <w:spacing w:after="0"/>
              <w:rPr>
                <w:sz w:val="1"/>
                <w:szCs w:val="1"/>
                <w:color w:val="auto"/>
              </w:rPr>
            </w:pPr>
          </w:p>
        </w:tc>
      </w:tr>
    </w:tbl>
    <w:p>
      <w:pPr>
        <w:spacing w:after="0" w:line="198"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BCP Stand-</w:t>
            </w:r>
          </w:p>
        </w:tc>
        <w:tc>
          <w:tcPr>
            <w:tcW w:w="1220" w:type="dxa"/>
            <w:vAlign w:val="bottom"/>
          </w:tcPr>
          <w:p>
            <w:pPr>
              <w:spacing w:after="0"/>
              <w:rPr>
                <w:sz w:val="18"/>
                <w:szCs w:val="18"/>
                <w:color w:val="auto"/>
              </w:rPr>
            </w:pPr>
          </w:p>
        </w:tc>
        <w:tc>
          <w:tcPr>
            <w:tcW w:w="4520" w:type="dxa"/>
            <w:vAlign w:val="bottom"/>
          </w:tcPr>
          <w:p>
            <w:pPr>
              <w:spacing w:after="0"/>
              <w:rPr>
                <w:sz w:val="18"/>
                <w:szCs w:val="18"/>
                <w:color w:val="auto"/>
              </w:rPr>
            </w:pPr>
          </w:p>
        </w:tc>
      </w:tr>
      <w:tr>
        <w:trPr>
          <w:trHeight w:val="234"/>
        </w:trPr>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LC</w:t>
            </w:r>
          </w:p>
        </w:tc>
        <w:tc>
          <w:tcPr>
            <w:tcW w:w="8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alone</w:t>
            </w:r>
          </w:p>
        </w:tc>
        <w:tc>
          <w:tcPr>
            <w:tcW w:w="24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Mibanco</w:t>
            </w:r>
          </w:p>
        </w:tc>
        <w:tc>
          <w:tcPr>
            <w:tcW w:w="4520" w:type="dxa"/>
            <w:vAlign w:val="bottom"/>
            <w:tcBorders>
              <w:bottom w:val="single" w:sz="8" w:color="CCEEFF"/>
            </w:tcBorders>
          </w:tcPr>
          <w:p>
            <w:pPr>
              <w:spacing w:after="0"/>
              <w:rPr>
                <w:sz w:val="20"/>
                <w:szCs w:val="20"/>
                <w:color w:val="auto"/>
              </w:rPr>
            </w:pPr>
          </w:p>
        </w:tc>
      </w:tr>
      <w:tr>
        <w:trPr>
          <w:trHeight w:val="210"/>
        </w:trPr>
        <w:tc>
          <w:tcPr>
            <w:tcW w:w="11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2Q14</w:t>
            </w:r>
          </w:p>
        </w:tc>
        <w:tc>
          <w:tcPr>
            <w:tcW w:w="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98.9%</w:t>
            </w:r>
          </w:p>
        </w:tc>
        <w:tc>
          <w:tcPr>
            <w:tcW w:w="5740" w:type="dxa"/>
            <w:vAlign w:val="bottom"/>
            <w:gridSpan w:val="2"/>
            <w:shd w:val="clear" w:color="auto" w:fill="CCEEFF"/>
          </w:tcPr>
          <w:p>
            <w:pPr>
              <w:jc w:val="right"/>
              <w:ind w:right="4360"/>
              <w:spacing w:after="0"/>
              <w:rPr>
                <w:sz w:val="20"/>
                <w:szCs w:val="20"/>
                <w:color w:val="auto"/>
              </w:rPr>
            </w:pPr>
            <w:r>
              <w:rPr>
                <w:rFonts w:ascii="Arial" w:cs="Arial" w:eastAsia="Arial" w:hAnsi="Arial"/>
                <w:sz w:val="18"/>
                <w:szCs w:val="18"/>
                <w:color w:val="auto"/>
              </w:rPr>
              <w:t>139.4%</w:t>
            </w:r>
          </w:p>
        </w:tc>
      </w:tr>
      <w:tr>
        <w:trPr>
          <w:trHeight w:val="216"/>
        </w:trPr>
        <w:tc>
          <w:tcPr>
            <w:tcW w:w="12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1Q15</w:t>
            </w:r>
          </w:p>
        </w:tc>
        <w:tc>
          <w:tcPr>
            <w:tcW w:w="1560" w:type="dxa"/>
            <w:vAlign w:val="bottom"/>
            <w:gridSpan w:val="2"/>
          </w:tcPr>
          <w:p>
            <w:pPr>
              <w:jc w:val="right"/>
              <w:ind w:right="80"/>
              <w:spacing w:after="0"/>
              <w:rPr>
                <w:sz w:val="20"/>
                <w:szCs w:val="20"/>
                <w:color w:val="auto"/>
              </w:rPr>
            </w:pPr>
            <w:r>
              <w:rPr>
                <w:rFonts w:ascii="Arial" w:cs="Arial" w:eastAsia="Arial" w:hAnsi="Arial"/>
                <w:sz w:val="18"/>
                <w:szCs w:val="18"/>
                <w:color w:val="auto"/>
              </w:rPr>
              <w:t>119.3%</w:t>
            </w:r>
          </w:p>
        </w:tc>
        <w:tc>
          <w:tcPr>
            <w:tcW w:w="5740" w:type="dxa"/>
            <w:vAlign w:val="bottom"/>
            <w:gridSpan w:val="2"/>
          </w:tcPr>
          <w:p>
            <w:pPr>
              <w:jc w:val="right"/>
              <w:ind w:right="4360"/>
              <w:spacing w:after="0"/>
              <w:rPr>
                <w:sz w:val="20"/>
                <w:szCs w:val="20"/>
                <w:color w:val="auto"/>
              </w:rPr>
            </w:pPr>
            <w:r>
              <w:rPr>
                <w:rFonts w:ascii="Arial" w:cs="Arial" w:eastAsia="Arial" w:hAnsi="Arial"/>
                <w:sz w:val="18"/>
                <w:szCs w:val="18"/>
                <w:color w:val="auto"/>
              </w:rPr>
              <w:t>166.1%</w:t>
            </w:r>
          </w:p>
        </w:tc>
      </w:tr>
      <w:tr>
        <w:trPr>
          <w:trHeight w:val="216"/>
        </w:trPr>
        <w:tc>
          <w:tcPr>
            <w:tcW w:w="12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b w:val="1"/>
                <w:bCs w:val="1"/>
                <w:color w:val="auto"/>
                <w:w w:val="90"/>
              </w:rPr>
              <w:t>2Q15</w:t>
            </w:r>
          </w:p>
        </w:tc>
        <w:tc>
          <w:tcPr>
            <w:tcW w:w="1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134.7%</w:t>
            </w:r>
          </w:p>
        </w:tc>
        <w:tc>
          <w:tcPr>
            <w:tcW w:w="5740" w:type="dxa"/>
            <w:vAlign w:val="bottom"/>
            <w:gridSpan w:val="2"/>
            <w:shd w:val="clear" w:color="auto" w:fill="CCEEFF"/>
          </w:tcPr>
          <w:p>
            <w:pPr>
              <w:jc w:val="right"/>
              <w:ind w:right="4360"/>
              <w:spacing w:after="0"/>
              <w:rPr>
                <w:sz w:val="20"/>
                <w:szCs w:val="20"/>
                <w:color w:val="auto"/>
              </w:rPr>
            </w:pPr>
            <w:r>
              <w:rPr>
                <w:rFonts w:ascii="Arial" w:cs="Arial" w:eastAsia="Arial" w:hAnsi="Arial"/>
                <w:sz w:val="18"/>
                <w:szCs w:val="18"/>
                <w:color w:val="auto"/>
              </w:rPr>
              <w:t>181.7%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-419735</wp:posOffset>
            </wp:positionV>
            <wp:extent cx="2718435" cy="146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718435" cy="146050"/>
                    </a:xfrm>
                    <a:prstGeom prst="rect">
                      <a:avLst/>
                    </a:prstGeom>
                    <a:noFill/>
                  </pic:spPr>
                </pic:pic>
              </a:graphicData>
            </a:graphic>
          </wp:anchor>
        </w:drawing>
        <w:drawing>
          <wp:anchor simplePos="0" relativeHeight="251657728" behindDoc="1" locked="0" layoutInCell="0" allowOverlap="1">
            <wp:simplePos x="0" y="0"/>
            <wp:positionH relativeFrom="column">
              <wp:posOffset>3623945</wp:posOffset>
            </wp:positionH>
            <wp:positionV relativeFrom="paragraph">
              <wp:posOffset>-136525</wp:posOffset>
            </wp:positionV>
            <wp:extent cx="2718435" cy="6946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718435" cy="694690"/>
                    </a:xfrm>
                    <a:prstGeom prst="rect">
                      <a:avLst/>
                    </a:prstGeom>
                    <a:noFill/>
                  </pic:spPr>
                </pic:pic>
              </a:graphicData>
            </a:graphic>
          </wp:anchor>
        </w:drawing>
      </w:r>
    </w:p>
    <w:p>
      <w:pPr>
        <w:spacing w:after="0" w:line="178"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BCP Stand-</w:t>
            </w:r>
          </w:p>
        </w:tc>
        <w:tc>
          <w:tcPr>
            <w:tcW w:w="1220" w:type="dxa"/>
            <w:vAlign w:val="bottom"/>
          </w:tcPr>
          <w:p>
            <w:pPr>
              <w:spacing w:after="0"/>
              <w:rPr>
                <w:sz w:val="18"/>
                <w:szCs w:val="18"/>
                <w:color w:val="auto"/>
              </w:rPr>
            </w:pPr>
          </w:p>
        </w:tc>
        <w:tc>
          <w:tcPr>
            <w:tcW w:w="4520" w:type="dxa"/>
            <w:vAlign w:val="bottom"/>
          </w:tcPr>
          <w:p>
            <w:pPr>
              <w:spacing w:after="0"/>
              <w:rPr>
                <w:sz w:val="18"/>
                <w:szCs w:val="18"/>
                <w:color w:val="auto"/>
              </w:rPr>
            </w:pPr>
          </w:p>
        </w:tc>
      </w:tr>
      <w:tr>
        <w:trPr>
          <w:trHeight w:val="234"/>
        </w:trPr>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FC</w:t>
            </w:r>
          </w:p>
        </w:tc>
        <w:tc>
          <w:tcPr>
            <w:tcW w:w="8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alone</w:t>
            </w:r>
          </w:p>
        </w:tc>
        <w:tc>
          <w:tcPr>
            <w:tcW w:w="24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Mibanco</w:t>
            </w:r>
          </w:p>
        </w:tc>
        <w:tc>
          <w:tcPr>
            <w:tcW w:w="4520" w:type="dxa"/>
            <w:vAlign w:val="bottom"/>
            <w:tcBorders>
              <w:bottom w:val="single" w:sz="8" w:color="CCEEFF"/>
            </w:tcBorders>
          </w:tcPr>
          <w:p>
            <w:pPr>
              <w:spacing w:after="0"/>
              <w:rPr>
                <w:sz w:val="20"/>
                <w:szCs w:val="20"/>
                <w:color w:val="auto"/>
              </w:rPr>
            </w:pPr>
          </w:p>
        </w:tc>
      </w:tr>
      <w:tr>
        <w:trPr>
          <w:trHeight w:val="210"/>
        </w:trPr>
        <w:tc>
          <w:tcPr>
            <w:tcW w:w="11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2Q14</w:t>
            </w:r>
          </w:p>
        </w:tc>
        <w:tc>
          <w:tcPr>
            <w:tcW w:w="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97.7%</w:t>
            </w:r>
          </w:p>
        </w:tc>
        <w:tc>
          <w:tcPr>
            <w:tcW w:w="5740" w:type="dxa"/>
            <w:vAlign w:val="bottom"/>
            <w:gridSpan w:val="2"/>
            <w:shd w:val="clear" w:color="auto" w:fill="CCEEFF"/>
          </w:tcPr>
          <w:p>
            <w:pPr>
              <w:jc w:val="right"/>
              <w:ind w:right="4360"/>
              <w:spacing w:after="0"/>
              <w:rPr>
                <w:sz w:val="20"/>
                <w:szCs w:val="20"/>
                <w:color w:val="auto"/>
              </w:rPr>
            </w:pPr>
            <w:r>
              <w:rPr>
                <w:rFonts w:ascii="Arial" w:cs="Arial" w:eastAsia="Arial" w:hAnsi="Arial"/>
                <w:sz w:val="18"/>
                <w:szCs w:val="18"/>
                <w:color w:val="auto"/>
              </w:rPr>
              <w:t>65.6%</w:t>
            </w:r>
          </w:p>
        </w:tc>
      </w:tr>
      <w:tr>
        <w:trPr>
          <w:trHeight w:val="216"/>
        </w:trPr>
        <w:tc>
          <w:tcPr>
            <w:tcW w:w="12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1Q15</w:t>
            </w:r>
          </w:p>
        </w:tc>
        <w:tc>
          <w:tcPr>
            <w:tcW w:w="1560" w:type="dxa"/>
            <w:vAlign w:val="bottom"/>
            <w:gridSpan w:val="2"/>
          </w:tcPr>
          <w:p>
            <w:pPr>
              <w:jc w:val="right"/>
              <w:ind w:right="80"/>
              <w:spacing w:after="0"/>
              <w:rPr>
                <w:sz w:val="20"/>
                <w:szCs w:val="20"/>
                <w:color w:val="auto"/>
              </w:rPr>
            </w:pPr>
            <w:r>
              <w:rPr>
                <w:rFonts w:ascii="Arial" w:cs="Arial" w:eastAsia="Arial" w:hAnsi="Arial"/>
                <w:sz w:val="18"/>
                <w:szCs w:val="18"/>
                <w:color w:val="auto"/>
              </w:rPr>
              <w:t>92.5%</w:t>
            </w:r>
          </w:p>
        </w:tc>
        <w:tc>
          <w:tcPr>
            <w:tcW w:w="5740" w:type="dxa"/>
            <w:vAlign w:val="bottom"/>
            <w:gridSpan w:val="2"/>
          </w:tcPr>
          <w:p>
            <w:pPr>
              <w:jc w:val="right"/>
              <w:ind w:right="4360"/>
              <w:spacing w:after="0"/>
              <w:rPr>
                <w:sz w:val="20"/>
                <w:szCs w:val="20"/>
                <w:color w:val="auto"/>
              </w:rPr>
            </w:pPr>
            <w:r>
              <w:rPr>
                <w:rFonts w:ascii="Arial" w:cs="Arial" w:eastAsia="Arial" w:hAnsi="Arial"/>
                <w:sz w:val="18"/>
                <w:szCs w:val="18"/>
                <w:color w:val="auto"/>
              </w:rPr>
              <w:t>43.4%</w:t>
            </w:r>
          </w:p>
        </w:tc>
      </w:tr>
      <w:tr>
        <w:trPr>
          <w:trHeight w:val="216"/>
        </w:trPr>
        <w:tc>
          <w:tcPr>
            <w:tcW w:w="12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b w:val="1"/>
                <w:bCs w:val="1"/>
                <w:color w:val="auto"/>
                <w:w w:val="90"/>
              </w:rPr>
              <w:t>2Q15</w:t>
            </w:r>
          </w:p>
        </w:tc>
        <w:tc>
          <w:tcPr>
            <w:tcW w:w="1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82.1%</w:t>
            </w:r>
          </w:p>
        </w:tc>
        <w:tc>
          <w:tcPr>
            <w:tcW w:w="5740" w:type="dxa"/>
            <w:vAlign w:val="bottom"/>
            <w:gridSpan w:val="2"/>
            <w:shd w:val="clear" w:color="auto" w:fill="CCEEFF"/>
          </w:tcPr>
          <w:p>
            <w:pPr>
              <w:jc w:val="right"/>
              <w:ind w:right="4360"/>
              <w:spacing w:after="0"/>
              <w:rPr>
                <w:sz w:val="20"/>
                <w:szCs w:val="20"/>
                <w:color w:val="auto"/>
              </w:rPr>
            </w:pPr>
            <w:r>
              <w:rPr>
                <w:rFonts w:ascii="Arial" w:cs="Arial" w:eastAsia="Arial" w:hAnsi="Arial"/>
                <w:sz w:val="18"/>
                <w:szCs w:val="18"/>
                <w:color w:val="auto"/>
              </w:rPr>
              <w:t>34.8%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-136525</wp:posOffset>
            </wp:positionV>
            <wp:extent cx="2718435"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718435" cy="137160"/>
                    </a:xfrm>
                    <a:prstGeom prst="rect">
                      <a:avLst/>
                    </a:prstGeom>
                    <a:noFill/>
                  </pic:spPr>
                </pic:pic>
              </a:graphicData>
            </a:graphic>
          </wp:anchor>
        </w:drawing>
      </w:r>
    </w:p>
    <w:p>
      <w:pPr>
        <w:spacing w:after="0" w:line="178"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b w:val="1"/>
          <w:bCs w:val="1"/>
          <w:color w:val="auto"/>
        </w:rPr>
        <w:t>loan/deposit ratio</w:t>
      </w:r>
      <w:r>
        <w:rPr>
          <w:rFonts w:ascii="Arial" w:cs="Arial" w:eastAsia="Arial" w:hAnsi="Arial"/>
          <w:sz w:val="17"/>
          <w:szCs w:val="17"/>
          <w:color w:val="auto"/>
        </w:rPr>
        <w:t xml:space="preserve"> (L/D) at Credicorp remained stable QoQ while BCP Stand-alone’s ratio increased 100 bps QoQ. In BCP Stand-alone’s case, the LC L/D ratio grew +1,540 bps QoQ and the FC L/D ratio reduced -1,040 bps QoQ. The evolution of the LC L/D ratio does not represent a risky situation but reflects the improvement in the composition of funding after increasing the share of more stable and long-term funds, such as BCRP Instruments. Moreover, these instruments replaced Time deposits, which have an average tenure of 180 days, carry higher cost, and are less stable.</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Credicorp’s L/D ratio shows an increase of +600 bps YoY, which was in line with the larger use of BCRP Instruments that accompanied loan growth, primarily in LC.</w:t>
      </w:r>
    </w:p>
    <w:p>
      <w:pPr>
        <w:spacing w:after="0" w:line="166" w:lineRule="exact"/>
        <w:rPr>
          <w:sz w:val="20"/>
          <w:szCs w:val="20"/>
          <w:color w:val="auto"/>
        </w:rPr>
      </w:pPr>
    </w:p>
    <w:p>
      <w:pPr>
        <w:jc w:val="both"/>
        <w:ind w:right="20"/>
        <w:spacing w:after="0" w:line="347" w:lineRule="auto"/>
        <w:rPr>
          <w:sz w:val="20"/>
          <w:szCs w:val="20"/>
          <w:color w:val="auto"/>
        </w:rPr>
      </w:pPr>
      <w:r>
        <w:rPr>
          <w:rFonts w:ascii="Arial" w:cs="Arial" w:eastAsia="Arial" w:hAnsi="Arial"/>
          <w:sz w:val="16"/>
          <w:szCs w:val="16"/>
          <w:color w:val="auto"/>
        </w:rPr>
        <w:t xml:space="preserve">The total L/D ratio for </w:t>
      </w:r>
      <w:r>
        <w:rPr>
          <w:rFonts w:ascii="Arial" w:cs="Arial" w:eastAsia="Arial" w:hAnsi="Arial"/>
          <w:sz w:val="16"/>
          <w:szCs w:val="16"/>
          <w:b w:val="1"/>
          <w:bCs w:val="1"/>
          <w:color w:val="auto"/>
        </w:rPr>
        <w:t>BCP Stand-alone</w:t>
      </w:r>
      <w:r>
        <w:rPr>
          <w:rFonts w:ascii="Arial" w:cs="Arial" w:eastAsia="Arial" w:hAnsi="Arial"/>
          <w:sz w:val="16"/>
          <w:szCs w:val="16"/>
          <w:color w:val="auto"/>
        </w:rPr>
        <w:t xml:space="preserve"> was situated at 106.7% at the end of 2Q15. This represented a +100 bps increase vs. the level reported in 1Q15 (105.7%). The aforementioned is in line with Credicorp’s L/D evolution, since BCP represents 83.5% and 81.7% of total loans and deposits, respectively.</w:t>
      </w:r>
    </w:p>
    <w:p>
      <w:pPr>
        <w:spacing w:after="0" w:line="11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Mibanco</w:t>
      </w:r>
      <w:r>
        <w:rPr>
          <w:rFonts w:ascii="Arial" w:cs="Arial" w:eastAsia="Arial" w:hAnsi="Arial"/>
          <w:sz w:val="18"/>
          <w:szCs w:val="18"/>
          <w:color w:val="auto"/>
        </w:rPr>
        <w:t>’s L/D ratio increased +670 bps despite low loan growth (+0.6% QoQ), which was due to the fact that this institution’s focus has been on ensuring</w:t>
      </w:r>
      <w:r>
        <w:rPr>
          <w:rFonts w:ascii="Arial" w:cs="Arial" w:eastAsia="Arial" w:hAnsi="Arial"/>
          <w:sz w:val="18"/>
          <w:szCs w:val="18"/>
          <w:b w:val="1"/>
          <w:bCs w:val="1"/>
          <w:color w:val="auto"/>
        </w:rPr>
        <w:t xml:space="preserve"> </w:t>
      </w:r>
      <w:r>
        <w:rPr>
          <w:rFonts w:ascii="Arial" w:cs="Arial" w:eastAsia="Arial" w:hAnsi="Arial"/>
          <w:sz w:val="18"/>
          <w:szCs w:val="18"/>
          <w:color w:val="auto"/>
        </w:rPr>
        <w:t>the integration and adequate application of the Edyficar model. The aforementioned was exacerbated by a decrease in deposits QoQ (-3.9%). Mibanco has also increased the use of BCRP instruments as a funding source. It is important to note that the analysis of the L/D ratio by currency type at Mibanco shows the same trend observed in BCP Stand-alone: an increase in LC vs. a downward trend in FC.</w:t>
      </w:r>
    </w:p>
    <w:p>
      <w:pPr>
        <w:spacing w:after="0" w:line="1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BCP Bolivia </w:t>
      </w:r>
      <w:r>
        <w:rPr>
          <w:rFonts w:ascii="Arial" w:cs="Arial" w:eastAsia="Arial" w:hAnsi="Arial"/>
          <w:sz w:val="18"/>
          <w:szCs w:val="18"/>
          <w:color w:val="auto"/>
        </w:rPr>
        <w:t>has maintained a downward trend in its total L/D ratio. The QoQ evolution is in line with the increase in Time deposits, as a result of campaigns</w:t>
      </w:r>
      <w:r>
        <w:rPr>
          <w:rFonts w:ascii="Arial" w:cs="Arial" w:eastAsia="Arial" w:hAnsi="Arial"/>
          <w:sz w:val="18"/>
          <w:szCs w:val="18"/>
          <w:b w:val="1"/>
          <w:bCs w:val="1"/>
          <w:color w:val="auto"/>
        </w:rPr>
        <w:t xml:space="preserve"> </w:t>
      </w:r>
      <w:r>
        <w:rPr>
          <w:rFonts w:ascii="Arial" w:cs="Arial" w:eastAsia="Arial" w:hAnsi="Arial"/>
          <w:sz w:val="18"/>
          <w:szCs w:val="18"/>
          <w:color w:val="auto"/>
        </w:rPr>
        <w:t>instituted to accompany loan growth.</w:t>
      </w:r>
    </w:p>
    <w:p>
      <w:pPr>
        <w:spacing w:after="0" w:line="37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2.5  Funding Cost</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Credicorp’s </w:t>
      </w:r>
      <w:r>
        <w:rPr>
          <w:rFonts w:ascii="Arial" w:cs="Arial" w:eastAsia="Arial" w:hAnsi="Arial"/>
          <w:sz w:val="17"/>
          <w:szCs w:val="17"/>
          <w:color w:val="auto"/>
        </w:rPr>
        <w:t>funding cost increased only +3 bps QoQ and +4 bps YoY due primarily to a slight expansion of this ratio at its subsidiary level: BCP Stand-alone and Mibanco, and to a lesser extent, at ASB. The increase at BCP and Mibanco was a result of a large use of BCRP instruments (+25.8% QoQ), that allowed the improvement of our long-term funding position, with tenure between two and four years, at a low cost.</w:t>
      </w:r>
    </w:p>
    <w:p>
      <w:pPr>
        <w:spacing w:after="0" w:line="158" w:lineRule="exact"/>
        <w:rPr>
          <w:sz w:val="20"/>
          <w:szCs w:val="20"/>
          <w:color w:val="auto"/>
        </w:rPr>
      </w:pPr>
    </w:p>
    <w:tbl>
      <w:tblPr>
        <w:tblLayout w:type="fixed"/>
        <w:tblInd w:w="7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60" w:type="dxa"/>
            <w:vAlign w:val="bottom"/>
            <w:gridSpan w:val="4"/>
          </w:tcPr>
          <w:p>
            <w:pPr>
              <w:jc w:val="right"/>
              <w:ind w:right="420"/>
              <w:spacing w:after="0"/>
              <w:rPr>
                <w:sz w:val="20"/>
                <w:szCs w:val="20"/>
                <w:color w:val="auto"/>
              </w:rPr>
            </w:pPr>
            <w:r>
              <w:rPr>
                <w:rFonts w:ascii="Arial" w:cs="Arial" w:eastAsia="Arial" w:hAnsi="Arial"/>
                <w:sz w:val="18"/>
                <w:szCs w:val="18"/>
                <w:b w:val="1"/>
                <w:bCs w:val="1"/>
                <w:color w:val="auto"/>
                <w:w w:val="99"/>
              </w:rPr>
              <w:t>Funding cost by subsidiary</w:t>
            </w: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BCP Stand-alone</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Mibanco*</w:t>
            </w: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rPr>
              <w:t>BCP Bolivia</w:t>
            </w: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ASB</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4"/>
              </w:rPr>
              <w:t>Credicorp</w:t>
            </w:r>
            <w:r>
              <w:rPr>
                <w:rFonts w:ascii="Arial" w:cs="Arial" w:eastAsia="Arial" w:hAnsi="Arial"/>
                <w:sz w:val="30"/>
                <w:szCs w:val="30"/>
                <w:b w:val="1"/>
                <w:bCs w:val="1"/>
                <w:color w:val="auto"/>
                <w:w w:val="94"/>
                <w:vertAlign w:val="superscript"/>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Funding cost 2Q14</w:t>
            </w:r>
          </w:p>
        </w:tc>
        <w:tc>
          <w:tcPr>
            <w:tcW w:w="360" w:type="dxa"/>
            <w:vAlign w:val="bottom"/>
            <w:vMerge w:val="restart"/>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800" w:type="dxa"/>
            <w:vAlign w:val="bottom"/>
            <w:vMerge w:val="continue"/>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4.42%</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2.23%</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b w:val="1"/>
                <w:bCs w:val="1"/>
                <w:color w:val="auto"/>
              </w:rPr>
              <w:t>Funding cost 1Q15</w:t>
            </w:r>
          </w:p>
        </w:tc>
        <w:tc>
          <w:tcPr>
            <w:tcW w:w="1860" w:type="dxa"/>
            <w:vAlign w:val="bottom"/>
            <w:gridSpan w:val="3"/>
          </w:tcPr>
          <w:p>
            <w:pPr>
              <w:jc w:val="right"/>
              <w:ind w:right="100"/>
              <w:spacing w:after="0"/>
              <w:rPr>
                <w:sz w:val="20"/>
                <w:szCs w:val="20"/>
                <w:color w:val="auto"/>
              </w:rPr>
            </w:pPr>
            <w:r>
              <w:rPr>
                <w:rFonts w:ascii="Arial" w:cs="Arial" w:eastAsia="Arial" w:hAnsi="Arial"/>
                <w:sz w:val="18"/>
                <w:szCs w:val="18"/>
                <w:color w:val="auto"/>
              </w:rPr>
              <w:t>1.80%</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4.21%</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2.09%</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2.30%</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Funding cost 2Q15</w:t>
            </w:r>
          </w:p>
        </w:tc>
        <w:tc>
          <w:tcPr>
            <w:tcW w:w="1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1.88%</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4.31%</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2.33%</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1.95%</w:t>
            </w:r>
          </w:p>
        </w:tc>
        <w:tc>
          <w:tcPr>
            <w:tcW w:w="0" w:type="dxa"/>
            <w:vAlign w:val="bottom"/>
          </w:tcPr>
          <w:p>
            <w:pPr>
              <w:spacing w:after="0"/>
              <w:rPr>
                <w:sz w:val="1"/>
                <w:szCs w:val="1"/>
                <w:color w:val="auto"/>
              </w:rPr>
            </w:pPr>
          </w:p>
        </w:tc>
      </w:tr>
    </w:tbl>
    <w:p>
      <w:pPr>
        <w:ind w:left="740"/>
        <w:spacing w:after="0"/>
        <w:rPr>
          <w:sz w:val="20"/>
          <w:szCs w:val="20"/>
          <w:color w:val="auto"/>
        </w:rPr>
      </w:pPr>
      <w:r>
        <w:rPr>
          <w:rFonts w:ascii="Arial" w:cs="Arial" w:eastAsia="Arial" w:hAnsi="Arial"/>
          <w:sz w:val="18"/>
          <w:szCs w:val="18"/>
          <w:color w:val="auto"/>
        </w:rPr>
        <w:t>*1Q15 M ibanco’s funding cost difers from the previously published. Consider figures presented on this report.</w:t>
      </w:r>
    </w:p>
    <w:p>
      <w:pPr>
        <w:spacing w:after="0" w:line="211" w:lineRule="exact"/>
        <w:rPr>
          <w:sz w:val="20"/>
          <w:szCs w:val="20"/>
          <w:color w:val="auto"/>
        </w:rPr>
      </w:pPr>
    </w:p>
    <w:p>
      <w:pPr>
        <w:ind w:left="740"/>
        <w:spacing w:after="0"/>
        <w:rPr>
          <w:sz w:val="20"/>
          <w:szCs w:val="20"/>
          <w:color w:val="auto"/>
        </w:rPr>
      </w:pPr>
      <w:r>
        <w:rPr>
          <w:rFonts w:ascii="Arial" w:cs="Arial" w:eastAsia="Arial" w:hAnsi="Arial"/>
          <w:sz w:val="18"/>
          <w:szCs w:val="18"/>
          <w:color w:val="auto"/>
        </w:rPr>
        <w:t>(1) Includes banking business results, other subsidiaries and consolidation adjustments.</w:t>
      </w:r>
    </w:p>
    <w:p>
      <w:pPr>
        <w:spacing w:after="0" w:line="221"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BCP Stand-alone’ </w:t>
      </w:r>
      <w:r>
        <w:rPr>
          <w:rFonts w:ascii="Arial" w:cs="Arial" w:eastAsia="Arial" w:hAnsi="Arial"/>
          <w:sz w:val="17"/>
          <w:szCs w:val="17"/>
          <w:color w:val="auto"/>
        </w:rPr>
        <w:t>funding cost expanded +8 bps QoQ, since the increase in interest expenses was higher than the increase in the average of total liabilities.</w:t>
      </w:r>
      <w:r>
        <w:rPr>
          <w:rFonts w:ascii="Arial" w:cs="Arial" w:eastAsia="Arial" w:hAnsi="Arial"/>
          <w:sz w:val="17"/>
          <w:szCs w:val="17"/>
          <w:b w:val="1"/>
          <w:bCs w:val="1"/>
          <w:color w:val="auto"/>
        </w:rPr>
        <w:t xml:space="preserve"> </w:t>
      </w:r>
      <w:r>
        <w:rPr>
          <w:rFonts w:ascii="Arial" w:cs="Arial" w:eastAsia="Arial" w:hAnsi="Arial"/>
          <w:sz w:val="17"/>
          <w:szCs w:val="17"/>
          <w:color w:val="auto"/>
        </w:rPr>
        <w:t>Growth in interest expenses was due to i) an increase in the use of BCRP instruments; and ii) a seasonal increase in CTS deposits, mainly in LC. The latter mitigated a lower interest expense from Time deposits, mainly in FC (approximately 200 bps lower cost than that in LC). It is important to note that BCP continues to be the largest contributor to Credicorp, accounting for approximately 75% of interest expenses and 78% of total liabilities.</w:t>
      </w:r>
    </w:p>
    <w:p>
      <w:pPr>
        <w:spacing w:after="0" w:line="165"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Mibanco</w:t>
      </w:r>
      <w:r>
        <w:rPr>
          <w:rFonts w:ascii="Arial" w:cs="Arial" w:eastAsia="Arial" w:hAnsi="Arial"/>
          <w:sz w:val="17"/>
          <w:szCs w:val="17"/>
          <w:color w:val="auto"/>
        </w:rPr>
        <w:t>’s funding cost was 4.31% in 2Q15, which was +10 bps above 1Q15 level but -11 bps below the YoY figure. The QoQ result was due primarily to a</w:t>
      </w:r>
      <w:r>
        <w:rPr>
          <w:rFonts w:ascii="Arial" w:cs="Arial" w:eastAsia="Arial" w:hAnsi="Arial"/>
          <w:sz w:val="17"/>
          <w:szCs w:val="17"/>
          <w:b w:val="1"/>
          <w:bCs w:val="1"/>
          <w:color w:val="auto"/>
        </w:rPr>
        <w:t xml:space="preserve"> </w:t>
      </w:r>
      <w:r>
        <w:rPr>
          <w:rFonts w:ascii="Arial" w:cs="Arial" w:eastAsia="Arial" w:hAnsi="Arial"/>
          <w:sz w:val="17"/>
          <w:szCs w:val="17"/>
          <w:color w:val="auto"/>
        </w:rPr>
        <w:t>decrease in the liabilities’ average, which was in line with a drop in deposits that in turn elevated the slight increase in interest expenses.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gridSpan w:val="3"/>
          </w:tcPr>
          <w:p>
            <w:pPr>
              <w:spacing w:after="0"/>
              <w:rPr>
                <w:sz w:val="20"/>
                <w:szCs w:val="20"/>
                <w:color w:val="auto"/>
              </w:rPr>
            </w:pPr>
            <w:r>
              <w:rPr>
                <w:rFonts w:ascii="Arial" w:cs="Arial" w:eastAsia="Arial" w:hAnsi="Arial"/>
                <w:sz w:val="18"/>
                <w:szCs w:val="18"/>
                <w:b w:val="1"/>
                <w:bCs w:val="1"/>
                <w:color w:val="auto"/>
              </w:rPr>
              <w:t>2.6  Mutual Funds</w:t>
            </w: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27"/>
        </w:trPr>
        <w:tc>
          <w:tcPr>
            <w:tcW w:w="1440" w:type="dxa"/>
            <w:vAlign w:val="bottom"/>
          </w:tcPr>
          <w:p>
            <w:pPr>
              <w:spacing w:after="0"/>
              <w:rPr>
                <w:sz w:val="24"/>
                <w:szCs w:val="24"/>
                <w:color w:val="auto"/>
              </w:rPr>
            </w:pPr>
          </w:p>
        </w:tc>
        <w:tc>
          <w:tcPr>
            <w:tcW w:w="2140" w:type="dxa"/>
            <w:vAlign w:val="bottom"/>
            <w:gridSpan w:val="2"/>
          </w:tcPr>
          <w:p>
            <w:pPr>
              <w:spacing w:after="0"/>
              <w:rPr>
                <w:sz w:val="20"/>
                <w:szCs w:val="20"/>
                <w:color w:val="auto"/>
              </w:rPr>
            </w:pPr>
            <w:r>
              <w:rPr>
                <w:rFonts w:ascii="Arial" w:cs="Arial" w:eastAsia="Arial" w:hAnsi="Arial"/>
                <w:sz w:val="18"/>
                <w:szCs w:val="18"/>
                <w:b w:val="1"/>
                <w:bCs w:val="1"/>
                <w:color w:val="auto"/>
              </w:rPr>
              <w:t>Mutual funds</w:t>
            </w: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gridSpan w:val="2"/>
          </w:tcPr>
          <w:p>
            <w:pPr>
              <w:ind w:left="240"/>
              <w:spacing w:after="0"/>
              <w:rPr>
                <w:sz w:val="20"/>
                <w:szCs w:val="20"/>
                <w:color w:val="auto"/>
              </w:rPr>
            </w:pPr>
            <w:r>
              <w:rPr>
                <w:rFonts w:ascii="Arial" w:cs="Arial" w:eastAsia="Arial" w:hAnsi="Arial"/>
                <w:sz w:val="18"/>
                <w:szCs w:val="18"/>
                <w:b w:val="1"/>
                <w:bCs w:val="1"/>
                <w:color w:val="auto"/>
              </w:rPr>
              <w:t>Quarter</w:t>
            </w: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gridSpan w:val="3"/>
          </w:tcPr>
          <w:p>
            <w:pPr>
              <w:ind w:left="100"/>
              <w:spacing w:after="0"/>
              <w:rPr>
                <w:sz w:val="20"/>
                <w:szCs w:val="20"/>
                <w:color w:val="auto"/>
              </w:rPr>
            </w:pPr>
            <w:r>
              <w:rPr>
                <w:rFonts w:ascii="Arial" w:cs="Arial" w:eastAsia="Arial" w:hAnsi="Arial"/>
                <w:sz w:val="18"/>
                <w:szCs w:val="18"/>
                <w:b w:val="1"/>
                <w:bCs w:val="1"/>
                <w:color w:val="auto"/>
                <w:w w:val="95"/>
              </w:rPr>
              <w:t>% change</w:t>
            </w: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4"/>
        </w:trPr>
        <w:tc>
          <w:tcPr>
            <w:tcW w:w="1440" w:type="dxa"/>
            <w:vAlign w:val="bottom"/>
          </w:tcPr>
          <w:p>
            <w:pPr>
              <w:spacing w:after="0"/>
              <w:rPr>
                <w:sz w:val="20"/>
                <w:szCs w:val="20"/>
                <w:color w:val="auto"/>
              </w:rPr>
            </w:pPr>
          </w:p>
        </w:tc>
        <w:tc>
          <w:tcPr>
            <w:tcW w:w="2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000</w:t>
            </w:r>
          </w:p>
        </w:tc>
        <w:tc>
          <w:tcPr>
            <w:tcW w:w="8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2Q14</w:t>
            </w:r>
          </w:p>
        </w:tc>
        <w:tc>
          <w:tcPr>
            <w:tcW w:w="16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1Q15</w:t>
            </w:r>
          </w:p>
        </w:tc>
        <w:tc>
          <w:tcPr>
            <w:tcW w:w="16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2Q15</w:t>
            </w:r>
          </w:p>
        </w:tc>
        <w:tc>
          <w:tcPr>
            <w:tcW w:w="16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w w:val="92"/>
              </w:rPr>
              <w:t>QoQ</w:t>
            </w:r>
          </w:p>
        </w:tc>
        <w:tc>
          <w:tcPr>
            <w:tcW w:w="340" w:type="dxa"/>
            <w:vAlign w:val="bottom"/>
            <w:tcBorders>
              <w:bottom w:val="single" w:sz="8" w:color="auto"/>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EEFF"/>
            </w:tcBorders>
          </w:tcPr>
          <w:p>
            <w:pPr>
              <w:spacing w:after="0"/>
              <w:rPr>
                <w:sz w:val="20"/>
                <w:szCs w:val="20"/>
                <w:color w:val="auto"/>
              </w:rPr>
            </w:pPr>
          </w:p>
        </w:tc>
      </w:tr>
      <w:tr>
        <w:trPr>
          <w:trHeight w:val="210"/>
        </w:trPr>
        <w:tc>
          <w:tcPr>
            <w:tcW w:w="144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Mutual funds in Peru</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6,785,892</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7,856,447</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8,253,621</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5.1%</w:t>
            </w: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w:t>
            </w:r>
          </w:p>
        </w:tc>
      </w:tr>
      <w:tr>
        <w:trPr>
          <w:trHeight w:val="230"/>
        </w:trPr>
        <w:tc>
          <w:tcPr>
            <w:tcW w:w="1440" w:type="dxa"/>
            <w:vAlign w:val="bottom"/>
          </w:tcPr>
          <w:p>
            <w:pPr>
              <w:spacing w:after="0"/>
              <w:rPr>
                <w:sz w:val="19"/>
                <w:szCs w:val="19"/>
                <w:color w:val="auto"/>
              </w:rPr>
            </w:pPr>
          </w:p>
        </w:tc>
        <w:tc>
          <w:tcPr>
            <w:tcW w:w="2140" w:type="dxa"/>
            <w:vAlign w:val="bottom"/>
            <w:gridSpan w:val="2"/>
          </w:tcPr>
          <w:p>
            <w:pPr>
              <w:spacing w:after="0"/>
              <w:rPr>
                <w:sz w:val="20"/>
                <w:szCs w:val="20"/>
                <w:color w:val="auto"/>
              </w:rPr>
            </w:pPr>
            <w:r>
              <w:rPr>
                <w:rFonts w:ascii="Arial" w:cs="Arial" w:eastAsia="Arial" w:hAnsi="Arial"/>
                <w:sz w:val="18"/>
                <w:szCs w:val="18"/>
                <w:color w:val="auto"/>
              </w:rPr>
              <w:t>Mutual funds in Bolivia</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194,897</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351,087</w:t>
            </w:r>
          </w:p>
        </w:tc>
        <w:tc>
          <w:tcPr>
            <w:tcW w:w="1100" w:type="dxa"/>
            <w:vAlign w:val="bottom"/>
          </w:tcPr>
          <w:p>
            <w:pPr>
              <w:jc w:val="right"/>
              <w:spacing w:after="0"/>
              <w:rPr>
                <w:sz w:val="20"/>
                <w:szCs w:val="20"/>
                <w:color w:val="auto"/>
              </w:rPr>
            </w:pPr>
            <w:r>
              <w:rPr>
                <w:rFonts w:ascii="Arial" w:cs="Arial" w:eastAsia="Arial" w:hAnsi="Arial"/>
                <w:sz w:val="18"/>
                <w:szCs w:val="18"/>
                <w:color w:val="auto"/>
              </w:rPr>
              <w:t>407,848</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0" w:type="dxa"/>
            <w:vAlign w:val="bottom"/>
            <w:gridSpan w:val="2"/>
          </w:tcPr>
          <w:p>
            <w:pPr>
              <w:jc w:val="right"/>
              <w:ind w:right="30"/>
              <w:spacing w:after="0"/>
              <w:rPr>
                <w:sz w:val="20"/>
                <w:szCs w:val="20"/>
                <w:color w:val="auto"/>
              </w:rPr>
            </w:pPr>
            <w:r>
              <w:rPr>
                <w:rFonts w:ascii="Arial" w:cs="Arial" w:eastAsia="Arial" w:hAnsi="Arial"/>
                <w:sz w:val="18"/>
                <w:szCs w:val="18"/>
                <w:color w:val="auto"/>
                <w:w w:val="90"/>
              </w:rPr>
              <w:t>16.2%</w:t>
            </w:r>
          </w:p>
        </w:tc>
        <w:tc>
          <w:tcPr>
            <w:tcW w:w="32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109.3%</w:t>
            </w:r>
          </w:p>
        </w:tc>
      </w:tr>
      <w:tr>
        <w:trPr>
          <w:trHeight w:val="210"/>
        </w:trPr>
        <w:tc>
          <w:tcPr>
            <w:tcW w:w="1440" w:type="dxa"/>
            <w:vAlign w:val="bottom"/>
          </w:tcPr>
          <w:p>
            <w:pPr>
              <w:spacing w:after="0"/>
              <w:rPr>
                <w:sz w:val="18"/>
                <w:szCs w:val="18"/>
                <w:color w:val="auto"/>
              </w:rPr>
            </w:pPr>
          </w:p>
        </w:tc>
        <w:tc>
          <w:tcPr>
            <w:tcW w:w="21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mutual funds</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6,980,789</w:t>
            </w:r>
          </w:p>
        </w:tc>
        <w:tc>
          <w:tcPr>
            <w:tcW w:w="1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8,207,534</w:t>
            </w:r>
          </w:p>
        </w:tc>
        <w:tc>
          <w:tcPr>
            <w:tcW w:w="1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8,661,468</w:t>
            </w: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w:t>
            </w:r>
          </w:p>
        </w:tc>
        <w:tc>
          <w:tcPr>
            <w:tcW w:w="2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24.1</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r>
    </w:tbl>
    <w:p>
      <w:pPr>
        <w:spacing w:after="0" w:line="19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Mutual funds in </w:t>
      </w:r>
      <w:r>
        <w:rPr>
          <w:rFonts w:ascii="Arial" w:cs="Arial" w:eastAsia="Arial" w:hAnsi="Arial"/>
          <w:sz w:val="18"/>
          <w:szCs w:val="18"/>
          <w:b w:val="1"/>
          <w:bCs w:val="1"/>
          <w:color w:val="auto"/>
        </w:rPr>
        <w:t>Credicorp Capital Peru</w:t>
      </w:r>
      <w:r>
        <w:rPr>
          <w:rFonts w:ascii="Arial" w:cs="Arial" w:eastAsia="Arial" w:hAnsi="Arial"/>
          <w:sz w:val="18"/>
          <w:szCs w:val="18"/>
          <w:color w:val="auto"/>
        </w:rPr>
        <w:t xml:space="preserve"> grew +5.1% QoQ and continued to lead the market with a share to 41.4% at the end of 2Q15 (in terms of funds under management). This is in line with an increase in the fund level and in affiliates in the system, which was attributable to client capture campaigns in higher income segments at the end of March 2015.</w:t>
      </w:r>
    </w:p>
    <w:p>
      <w:pPr>
        <w:spacing w:after="0" w:line="17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Funds under management at </w:t>
      </w:r>
      <w:r>
        <w:rPr>
          <w:rFonts w:ascii="Arial" w:cs="Arial" w:eastAsia="Arial" w:hAnsi="Arial"/>
          <w:sz w:val="18"/>
          <w:szCs w:val="18"/>
          <w:b w:val="1"/>
          <w:bCs w:val="1"/>
          <w:color w:val="auto"/>
        </w:rPr>
        <w:t>Credifondo Bolivia</w:t>
      </w:r>
      <w:r>
        <w:rPr>
          <w:rFonts w:ascii="Arial" w:cs="Arial" w:eastAsia="Arial" w:hAnsi="Arial"/>
          <w:sz w:val="18"/>
          <w:szCs w:val="18"/>
          <w:color w:val="auto"/>
        </w:rPr>
        <w:t xml:space="preserve"> have grown at a solid rate since 4Q14, when commercial agreements were signed with strategic clients. In 2Q15, FuMs posted growth of +16.2% with regard to the previous quarter. This allowed the company to increase its market share from 11.7% in 1Q15 to 12.6% in 2Q15 while maintaining its position as the system’s fourth largest player. It is important to note that growth in funds under management was achieved with the same level of clients QoQ, who made larger investments in Credifondo Bolivia. In this context, the increase of approximately 300 bps QoQ was due to an appreciation of the US Dollar against the Nuevo Sol.</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1" w:name="page22"/>
    <w:bookmarkEnd w:id="21"/>
    <w:p>
      <w:pPr>
        <w:ind w:left="500" w:hanging="492"/>
        <w:spacing w:after="0"/>
        <w:tabs>
          <w:tab w:leader="none" w:pos="50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Portfolio quality and Provisions for loan losses</w:t>
      </w:r>
    </w:p>
    <w:p>
      <w:pPr>
        <w:spacing w:after="0" w:line="22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i w:val="1"/>
          <w:iCs w:val="1"/>
          <w:color w:val="auto"/>
        </w:rPr>
        <w:t>Net provisions for loan losses fell -14% QoQ, which was mainly attributable to an improvement in the risk quality of new vintages at BCP stand-alone. In this context, the cost of risk registered its lowest level in 2 years, situating at 2.07% at the end of 2Q15. The PDL and NPL ratios deteriorated primarily due to the impact of (i) the maturity of the refinanced portfolio; (ii) high levels of collateral in some segments, which impedes writing-off debt even if provisions are set aside; and (iii) low loan growth this quarter.</w:t>
      </w:r>
    </w:p>
    <w:p>
      <w:pPr>
        <w:spacing w:after="0" w:line="183" w:lineRule="exact"/>
        <w:rPr>
          <w:sz w:val="20"/>
          <w:szCs w:val="20"/>
          <w:color w:val="auto"/>
        </w:rPr>
      </w:pPr>
    </w:p>
    <w:tbl>
      <w:tblPr>
        <w:tblLayout w:type="fixed"/>
        <w:tblInd w:w="180" w:type="dxa"/>
        <w:tblCellMar>
          <w:top w:w="0" w:type="dxa"/>
          <w:left w:w="0" w:type="dxa"/>
          <w:bottom w:w="0" w:type="dxa"/>
          <w:right w:w="0" w:type="dxa"/>
        </w:tblCellMar>
      </w:tblPr>
      <w:tr>
        <w:trPr>
          <w:trHeight w:val="230"/>
        </w:trPr>
        <w:tc>
          <w:tcPr>
            <w:tcW w:w="3700" w:type="dxa"/>
            <w:vAlign w:val="bottom"/>
            <w:gridSpan w:val="2"/>
          </w:tcPr>
          <w:p>
            <w:pPr>
              <w:spacing w:after="0"/>
              <w:rPr>
                <w:sz w:val="20"/>
                <w:szCs w:val="20"/>
                <w:color w:val="auto"/>
              </w:rPr>
            </w:pPr>
            <w:r>
              <w:rPr>
                <w:rFonts w:ascii="Arial" w:cs="Arial" w:eastAsia="Arial" w:hAnsi="Arial"/>
                <w:sz w:val="18"/>
                <w:szCs w:val="18"/>
                <w:b w:val="1"/>
                <w:bCs w:val="1"/>
                <w:color w:val="auto"/>
                <w:w w:val="91"/>
              </w:rPr>
              <w:t>Portfolio quality and Provisions for loan losses</w:t>
            </w: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Quarter</w:t>
            </w: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gridSpan w:val="3"/>
          </w:tcPr>
          <w:p>
            <w:pPr>
              <w:ind w:left="820"/>
              <w:spacing w:after="0"/>
              <w:rPr>
                <w:sz w:val="20"/>
                <w:szCs w:val="20"/>
                <w:color w:val="auto"/>
              </w:rPr>
            </w:pPr>
            <w:r>
              <w:rPr>
                <w:rFonts w:ascii="Arial" w:cs="Arial" w:eastAsia="Arial" w:hAnsi="Arial"/>
                <w:sz w:val="18"/>
                <w:szCs w:val="18"/>
                <w:b w:val="1"/>
                <w:bCs w:val="1"/>
                <w:color w:val="auto"/>
                <w:w w:val="97"/>
              </w:rPr>
              <w:t>% change</w:t>
            </w: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000</w:t>
            </w:r>
          </w:p>
        </w:tc>
        <w:tc>
          <w:tcPr>
            <w:tcW w:w="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2Q14</w:t>
            </w:r>
          </w:p>
        </w:tc>
        <w:tc>
          <w:tcPr>
            <w:tcW w:w="28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1Q15</w:t>
            </w:r>
          </w:p>
        </w:tc>
        <w:tc>
          <w:tcPr>
            <w:tcW w:w="2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2Q15</w:t>
            </w:r>
          </w:p>
        </w:tc>
        <w:tc>
          <w:tcPr>
            <w:tcW w:w="28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QoQ</w:t>
            </w:r>
          </w:p>
        </w:tc>
        <w:tc>
          <w:tcPr>
            <w:tcW w:w="2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Provisions</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(527,231)</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(624,264)</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(492,770)</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-21.1%</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Loan loss recoveries</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46,500</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122,127</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61,008</w:t>
            </w:r>
          </w:p>
        </w:tc>
        <w:tc>
          <w:tcPr>
            <w:tcW w:w="1340" w:type="dxa"/>
            <w:vAlign w:val="bottom"/>
            <w:gridSpan w:val="2"/>
          </w:tcPr>
          <w:p>
            <w:pPr>
              <w:jc w:val="right"/>
              <w:ind w:right="30"/>
              <w:spacing w:after="0"/>
              <w:rPr>
                <w:sz w:val="20"/>
                <w:szCs w:val="20"/>
                <w:color w:val="auto"/>
              </w:rPr>
            </w:pPr>
            <w:r>
              <w:rPr>
                <w:rFonts w:ascii="Arial" w:cs="Arial" w:eastAsia="Arial" w:hAnsi="Arial"/>
                <w:sz w:val="18"/>
                <w:szCs w:val="18"/>
                <w:color w:val="auto"/>
              </w:rPr>
              <w:t>-50.0%</w:t>
            </w:r>
          </w:p>
        </w:tc>
        <w:tc>
          <w:tcPr>
            <w:tcW w:w="3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30"/>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provisions for loan losses</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(480,731)</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(502,137)</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(431,762)</w:t>
            </w:r>
          </w:p>
        </w:tc>
        <w:tc>
          <w:tcPr>
            <w:tcW w:w="1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-14.0%</w:t>
            </w:r>
          </w:p>
        </w:tc>
        <w:tc>
          <w:tcPr>
            <w:tcW w:w="3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-10.2%</w:t>
            </w:r>
          </w:p>
        </w:tc>
        <w:tc>
          <w:tcPr>
            <w:tcW w:w="0" w:type="dxa"/>
            <w:vAlign w:val="bottom"/>
          </w:tcPr>
          <w:p>
            <w:pPr>
              <w:spacing w:after="0"/>
              <w:rPr>
                <w:sz w:val="1"/>
                <w:szCs w:val="1"/>
                <w:color w:val="auto"/>
              </w:rPr>
            </w:pPr>
          </w:p>
        </w:tc>
      </w:tr>
      <w:tr>
        <w:trPr>
          <w:trHeight w:val="20"/>
        </w:trPr>
        <w:tc>
          <w:tcPr>
            <w:tcW w:w="3700" w:type="dxa"/>
            <w:vAlign w:val="bottom"/>
            <w:gridSpan w:val="2"/>
            <w:vMerge w:val="restart"/>
          </w:tcPr>
          <w:p>
            <w:pPr>
              <w:spacing w:after="0" w:line="256" w:lineRule="exact"/>
              <w:rPr>
                <w:sz w:val="20"/>
                <w:szCs w:val="20"/>
                <w:color w:val="auto"/>
              </w:rPr>
            </w:pPr>
            <w:r>
              <w:rPr>
                <w:rFonts w:ascii="Arial" w:cs="Arial" w:eastAsia="Arial" w:hAnsi="Arial"/>
                <w:sz w:val="18"/>
                <w:szCs w:val="18"/>
                <w:color w:val="auto"/>
              </w:rPr>
              <w:t xml:space="preserve">Cost of risk </w:t>
            </w:r>
            <w:r>
              <w:rPr>
                <w:rFonts w:ascii="Arial" w:cs="Arial" w:eastAsia="Arial" w:hAnsi="Arial"/>
                <w:sz w:val="29"/>
                <w:szCs w:val="29"/>
                <w:color w:val="auto"/>
                <w:vertAlign w:val="superscript"/>
              </w:rPr>
              <w:t>(1)</w:t>
            </w:r>
          </w:p>
        </w:tc>
        <w:tc>
          <w:tcPr>
            <w:tcW w:w="1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700" w:type="dxa"/>
            <w:vAlign w:val="bottom"/>
            <w:gridSpan w:val="2"/>
            <w:vMerge w:val="continue"/>
          </w:tcPr>
          <w:p>
            <w:pPr>
              <w:spacing w:after="0"/>
              <w:rPr>
                <w:sz w:val="20"/>
                <w:szCs w:val="20"/>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2.62%</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2.46%</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2.07%</w:t>
            </w:r>
          </w:p>
        </w:tc>
        <w:tc>
          <w:tcPr>
            <w:tcW w:w="1660" w:type="dxa"/>
            <w:vAlign w:val="bottom"/>
            <w:gridSpan w:val="3"/>
          </w:tcPr>
          <w:p>
            <w:pPr>
              <w:jc w:val="right"/>
              <w:ind w:right="600"/>
              <w:spacing w:after="0"/>
              <w:rPr>
                <w:sz w:val="20"/>
                <w:szCs w:val="20"/>
                <w:color w:val="auto"/>
              </w:rPr>
            </w:pPr>
            <w:r>
              <w:rPr>
                <w:rFonts w:ascii="Arial" w:cs="Arial" w:eastAsia="Arial" w:hAnsi="Arial"/>
                <w:sz w:val="18"/>
                <w:szCs w:val="18"/>
                <w:color w:val="auto"/>
              </w:rPr>
              <w:t>-39 pbs</w:t>
            </w:r>
          </w:p>
        </w:tc>
        <w:tc>
          <w:tcPr>
            <w:tcW w:w="940" w:type="dxa"/>
            <w:vAlign w:val="bottom"/>
            <w:gridSpan w:val="2"/>
          </w:tcPr>
          <w:p>
            <w:pPr>
              <w:jc w:val="right"/>
              <w:ind w:right="90"/>
              <w:spacing w:after="0"/>
              <w:rPr>
                <w:sz w:val="20"/>
                <w:szCs w:val="20"/>
                <w:color w:val="auto"/>
              </w:rPr>
            </w:pPr>
            <w:r>
              <w:rPr>
                <w:rFonts w:ascii="Arial" w:cs="Arial" w:eastAsia="Arial" w:hAnsi="Arial"/>
                <w:sz w:val="18"/>
                <w:szCs w:val="18"/>
                <w:color w:val="auto"/>
              </w:rPr>
              <w:t>-55 pbs</w:t>
            </w:r>
          </w:p>
        </w:tc>
        <w:tc>
          <w:tcPr>
            <w:tcW w:w="0" w:type="dxa"/>
            <w:vAlign w:val="bottom"/>
          </w:tcPr>
          <w:p>
            <w:pPr>
              <w:spacing w:after="0"/>
              <w:rPr>
                <w:sz w:val="1"/>
                <w:szCs w:val="1"/>
                <w:color w:val="auto"/>
              </w:rPr>
            </w:pPr>
          </w:p>
        </w:tc>
      </w:tr>
      <w:tr>
        <w:trPr>
          <w:trHeight w:val="230"/>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Provisions / Net interest income</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29.8%</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28.3%</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23.5%</w:t>
            </w:r>
          </w:p>
        </w:tc>
        <w:tc>
          <w:tcPr>
            <w:tcW w:w="16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-480 pbs</w:t>
            </w:r>
          </w:p>
        </w:tc>
        <w:tc>
          <w:tcPr>
            <w:tcW w:w="9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-630 pbs</w:t>
            </w:r>
          </w:p>
        </w:tc>
        <w:tc>
          <w:tcPr>
            <w:tcW w:w="0" w:type="dxa"/>
            <w:vAlign w:val="bottom"/>
          </w:tcPr>
          <w:p>
            <w:pPr>
              <w:spacing w:after="0"/>
              <w:rPr>
                <w:sz w:val="1"/>
                <w:szCs w:val="1"/>
                <w:color w:val="auto"/>
              </w:rPr>
            </w:pPr>
          </w:p>
        </w:tc>
      </w:tr>
      <w:tr>
        <w:trPr>
          <w:trHeight w:val="210"/>
        </w:trPr>
        <w:tc>
          <w:tcPr>
            <w:tcW w:w="37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Total loans</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73,464,928</w:t>
            </w:r>
          </w:p>
        </w:tc>
        <w:tc>
          <w:tcPr>
            <w:tcW w:w="280" w:type="dxa"/>
            <w:vAlign w:val="bottom"/>
            <w:tcBorders>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81,620,723</w:t>
            </w:r>
          </w:p>
        </w:tc>
        <w:tc>
          <w:tcPr>
            <w:tcW w:w="280" w:type="dxa"/>
            <w:vAlign w:val="bottom"/>
            <w:tcBorders>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83,503,213</w:t>
            </w:r>
          </w:p>
        </w:tc>
        <w:tc>
          <w:tcPr>
            <w:tcW w:w="280" w:type="dxa"/>
            <w:vAlign w:val="bottom"/>
            <w:tcBorders>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w:t>
            </w:r>
          </w:p>
        </w:tc>
        <w:tc>
          <w:tcPr>
            <w:tcW w:w="2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w:t>
            </w:r>
          </w:p>
        </w:tc>
        <w:tc>
          <w:tcPr>
            <w:tcW w:w="3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13.7</w:t>
            </w:r>
          </w:p>
        </w:tc>
        <w:tc>
          <w:tcPr>
            <w:tcW w:w="1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10"/>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Reserve for loan losses (RLL)</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3,072,244</w:t>
            </w:r>
          </w:p>
        </w:tc>
        <w:tc>
          <w:tcPr>
            <w:tcW w:w="28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3,466,341</w:t>
            </w:r>
          </w:p>
        </w:tc>
        <w:tc>
          <w:tcPr>
            <w:tcW w:w="28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3,622,632</w:t>
            </w:r>
          </w:p>
        </w:tc>
        <w:tc>
          <w:tcPr>
            <w:tcW w:w="28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37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Charge-offs</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269,330</w:t>
            </w:r>
          </w:p>
        </w:tc>
        <w:tc>
          <w:tcPr>
            <w:tcW w:w="28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371,580</w:t>
            </w:r>
          </w:p>
        </w:tc>
        <w:tc>
          <w:tcPr>
            <w:tcW w:w="28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353,690</w:t>
            </w:r>
          </w:p>
        </w:tc>
        <w:tc>
          <w:tcPr>
            <w:tcW w:w="28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Past due loans (PDL)</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1,940,155</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2,107,829</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2,275,380</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7.9%</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Refinanced loans</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486,624</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669,847</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695,539</w:t>
            </w:r>
          </w:p>
        </w:tc>
        <w:tc>
          <w:tcPr>
            <w:tcW w:w="1340" w:type="dxa"/>
            <w:vAlign w:val="bottom"/>
            <w:gridSpan w:val="2"/>
          </w:tcPr>
          <w:p>
            <w:pPr>
              <w:jc w:val="right"/>
              <w:ind w:right="30"/>
              <w:spacing w:after="0"/>
              <w:rPr>
                <w:sz w:val="20"/>
                <w:szCs w:val="20"/>
                <w:color w:val="auto"/>
              </w:rPr>
            </w:pPr>
            <w:r>
              <w:rPr>
                <w:rFonts w:ascii="Arial" w:cs="Arial" w:eastAsia="Arial" w:hAnsi="Arial"/>
                <w:sz w:val="18"/>
                <w:szCs w:val="18"/>
                <w:color w:val="auto"/>
              </w:rPr>
              <w:t>3.8%</w:t>
            </w:r>
          </w:p>
        </w:tc>
        <w:tc>
          <w:tcPr>
            <w:tcW w:w="3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30"/>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Non-performing loans (NPLs)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2,426,779</w:t>
            </w:r>
          </w:p>
        </w:tc>
        <w:tc>
          <w:tcPr>
            <w:tcW w:w="2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2,777,676</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2,970,919</w:t>
            </w:r>
          </w:p>
        </w:tc>
        <w:tc>
          <w:tcPr>
            <w:tcW w:w="1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7.0%</w:t>
            </w:r>
          </w:p>
        </w:tc>
        <w:tc>
          <w:tcPr>
            <w:tcW w:w="3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0"/>
        </w:trPr>
        <w:tc>
          <w:tcPr>
            <w:tcW w:w="3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PDL ratio over 90 days</w:t>
            </w:r>
          </w:p>
        </w:tc>
        <w:tc>
          <w:tcPr>
            <w:tcW w:w="1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00" w:type="dxa"/>
            <w:vAlign w:val="bottom"/>
            <w:gridSpan w:val="2"/>
            <w:vMerge w:val="continue"/>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1.63%</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1.83%</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1.96%</w:t>
            </w: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PDL ratio</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2.64%</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2.58%</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2.72%</w:t>
            </w: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b w:val="1"/>
                <w:bCs w:val="1"/>
                <w:color w:val="auto"/>
              </w:rPr>
              <w:t>NPL ratio</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3.30%</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3.40%</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3.56%</w:t>
            </w: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Coverage ratio of PDLs</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158.4%</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164.5%</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159.2%</w:t>
            </w: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00" w:type="dxa"/>
            <w:vAlign w:val="bottom"/>
            <w:gridSpan w:val="2"/>
          </w:tcPr>
          <w:p>
            <w:pPr>
              <w:spacing w:after="0"/>
              <w:rPr>
                <w:sz w:val="20"/>
                <w:szCs w:val="20"/>
                <w:color w:val="auto"/>
              </w:rPr>
            </w:pPr>
            <w:r>
              <w:rPr>
                <w:rFonts w:ascii="Arial" w:cs="Arial" w:eastAsia="Arial" w:hAnsi="Arial"/>
                <w:sz w:val="18"/>
                <w:szCs w:val="18"/>
                <w:color w:val="auto"/>
              </w:rPr>
              <w:t>Coverage ratio of NPLs</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126.6%</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124.8%</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121.9%</w:t>
            </w: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700" w:type="dxa"/>
            <w:vAlign w:val="bottom"/>
            <w:gridSpan w:val="2"/>
          </w:tcPr>
          <w:p>
            <w:pPr>
              <w:spacing w:after="0"/>
              <w:rPr>
                <w:sz w:val="20"/>
                <w:szCs w:val="20"/>
                <w:color w:val="auto"/>
              </w:rPr>
            </w:pPr>
            <w:r>
              <w:rPr>
                <w:rFonts w:ascii="Arial" w:cs="Arial" w:eastAsia="Arial" w:hAnsi="Arial"/>
                <w:sz w:val="18"/>
                <w:szCs w:val="18"/>
                <w:color w:val="auto"/>
              </w:rPr>
              <w:t>(1) Annualized net provisions / Total loans.</w:t>
            </w:r>
          </w:p>
        </w:tc>
        <w:tc>
          <w:tcPr>
            <w:tcW w:w="1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Portfolio quality &amp; Cost of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1076960</wp:posOffset>
            </wp:positionH>
            <wp:positionV relativeFrom="paragraph">
              <wp:posOffset>154940</wp:posOffset>
            </wp:positionV>
            <wp:extent cx="5111115" cy="21951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11115" cy="2195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3.1  Provisions for loan losses</w:t>
      </w:r>
    </w:p>
    <w:p>
      <w:pPr>
        <w:spacing w:after="0" w:line="225"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Net provisions for loan losses </w:t>
      </w:r>
      <w:r>
        <w:rPr>
          <w:rFonts w:ascii="Arial" w:cs="Arial" w:eastAsia="Arial" w:hAnsi="Arial"/>
          <w:sz w:val="18"/>
          <w:szCs w:val="18"/>
          <w:color w:val="auto"/>
        </w:rPr>
        <w:t>fell -14% QoQ to situate at S/.431.8 million in 2Q15 (vs. S/.502.1 million in 1Q15 and S/.480.7 in 2Q14). The aforementioned</w:t>
      </w:r>
      <w:r>
        <w:rPr>
          <w:rFonts w:ascii="Arial" w:cs="Arial" w:eastAsia="Arial" w:hAnsi="Arial"/>
          <w:sz w:val="18"/>
          <w:szCs w:val="18"/>
          <w:b w:val="1"/>
          <w:bCs w:val="1"/>
          <w:color w:val="auto"/>
        </w:rPr>
        <w:t xml:space="preserve"> </w:t>
      </w:r>
      <w:r>
        <w:rPr>
          <w:rFonts w:ascii="Arial" w:cs="Arial" w:eastAsia="Arial" w:hAnsi="Arial"/>
          <w:sz w:val="18"/>
          <w:szCs w:val="18"/>
          <w:color w:val="auto"/>
        </w:rPr>
        <w:t>was primarily due to lower provision levels at BCP, which was in turn attributable to:</w:t>
      </w:r>
    </w:p>
    <w:p>
      <w:pPr>
        <w:spacing w:after="0" w:line="166" w:lineRule="exact"/>
        <w:rPr>
          <w:sz w:val="20"/>
          <w:szCs w:val="20"/>
          <w:color w:val="auto"/>
        </w:rPr>
      </w:pPr>
    </w:p>
    <w:p>
      <w:pPr>
        <w:ind w:left="620" w:hanging="369"/>
        <w:spacing w:after="0" w:line="277" w:lineRule="auto"/>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Improvements in risk quality for new vintages in the Retail Banking portfolio after the adjustments made to the risk models in different segments; and</w:t>
      </w:r>
    </w:p>
    <w:p>
      <w:pPr>
        <w:spacing w:after="0" w:line="170" w:lineRule="exact"/>
        <w:rPr>
          <w:rFonts w:ascii="Arial" w:cs="Arial" w:eastAsia="Arial" w:hAnsi="Arial"/>
          <w:sz w:val="18"/>
          <w:szCs w:val="18"/>
          <w:color w:val="auto"/>
        </w:rPr>
      </w:pPr>
    </w:p>
    <w:p>
      <w:pPr>
        <w:jc w:val="both"/>
        <w:ind w:left="620" w:hanging="369"/>
        <w:spacing w:after="0" w:line="264" w:lineRule="auto"/>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significant reduction in provisions for Wholesale Banking given that in 1Q15, provisions were set aside due to a deterioration of the debt capacity of a limited number of borrowers in Corporate Banking in the Gas and Hydrocarbons sector and of clients in the Construction sector that are linked to companies under investigation in Brazil.</w:t>
      </w:r>
    </w:p>
    <w:p>
      <w:pPr>
        <w:spacing w:after="0" w:line="177"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b w:val="1"/>
          <w:bCs w:val="1"/>
          <w:color w:val="auto"/>
        </w:rPr>
        <w:t>cost of risk</w:t>
      </w:r>
      <w:r>
        <w:rPr>
          <w:rFonts w:ascii="Arial" w:cs="Arial" w:eastAsia="Arial" w:hAnsi="Arial"/>
          <w:sz w:val="17"/>
          <w:szCs w:val="17"/>
          <w:color w:val="auto"/>
        </w:rPr>
        <w:t xml:space="preserve"> (ratio of annualized net provisions for loan losses over total loans) posted a decreased of 39 bps, which was due primarily to a drop in net provisions (-14% QoQ) while total loans grew +2.3% QoQ. The 2.07% reported in 2Q15 represented the lowest level registered in the last two years after the acquisition of Mibanco, and the deterioration in the SME-Pyme portfolio in 2014. This scenario repeats itself if we analyze the ratio of annualized net provisions/net interest income which fell -450 bps, primarily due to the fact that NII growth (+2.6% QoQ) was higher than net provisions.</w:t>
      </w:r>
    </w:p>
    <w:p>
      <w:pPr>
        <w:spacing w:after="0" w:line="16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Reserve for loan losses </w:t>
      </w:r>
      <w:r>
        <w:rPr>
          <w:rFonts w:ascii="Arial" w:cs="Arial" w:eastAsia="Arial" w:hAnsi="Arial"/>
          <w:sz w:val="18"/>
          <w:szCs w:val="18"/>
          <w:color w:val="auto"/>
        </w:rPr>
        <w:t>increased +4.5% QoQ due to the provisions that were generated at BCP this quarter. The situation was further exacerbated by a</w:t>
      </w:r>
      <w:r>
        <w:rPr>
          <w:rFonts w:ascii="Arial" w:cs="Arial" w:eastAsia="Arial" w:hAnsi="Arial"/>
          <w:sz w:val="18"/>
          <w:szCs w:val="18"/>
          <w:b w:val="1"/>
          <w:bCs w:val="1"/>
          <w:color w:val="auto"/>
        </w:rPr>
        <w:t xml:space="preserve"> </w:t>
      </w:r>
      <w:r>
        <w:rPr>
          <w:rFonts w:ascii="Arial" w:cs="Arial" w:eastAsia="Arial" w:hAnsi="Arial"/>
          <w:sz w:val="18"/>
          <w:szCs w:val="18"/>
          <w:color w:val="auto"/>
        </w:rPr>
        <w:t>decrease in the level of charge-offs reported this quarter.</w:t>
      </w:r>
    </w:p>
    <w:p>
      <w:pPr>
        <w:spacing w:after="0" w:line="162"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b w:val="1"/>
          <w:bCs w:val="1"/>
          <w:color w:val="auto"/>
        </w:rPr>
        <w:t>coverage of PDLs</w:t>
      </w:r>
      <w:r>
        <w:rPr>
          <w:rFonts w:ascii="Arial" w:cs="Arial" w:eastAsia="Arial" w:hAnsi="Arial"/>
          <w:sz w:val="17"/>
          <w:szCs w:val="17"/>
          <w:color w:val="auto"/>
        </w:rPr>
        <w:t xml:space="preserve"> fell slightly QoQ, which was in line with a higher level of growth in the PDL portfolio (+7.9% QoQ) than in the reserve for loan losses (+4.5% QoQ). A YoY analysis shows that the coverage level for the PDL portfolio improved and was situated at 159.2% at the end of 2Q15 vs. 158.4% at the end of 2Q14. This was in line with lower growth in PDL in comparison to the increase in the reserve for loan losses.</w:t>
      </w:r>
    </w:p>
    <w:p>
      <w:pPr>
        <w:spacing w:after="0" w:line="15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coverage of NPLs</w:t>
      </w:r>
      <w:r>
        <w:rPr>
          <w:rFonts w:ascii="Arial" w:cs="Arial" w:eastAsia="Arial" w:hAnsi="Arial"/>
          <w:sz w:val="18"/>
          <w:szCs w:val="18"/>
          <w:color w:val="auto"/>
        </w:rPr>
        <w:t xml:space="preserve"> also fell, going from 124.8% at the end of 1Q15 to 121.9% at the end of 2Q15. This was due to the fact that growth in the NPL portfolio (+7.0% TaT) outpaced growth in the reserve for loan losses (+4.5% QoQ). A YoY analysis indicates the coverage ratio for the NPL portfolio fell -470 bps given that expansion in the NPL portfolio was greater than the increase in the reserve for loan losses, which was due to continuous refinancing campaigns in the SME-Pyme, Credit Card, Consumer and SME-Business segments in the second half of 2014.</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  Portfolio Quality</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PDL ratio</w:t>
      </w:r>
      <w:r>
        <w:rPr>
          <w:rFonts w:ascii="Arial" w:cs="Arial" w:eastAsia="Arial" w:hAnsi="Arial"/>
          <w:sz w:val="18"/>
          <w:szCs w:val="18"/>
          <w:color w:val="auto"/>
        </w:rPr>
        <w:t xml:space="preserve"> deteriorated 14 bps QoQ to situate at 2.72% in 2Q15. This was due to the fact that the PDL portfolio posted a larger increase (+7.9% QoQ) than total loans (+2.3% QoQ). As expected, the variation in the PDL portfolio was due primarily to Mibanco, where the portfolio continues to mature. The PDL portfolio was affected, to a lesser extent, by the maturity cycle of refinanced loans in the SME-Pyme portfolio, which also posted low loan growth. Growth is expected to improve in the second half of 2015.</w:t>
      </w:r>
    </w:p>
    <w:p>
      <w:pPr>
        <w:spacing w:after="0" w:line="1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PDL ratio over 90 days</w:t>
      </w:r>
      <w:r>
        <w:rPr>
          <w:rFonts w:ascii="Arial" w:cs="Arial" w:eastAsia="Arial" w:hAnsi="Arial"/>
          <w:sz w:val="18"/>
          <w:szCs w:val="18"/>
          <w:color w:val="auto"/>
        </w:rPr>
        <w:t xml:space="preserve"> reported an increase of +13 bps QoQ and situated at 1.96% at the end of 2Q15. The YoY ratio increased +33 bps (1.63% in 2Q14).</w:t>
      </w:r>
    </w:p>
    <w:p>
      <w:pPr>
        <w:spacing w:after="0" w:line="16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NPL portfolio</w:t>
      </w:r>
      <w:r>
        <w:rPr>
          <w:rFonts w:ascii="Arial" w:cs="Arial" w:eastAsia="Arial" w:hAnsi="Arial"/>
          <w:sz w:val="18"/>
          <w:szCs w:val="18"/>
          <w:color w:val="auto"/>
        </w:rPr>
        <w:t xml:space="preserve"> (which includes refinanced loans) increased +7.0% QoQ vs. 4.6% QoQ in 1Q15. This led to an NPL ratio of 3.56% in 2Q15, which topped the 3.40% recorded in 1Q15 and the 3.30% registered in 2Q14. The aforementioned reflects the on-going refinancing campaigns that were conducted since the beginning of 2015; and the slow pace of growth of total loans.</w:t>
      </w:r>
    </w:p>
    <w:p>
      <w:pPr>
        <w:spacing w:after="0" w:line="38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The following table shows the evolution of the PDL ratio by business and product: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PDL ratio by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1282700</wp:posOffset>
            </wp:positionH>
            <wp:positionV relativeFrom="paragraph">
              <wp:posOffset>154940</wp:posOffset>
            </wp:positionV>
            <wp:extent cx="4699635" cy="39020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699635" cy="3902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500" w:hanging="370"/>
        <w:spacing w:after="0" w:line="282" w:lineRule="auto"/>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The PDL ratio of the </w:t>
      </w:r>
      <w:r>
        <w:rPr>
          <w:rFonts w:ascii="Arial" w:cs="Arial" w:eastAsia="Arial" w:hAnsi="Arial"/>
          <w:sz w:val="18"/>
          <w:szCs w:val="18"/>
          <w:b w:val="1"/>
          <w:bCs w:val="1"/>
          <w:color w:val="auto"/>
        </w:rPr>
        <w:t>Wholesale Banking</w:t>
      </w:r>
      <w:r>
        <w:rPr>
          <w:rFonts w:ascii="Arial" w:cs="Arial" w:eastAsia="Arial" w:hAnsi="Arial"/>
          <w:sz w:val="18"/>
          <w:szCs w:val="18"/>
          <w:color w:val="auto"/>
        </w:rPr>
        <w:t xml:space="preserve"> portfolio remains very low despite a slight increase of only +2 bps QoQ, after some isolated cases entered the PDL portfolio this quarter, which were regularized at the beginning of July.</w:t>
      </w:r>
    </w:p>
    <w:p>
      <w:pPr>
        <w:spacing w:after="0" w:line="161" w:lineRule="exact"/>
        <w:rPr>
          <w:rFonts w:ascii="Arial" w:cs="Arial" w:eastAsia="Arial" w:hAnsi="Arial"/>
          <w:sz w:val="18"/>
          <w:szCs w:val="18"/>
          <w:color w:val="auto"/>
        </w:rPr>
      </w:pPr>
    </w:p>
    <w:p>
      <w:pPr>
        <w:jc w:val="both"/>
        <w:ind w:left="500" w:hanging="370"/>
        <w:spacing w:after="0" w:line="281" w:lineRule="auto"/>
        <w:tabs>
          <w:tab w:leader="none" w:pos="500" w:val="left"/>
        </w:tabs>
        <w:numPr>
          <w:ilvl w:val="0"/>
          <w:numId w:val="23"/>
        </w:numPr>
        <w:rPr>
          <w:rFonts w:ascii="Arial" w:cs="Arial" w:eastAsia="Arial" w:hAnsi="Arial"/>
          <w:sz w:val="17"/>
          <w:szCs w:val="17"/>
          <w:color w:val="auto"/>
        </w:rPr>
      </w:pPr>
      <w:r>
        <w:rPr>
          <w:rFonts w:ascii="Arial" w:cs="Arial" w:eastAsia="Arial" w:hAnsi="Arial"/>
          <w:sz w:val="17"/>
          <w:szCs w:val="17"/>
          <w:b w:val="1"/>
          <w:bCs w:val="1"/>
          <w:color w:val="auto"/>
        </w:rPr>
        <w:t xml:space="preserve">BCP Bolivia </w:t>
      </w:r>
      <w:r>
        <w:rPr>
          <w:rFonts w:ascii="Arial" w:cs="Arial" w:eastAsia="Arial" w:hAnsi="Arial"/>
          <w:sz w:val="17"/>
          <w:szCs w:val="17"/>
          <w:color w:val="auto"/>
        </w:rPr>
        <w:t>registered a slight decrease in its PDL ratio at the end of 2Q15 to situate at 1.60%. The decrease was due primarily to the fact that loan</w:t>
      </w:r>
      <w:r>
        <w:rPr>
          <w:rFonts w:ascii="Arial" w:cs="Arial" w:eastAsia="Arial" w:hAnsi="Arial"/>
          <w:sz w:val="17"/>
          <w:szCs w:val="17"/>
          <w:b w:val="1"/>
          <w:bCs w:val="1"/>
          <w:color w:val="auto"/>
        </w:rPr>
        <w:t xml:space="preserve"> </w:t>
      </w:r>
      <w:r>
        <w:rPr>
          <w:rFonts w:ascii="Arial" w:cs="Arial" w:eastAsia="Arial" w:hAnsi="Arial"/>
          <w:sz w:val="17"/>
          <w:szCs w:val="17"/>
          <w:color w:val="auto"/>
        </w:rPr>
        <w:t>growth in this segment outpaced the slight expansion registered in the PDL portfolio. With regards to the increase in the PDL ratio of 1Q15 due to SME-Pyme and Consumer loans, the situation is under control and has improved, which helped to reduce the PDL ratio in 2Q15. It should be noted that BCP Bolivia’s PDL ratio falls below that of the Bolivian financial system, which is situated at 1.79%.</w:t>
      </w:r>
    </w:p>
    <w:p>
      <w:pPr>
        <w:spacing w:after="0" w:line="37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An analysis of the evolution of delinquency by line and product within Retail Banking shows that: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SME-Business – Portfolio quality and Cost of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154940</wp:posOffset>
            </wp:positionV>
            <wp:extent cx="5831840" cy="20669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831840" cy="206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500" w:hanging="492"/>
        <w:spacing w:after="0" w:line="261" w:lineRule="auto"/>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SME-Business</w:t>
      </w:r>
      <w:r>
        <w:rPr>
          <w:rFonts w:ascii="Arial" w:cs="Arial" w:eastAsia="Arial" w:hAnsi="Arial"/>
          <w:sz w:val="18"/>
          <w:szCs w:val="18"/>
          <w:color w:val="auto"/>
        </w:rPr>
        <w:t xml:space="preserve"> portfolio registered an increase in its PDL ratio, which was situated at 4.96% at the end of 2Q15. It is important to note that the increase in this ratio over the last few periods was due to the impact of isolated cases that entered the PDL portfolio, and it is not related to the level of dollarization of the portfolio in a scenario of devaluation of the Nuevo Sol. Furthermore, these clients have a high coverage level due to the collateral in place (real state).</w:t>
      </w:r>
    </w:p>
    <w:p>
      <w:pPr>
        <w:spacing w:after="0" w:line="184" w:lineRule="exact"/>
        <w:rPr>
          <w:rFonts w:ascii="Arial" w:cs="Arial" w:eastAsia="Arial" w:hAnsi="Arial"/>
          <w:sz w:val="18"/>
          <w:szCs w:val="18"/>
          <w:color w:val="auto"/>
        </w:rPr>
      </w:pPr>
    </w:p>
    <w:p>
      <w:pPr>
        <w:jc w:val="both"/>
        <w:ind w:left="520"/>
        <w:spacing w:after="0" w:line="264" w:lineRule="auto"/>
        <w:rPr>
          <w:rFonts w:ascii="Arial" w:cs="Arial" w:eastAsia="Arial" w:hAnsi="Arial"/>
          <w:sz w:val="18"/>
          <w:szCs w:val="18"/>
          <w:color w:val="auto"/>
        </w:rPr>
      </w:pPr>
      <w:r>
        <w:rPr>
          <w:rFonts w:ascii="Arial" w:cs="Arial" w:eastAsia="Arial" w:hAnsi="Arial"/>
          <w:sz w:val="18"/>
          <w:szCs w:val="18"/>
          <w:color w:val="auto"/>
        </w:rPr>
        <w:t>Although measures have been taken to de-dollarize this portfolio, the current level reflects, to a large extent, the profile of clients that post mixed sales in terms of currency or operate in US Dollars and, to a lesser extent, short term loans that do not represent a high risk (which was explained in greater detail in the section on loan dollarization).</w:t>
      </w:r>
    </w:p>
    <w:p>
      <w:pPr>
        <w:spacing w:after="0" w:line="181" w:lineRule="exact"/>
        <w:rPr>
          <w:rFonts w:ascii="Arial" w:cs="Arial" w:eastAsia="Arial" w:hAnsi="Arial"/>
          <w:sz w:val="18"/>
          <w:szCs w:val="18"/>
          <w:color w:val="auto"/>
        </w:rPr>
      </w:pPr>
    </w:p>
    <w:p>
      <w:pPr>
        <w:ind w:left="520"/>
        <w:spacing w:after="0" w:line="277" w:lineRule="auto"/>
        <w:rPr>
          <w:rFonts w:ascii="Arial" w:cs="Arial" w:eastAsia="Arial" w:hAnsi="Arial"/>
          <w:sz w:val="18"/>
          <w:szCs w:val="18"/>
          <w:color w:val="auto"/>
        </w:rPr>
      </w:pPr>
      <w:r>
        <w:rPr>
          <w:rFonts w:ascii="Arial" w:cs="Arial" w:eastAsia="Arial" w:hAnsi="Arial"/>
          <w:sz w:val="18"/>
          <w:szCs w:val="18"/>
          <w:color w:val="auto"/>
        </w:rPr>
        <w:t>This quarter also registered a slower pace of growth in the PDL portfolio. This reflects a higher concentration of loans in clients with a low risk profile after several commercial initiatives were implemented.</w:t>
      </w:r>
    </w:p>
    <w:p>
      <w:pPr>
        <w:spacing w:after="0" w:line="170"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It is important to note that the cost of risk is low and is situated at a level that is close to that of Wholesale Banking.</w:t>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5" w:name="page26"/>
    <w:bookmarkEnd w:id="25"/>
    <w:p>
      <w:pPr>
        <w:ind w:left="4120"/>
        <w:spacing w:after="0"/>
        <w:rPr>
          <w:sz w:val="20"/>
          <w:szCs w:val="20"/>
          <w:color w:val="auto"/>
        </w:rPr>
      </w:pPr>
      <w:r>
        <w:rPr>
          <w:rFonts w:ascii="Arial" w:cs="Arial" w:eastAsia="Arial" w:hAnsi="Arial"/>
          <w:sz w:val="18"/>
          <w:szCs w:val="18"/>
          <w:b w:val="1"/>
          <w:bCs w:val="1"/>
          <w:color w:val="auto"/>
        </w:rPr>
        <w:t>SME - Pyme – Portfolio quality and Cost of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154940</wp:posOffset>
            </wp:positionV>
            <wp:extent cx="5831840" cy="21012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831840" cy="2101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ind w:left="500" w:hanging="492"/>
        <w:spacing w:after="0" w:line="266" w:lineRule="auto"/>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In the </w:t>
      </w:r>
      <w:r>
        <w:rPr>
          <w:rFonts w:ascii="Arial" w:cs="Arial" w:eastAsia="Arial" w:hAnsi="Arial"/>
          <w:sz w:val="18"/>
          <w:szCs w:val="18"/>
          <w:b w:val="1"/>
          <w:bCs w:val="1"/>
          <w:color w:val="auto"/>
        </w:rPr>
        <w:t>SME-Pyme</w:t>
      </w:r>
      <w:r>
        <w:rPr>
          <w:rFonts w:ascii="Arial" w:cs="Arial" w:eastAsia="Arial" w:hAnsi="Arial"/>
          <w:sz w:val="18"/>
          <w:szCs w:val="18"/>
          <w:color w:val="auto"/>
        </w:rPr>
        <w:t xml:space="preserve"> portfolio, the cost of risk registered a downward trend from the second half of 2014 and on, after the adjustments made to the business model. The aforementioned was due to an improvement in the risk quality of post-adjustment vintages, which in turn led to lower level for provisions for loan losses.</w:t>
      </w:r>
    </w:p>
    <w:p>
      <w:pPr>
        <w:spacing w:after="0" w:line="180"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The aforementioned improvement is not evident in the PDL and NPL ratios due, in large part, to the effect of three factors:</w:t>
      </w:r>
    </w:p>
    <w:p>
      <w:pPr>
        <w:spacing w:after="0" w:line="225" w:lineRule="exact"/>
        <w:rPr>
          <w:rFonts w:ascii="Arial" w:cs="Arial" w:eastAsia="Arial" w:hAnsi="Arial"/>
          <w:sz w:val="18"/>
          <w:szCs w:val="18"/>
          <w:color w:val="auto"/>
        </w:rPr>
      </w:pPr>
    </w:p>
    <w:p>
      <w:pPr>
        <w:jc w:val="both"/>
        <w:ind w:left="880" w:hanging="372"/>
        <w:spacing w:after="0" w:line="264" w:lineRule="auto"/>
        <w:tabs>
          <w:tab w:leader="none" w:pos="8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maturity cycle of refinanced loans that were granted in the second half of 2014 given that the effectiveness of refinancing campaigns for this type of business is very low. For this reason, from 1Q15 and on (after a 6-month grace period), the PDL portfolio registered a number of re-entries of non-viable clients.</w:t>
      </w:r>
    </w:p>
    <w:p>
      <w:pPr>
        <w:spacing w:after="0" w:line="181" w:lineRule="exact"/>
        <w:rPr>
          <w:rFonts w:ascii="Arial" w:cs="Arial" w:eastAsia="Arial" w:hAnsi="Arial"/>
          <w:sz w:val="18"/>
          <w:szCs w:val="18"/>
          <w:color w:val="auto"/>
        </w:rPr>
      </w:pPr>
    </w:p>
    <w:p>
      <w:pPr>
        <w:jc w:val="both"/>
        <w:ind w:left="880" w:hanging="372"/>
        <w:spacing w:after="0" w:line="312" w:lineRule="auto"/>
        <w:tabs>
          <w:tab w:leader="none" w:pos="880" w:val="left"/>
        </w:tabs>
        <w:numPr>
          <w:ilvl w:val="1"/>
          <w:numId w:val="25"/>
        </w:numPr>
        <w:rPr>
          <w:rFonts w:ascii="Arial" w:cs="Arial" w:eastAsia="Arial" w:hAnsi="Arial"/>
          <w:sz w:val="16"/>
          <w:szCs w:val="16"/>
          <w:color w:val="auto"/>
        </w:rPr>
      </w:pPr>
      <w:r>
        <w:rPr>
          <w:rFonts w:ascii="Arial" w:cs="Arial" w:eastAsia="Arial" w:hAnsi="Arial"/>
          <w:sz w:val="16"/>
          <w:szCs w:val="16"/>
          <w:color w:val="auto"/>
        </w:rPr>
        <w:t>The collateral level (mainly real state) in this segment was situated at approximately 55%, which means that a large portion of the debt cannot be written-off even when provisions have been set aside (approximately after the 150th day of delinquency) given that a legal process, which takes an average of 4 years, must be initiated to liquidate the collateral. This dilutes the effect of an improvement in the risk quality of new vintages.</w:t>
      </w:r>
    </w:p>
    <w:p>
      <w:pPr>
        <w:spacing w:after="0" w:line="146" w:lineRule="exact"/>
        <w:rPr>
          <w:rFonts w:ascii="Arial" w:cs="Arial" w:eastAsia="Arial" w:hAnsi="Arial"/>
          <w:sz w:val="16"/>
          <w:szCs w:val="16"/>
          <w:color w:val="auto"/>
        </w:rPr>
      </w:pPr>
    </w:p>
    <w:p>
      <w:pPr>
        <w:ind w:left="880" w:right="20" w:hanging="372"/>
        <w:spacing w:after="0" w:line="277" w:lineRule="auto"/>
        <w:tabs>
          <w:tab w:leader="none" w:pos="8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Slight growth in loans registered during the period, which reflects: i) the fact that stricter risk policies were implemented for this segment, and ii) seasonality in 2Q15 in terms of origination and amortization of loans.</w:t>
      </w:r>
    </w:p>
    <w:p>
      <w:pPr>
        <w:spacing w:after="0" w:line="170" w:lineRule="exact"/>
        <w:rPr>
          <w:sz w:val="20"/>
          <w:szCs w:val="20"/>
          <w:color w:val="auto"/>
        </w:rPr>
      </w:pPr>
    </w:p>
    <w:p>
      <w:pPr>
        <w:jc w:val="both"/>
        <w:ind w:left="520"/>
        <w:spacing w:after="0" w:line="255" w:lineRule="auto"/>
        <w:rPr>
          <w:sz w:val="20"/>
          <w:szCs w:val="20"/>
          <w:color w:val="auto"/>
        </w:rPr>
      </w:pPr>
      <w:r>
        <w:rPr>
          <w:rFonts w:ascii="Arial" w:cs="Arial" w:eastAsia="Arial" w:hAnsi="Arial"/>
          <w:sz w:val="18"/>
          <w:szCs w:val="18"/>
          <w:color w:val="auto"/>
        </w:rPr>
        <w:t>The early delinquency indicator excludes PDLs with less than 60 days overdue (which are volatile but register a high recovery ratio) and those that have been delinquent for more than 150 days (which have been provisioned but cannot be written-off due to the existence of collateral, as explained above). An analysis of early delinquency reveals an improvement in the SME-Pyme segment given that the risk profile of vintages generated with the new business model is better. From 1Q13 to 2Q14, deterioration is associated with the maturity of pre-adjustment vintages. It is important to note two aspects that have improved with the main measures that have been implemented, whose most significant adjustments were made in November 2013 and November 2014:</w:t>
      </w:r>
    </w:p>
    <w:p>
      <w:pPr>
        <w:spacing w:after="0" w:line="193" w:lineRule="exact"/>
        <w:rPr>
          <w:sz w:val="20"/>
          <w:szCs w:val="20"/>
          <w:color w:val="auto"/>
        </w:rPr>
      </w:pPr>
    </w:p>
    <w:p>
      <w:pPr>
        <w:jc w:val="both"/>
        <w:ind w:left="880" w:hanging="372"/>
        <w:spacing w:after="0" w:line="297" w:lineRule="auto"/>
        <w:tabs>
          <w:tab w:leader="none" w:pos="8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Since 4Q14, we have seen an improving trend where the YoY analysis is the most appropriate given the seasonality of the business (as it is evident in the evolution of loan outstanding balance, which grows primarily in the second half of every year). As such, early delinquency every quarter, from 4Q14 and on, posted lower levels than those registered for comparable quarters the year before. The improvement is slightly attenuated by the slow pace of origination due to stricter admission risk policies, and the fact that economic growth has decelerated. In this context, early delinquency in 4Q14 fell 30 bps with regard to 4Q13; dropped 46 bps in 1Q15 vs. 1Q14; and declined 35 bps in 2Q15 vs. 2Q14.</w:t>
      </w:r>
    </w:p>
    <w:p>
      <w:pPr>
        <w:spacing w:after="0" w:line="367" w:lineRule="exact"/>
        <w:rPr>
          <w:sz w:val="20"/>
          <w:szCs w:val="20"/>
          <w:color w:val="auto"/>
        </w:rPr>
      </w:pPr>
    </w:p>
    <w:p>
      <w:pPr>
        <w:jc w:val="right"/>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6" w:name="page27"/>
    <w:bookmarkEnd w:id="26"/>
    <w:p>
      <w:pPr>
        <w:jc w:val="both"/>
        <w:ind w:left="880" w:hanging="372"/>
        <w:spacing w:after="0" w:line="264"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 of risk, which must also be analyzed YoY, also registered an improvement that was much more noteworthy than that of early delinquency, in particular from 4Q14 and on. In 4Q14 and 1Q15, the decline was approximately 100 bps every quarter while the cost of risk in 2Q15 fell 126 bps with regard to 2Q14’s.</w:t>
      </w:r>
    </w:p>
    <w:p>
      <w:pPr>
        <w:spacing w:after="0" w:line="177"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Mortgage – Portfolio quality and Cost of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154940</wp:posOffset>
            </wp:positionV>
            <wp:extent cx="5831840" cy="21094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831840" cy="2109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500" w:hanging="492"/>
        <w:spacing w:after="0" w:line="311" w:lineRule="auto"/>
        <w:tabs>
          <w:tab w:leader="none" w:pos="5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 xml:space="preserve">The </w:t>
      </w:r>
      <w:r>
        <w:rPr>
          <w:rFonts w:ascii="Arial" w:cs="Arial" w:eastAsia="Arial" w:hAnsi="Arial"/>
          <w:sz w:val="17"/>
          <w:szCs w:val="17"/>
          <w:b w:val="1"/>
          <w:bCs w:val="1"/>
          <w:color w:val="auto"/>
        </w:rPr>
        <w:t>Mortgage</w:t>
      </w:r>
      <w:r>
        <w:rPr>
          <w:rFonts w:ascii="Arial" w:cs="Arial" w:eastAsia="Arial" w:hAnsi="Arial"/>
          <w:sz w:val="17"/>
          <w:szCs w:val="17"/>
          <w:color w:val="auto"/>
        </w:rPr>
        <w:t xml:space="preserve"> portfolio posted an increase in its PDL ratio, which situated at 1.88% in 2Q15 (vs. 1.79% in 1Q15). This was due primarily to the maturity cycle (between 3 to 4 years) of Mivivienda loans</w:t>
      </w:r>
      <w:r>
        <w:rPr>
          <w:rFonts w:ascii="Arial" w:cs="Arial" w:eastAsia="Arial" w:hAnsi="Arial"/>
          <w:sz w:val="28"/>
          <w:szCs w:val="28"/>
          <w:color w:val="auto"/>
          <w:vertAlign w:val="superscript"/>
        </w:rPr>
        <w:t>4</w:t>
      </w:r>
      <w:r>
        <w:rPr>
          <w:rFonts w:ascii="Arial" w:cs="Arial" w:eastAsia="Arial" w:hAnsi="Arial"/>
          <w:sz w:val="17"/>
          <w:szCs w:val="17"/>
          <w:color w:val="auto"/>
        </w:rPr>
        <w:t>, whose share of total mortgage loans was situated at 15% at the end of the quarter.</w:t>
      </w:r>
    </w:p>
    <w:p>
      <w:pPr>
        <w:spacing w:after="0" w:line="22" w:lineRule="exact"/>
        <w:rPr>
          <w:rFonts w:ascii="Arial" w:cs="Arial" w:eastAsia="Arial" w:hAnsi="Arial"/>
          <w:sz w:val="17"/>
          <w:szCs w:val="17"/>
          <w:color w:val="auto"/>
        </w:rPr>
      </w:pPr>
    </w:p>
    <w:p>
      <w:pPr>
        <w:jc w:val="both"/>
        <w:ind w:left="520"/>
        <w:spacing w:after="0" w:line="257" w:lineRule="auto"/>
        <w:rPr>
          <w:rFonts w:ascii="Arial" w:cs="Arial" w:eastAsia="Arial" w:hAnsi="Arial"/>
          <w:sz w:val="17"/>
          <w:szCs w:val="17"/>
          <w:color w:val="auto"/>
        </w:rPr>
      </w:pPr>
      <w:r>
        <w:rPr>
          <w:rFonts w:ascii="Arial" w:cs="Arial" w:eastAsia="Arial" w:hAnsi="Arial"/>
          <w:sz w:val="18"/>
          <w:szCs w:val="18"/>
          <w:color w:val="auto"/>
        </w:rPr>
        <w:t>Similar to loans in the SME-Pyme segment, mortgage loans are backed by a collateral that requires a legal process for its foreclosure, which means that effects of the better risk-profile of new vintages are also diluted by the stock that is following a foreclosure process, an thus affects PDL and NPL ratios. If we analyze the evolution of early delinquency, it is evident that it hit its peak in 3Q14 but after, maintained lower levels despite posting a slight increase last quarter, which was mainly attributable to a decrease in loan growth (+2.2% in 2Q15) with regard to the pace registered in 1Q15 (+3.5%).</w:t>
      </w:r>
    </w:p>
    <w:p>
      <w:pPr>
        <w:spacing w:after="0" w:line="188" w:lineRule="exact"/>
        <w:rPr>
          <w:rFonts w:ascii="Arial" w:cs="Arial" w:eastAsia="Arial" w:hAnsi="Arial"/>
          <w:sz w:val="17"/>
          <w:szCs w:val="17"/>
          <w:color w:val="auto"/>
        </w:rPr>
      </w:pPr>
    </w:p>
    <w:p>
      <w:pPr>
        <w:ind w:left="520"/>
        <w:spacing w:after="0"/>
        <w:rPr>
          <w:rFonts w:ascii="Arial" w:cs="Arial" w:eastAsia="Arial" w:hAnsi="Arial"/>
          <w:sz w:val="17"/>
          <w:szCs w:val="17"/>
          <w:color w:val="auto"/>
        </w:rPr>
      </w:pPr>
      <w:r>
        <w:rPr>
          <w:rFonts w:ascii="Arial" w:cs="Arial" w:eastAsia="Arial" w:hAnsi="Arial"/>
          <w:sz w:val="16"/>
          <w:szCs w:val="16"/>
          <w:color w:val="auto"/>
        </w:rPr>
        <w:t>The cost of risk for this segment is extremely low, but still shows a degree of volatility. Nonetheless, a lower level is evident in the YoY comparison.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180975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50" w:lineRule="exact"/>
        <w:rPr>
          <w:sz w:val="20"/>
          <w:szCs w:val="20"/>
          <w:color w:val="auto"/>
        </w:rPr>
      </w:pPr>
    </w:p>
    <w:p>
      <w:pPr>
        <w:ind w:firstLine="8"/>
        <w:spacing w:after="0" w:line="194" w:lineRule="auto"/>
        <w:tabs>
          <w:tab w:leader="none" w:pos="150" w:val="left"/>
        </w:tabs>
        <w:numPr>
          <w:ilvl w:val="0"/>
          <w:numId w:val="29"/>
        </w:numPr>
        <w:rPr>
          <w:rFonts w:ascii="Arial" w:cs="Arial" w:eastAsia="Arial" w:hAnsi="Arial"/>
          <w:sz w:val="30"/>
          <w:szCs w:val="30"/>
          <w:color w:val="auto"/>
          <w:vertAlign w:val="superscript"/>
        </w:rPr>
      </w:pPr>
      <w:r>
        <w:rPr>
          <w:rFonts w:ascii="Arial" w:cs="Arial" w:eastAsia="Arial" w:hAnsi="Arial"/>
          <w:sz w:val="18"/>
          <w:szCs w:val="18"/>
          <w:color w:val="auto"/>
        </w:rPr>
        <w:t>MiVivienda program grants mortgage loans that are backed by the Peruvian government. In 2014, a new MiVivienda loan was launched with better conditions to ensure higher levels of compliance.</w:t>
      </w: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Consumer – Portfolio quality and Cost of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154940</wp:posOffset>
            </wp:positionV>
            <wp:extent cx="5831840" cy="20840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831840" cy="2084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left="500" w:hanging="492"/>
        <w:spacing w:after="0" w:line="289" w:lineRule="auto"/>
        <w:tabs>
          <w:tab w:leader="none" w:pos="5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 xml:space="preserve">In the </w:t>
      </w:r>
      <w:r>
        <w:rPr>
          <w:rFonts w:ascii="Arial" w:cs="Arial" w:eastAsia="Arial" w:hAnsi="Arial"/>
          <w:sz w:val="17"/>
          <w:szCs w:val="17"/>
          <w:b w:val="1"/>
          <w:bCs w:val="1"/>
          <w:color w:val="auto"/>
        </w:rPr>
        <w:t>Consumer</w:t>
      </w:r>
      <w:r>
        <w:rPr>
          <w:rFonts w:ascii="Arial" w:cs="Arial" w:eastAsia="Arial" w:hAnsi="Arial"/>
          <w:sz w:val="17"/>
          <w:szCs w:val="17"/>
          <w:color w:val="auto"/>
        </w:rPr>
        <w:t xml:space="preserve"> portfolio, the cost of risk fell significantly YoY (-103 bps) after taking control of the problem caused by the change in the calculation of the minimum credit card payment, which affected this segment due to clients that have both products (Consumer and Credit Card). It is important to note that at the end of the quarter, this indicator posted a level that was even lower than that registered two years ago.</w:t>
      </w:r>
    </w:p>
    <w:p>
      <w:pPr>
        <w:spacing w:after="0" w:line="162" w:lineRule="exact"/>
        <w:rPr>
          <w:rFonts w:ascii="Arial" w:cs="Arial" w:eastAsia="Arial" w:hAnsi="Arial"/>
          <w:sz w:val="17"/>
          <w:szCs w:val="17"/>
          <w:color w:val="auto"/>
        </w:rPr>
      </w:pPr>
    </w:p>
    <w:p>
      <w:pPr>
        <w:jc w:val="both"/>
        <w:ind w:left="520"/>
        <w:spacing w:after="0" w:line="259" w:lineRule="auto"/>
        <w:rPr>
          <w:rFonts w:ascii="Arial" w:cs="Arial" w:eastAsia="Arial" w:hAnsi="Arial"/>
          <w:sz w:val="17"/>
          <w:szCs w:val="17"/>
          <w:color w:val="auto"/>
        </w:rPr>
      </w:pPr>
      <w:r>
        <w:rPr>
          <w:rFonts w:ascii="Arial" w:cs="Arial" w:eastAsia="Arial" w:hAnsi="Arial"/>
          <w:sz w:val="18"/>
          <w:szCs w:val="18"/>
          <w:color w:val="auto"/>
        </w:rPr>
        <w:t>The PDL ratio evolved favorably from 3Q14 to 1Q15 due to debt refinancing. The latter was reflected in the trend of the NPL ratio (that includes refinancing), which continued to growth, with the exception of 1Q15, when loan growth was relatively high due to a portfolio purchase. Nevertheless, when we analyze the evolution of early delinquency, primarily in YoY terms, we see an improvement in the ratio that was attributable to an improvement in the risk quality of new vintages.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Credit Card – Portfolio quality and Cost of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154940</wp:posOffset>
            </wp:positionV>
            <wp:extent cx="5831840" cy="20923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831840" cy="2092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500" w:hanging="492"/>
        <w:spacing w:after="0" w:line="261" w:lineRule="auto"/>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The PDL ratio in the </w:t>
      </w:r>
      <w:r>
        <w:rPr>
          <w:rFonts w:ascii="Arial" w:cs="Arial" w:eastAsia="Arial" w:hAnsi="Arial"/>
          <w:sz w:val="18"/>
          <w:szCs w:val="18"/>
          <w:b w:val="1"/>
          <w:bCs w:val="1"/>
          <w:color w:val="auto"/>
        </w:rPr>
        <w:t>Credit Card</w:t>
      </w:r>
      <w:r>
        <w:rPr>
          <w:rFonts w:ascii="Arial" w:cs="Arial" w:eastAsia="Arial" w:hAnsi="Arial"/>
          <w:sz w:val="18"/>
          <w:szCs w:val="18"/>
          <w:color w:val="auto"/>
        </w:rPr>
        <w:t xml:space="preserve"> segment remained stable QoQ and situated at 4.12% at the end of 2Q15. It is important to note this ratio’s downward trend after hitting a peak in 1Q14 given that measures were taken to control delinquency generated by the change in the calculation of the minimum payment in October 2013, mainly by refinancing debt to allow clients to adjust to a new level of debt service. Delinquency indicators at the end of 2Q15 also posted lower levels than those registered two years ago.</w:t>
      </w:r>
    </w:p>
    <w:p>
      <w:pPr>
        <w:spacing w:after="0" w:line="393" w:lineRule="exact"/>
        <w:rPr>
          <w:sz w:val="20"/>
          <w:szCs w:val="20"/>
          <w:color w:val="auto"/>
        </w:rPr>
      </w:pPr>
    </w:p>
    <w:p>
      <w:pPr>
        <w:jc w:val="right"/>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8" w:name="page29"/>
    <w:bookmarkEnd w:id="28"/>
    <w:p>
      <w:pPr>
        <w:ind w:left="520" w:right="40"/>
        <w:spacing w:after="0" w:line="308" w:lineRule="auto"/>
        <w:rPr>
          <w:sz w:val="20"/>
          <w:szCs w:val="20"/>
          <w:color w:val="auto"/>
        </w:rPr>
      </w:pPr>
      <w:r>
        <w:rPr>
          <w:rFonts w:ascii="Arial" w:cs="Arial" w:eastAsia="Arial" w:hAnsi="Arial"/>
          <w:sz w:val="17"/>
          <w:szCs w:val="17"/>
          <w:color w:val="auto"/>
        </w:rPr>
        <w:t>The cost of risk may have increased in the last few quarters but remains, nonetheless, within the range of the bank’s risk appetite and is in line with the segment’s profitability levels. QoQ increase was primarily related to higher delinquency of our clients with other institutions.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Mibanco – Portfolio quality and Cost of risk</w:t>
      </w:r>
      <w:r>
        <w:rPr>
          <w:rFonts w:ascii="Arial" w:cs="Arial" w:eastAsia="Arial" w:hAnsi="Arial"/>
          <w:sz w:val="30"/>
          <w:szCs w:val="30"/>
          <w:b w:val="1"/>
          <w:bCs w:val="1"/>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90170</wp:posOffset>
            </wp:positionV>
            <wp:extent cx="5831840" cy="20840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831840" cy="2084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left="660" w:hanging="652"/>
        <w:spacing w:after="0" w:line="266"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 xml:space="preserve">Mibanco’s </w:t>
      </w:r>
      <w:r>
        <w:rPr>
          <w:rFonts w:ascii="Arial" w:cs="Arial" w:eastAsia="Arial" w:hAnsi="Arial"/>
          <w:sz w:val="18"/>
          <w:szCs w:val="18"/>
          <w:color w:val="auto"/>
        </w:rPr>
        <w:t>PDL ratio increased +50 bps, which was in line with expectations, and situated at 6.50% at the end of 2Q15 vs. 6% at the end of 1Q14.</w:t>
      </w:r>
      <w:r>
        <w:rPr>
          <w:rFonts w:ascii="Arial" w:cs="Arial" w:eastAsia="Arial" w:hAnsi="Arial"/>
          <w:sz w:val="18"/>
          <w:szCs w:val="18"/>
          <w:b w:val="1"/>
          <w:bCs w:val="1"/>
          <w:color w:val="auto"/>
        </w:rPr>
        <w:t xml:space="preserve"> </w:t>
      </w:r>
      <w:r>
        <w:rPr>
          <w:rFonts w:ascii="Arial" w:cs="Arial" w:eastAsia="Arial" w:hAnsi="Arial"/>
          <w:sz w:val="18"/>
          <w:szCs w:val="18"/>
          <w:color w:val="auto"/>
        </w:rPr>
        <w:t>This was due primarily to the maturity cycle of pre-adquisition vintages. The aforementioned was accentuated by the low QoQ increase in loans that in turns reflects the clean-up process and the low origination in the middle of the merger.</w:t>
      </w:r>
    </w:p>
    <w:p>
      <w:pPr>
        <w:spacing w:after="0" w:line="180"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color w:val="auto"/>
        </w:rPr>
        <w:t>It is important to note that the cost of risk is lower than previous quarters’ where provisions were required to align the coverage ratios at Mibanco with Credicorp’s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180975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57" w:lineRule="exact"/>
        <w:rPr>
          <w:sz w:val="20"/>
          <w:szCs w:val="20"/>
          <w:color w:val="auto"/>
        </w:rPr>
      </w:pPr>
    </w:p>
    <w:p>
      <w:pPr>
        <w:ind w:left="120" w:hanging="112"/>
        <w:spacing w:after="0"/>
        <w:tabs>
          <w:tab w:leader="none" w:pos="120" w:val="left"/>
        </w:tabs>
        <w:numPr>
          <w:ilvl w:val="0"/>
          <w:numId w:val="33"/>
        </w:numPr>
        <w:rPr>
          <w:rFonts w:ascii="Arial" w:cs="Arial" w:eastAsia="Arial" w:hAnsi="Arial"/>
          <w:sz w:val="30"/>
          <w:szCs w:val="30"/>
          <w:color w:val="auto"/>
          <w:vertAlign w:val="superscript"/>
        </w:rPr>
      </w:pPr>
      <w:r>
        <w:rPr>
          <w:rFonts w:ascii="Arial" w:cs="Arial" w:eastAsia="Arial" w:hAnsi="Arial"/>
          <w:sz w:val="18"/>
          <w:szCs w:val="18"/>
          <w:color w:val="auto"/>
        </w:rPr>
        <w:t>Mibancos’ cost of risk is calculated starting on 2Q14 since net provisions were consolidated on BAP’s results at the beginning of this period.</w:t>
      </w: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9" w:name="page30"/>
    <w:bookmarkEnd w:id="29"/>
    <w:p>
      <w:pPr>
        <w:ind w:left="500" w:hanging="492"/>
        <w:spacing w:after="0"/>
        <w:tabs>
          <w:tab w:leader="none" w:pos="50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Net Interest Income (NII)</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Credicorp’s NII grew +2.9% QoQ and +14.1% YoY due primarily to higher interest income on loans. Nevertheless, the QoQ expansion in interest earning assets (+3.5%) led NIM to fall slightly QoQ from 5.73 % at the end of 1Q15 to 5.70% in 2Q15. It is important to look at NIM after net provisions, particularly YoY, which posted an increase of +38 bps.</w:t>
      </w:r>
    </w:p>
    <w:p>
      <w:pPr>
        <w:spacing w:after="0" w:line="177"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3420" w:type="dxa"/>
            <w:vAlign w:val="bottom"/>
            <w:gridSpan w:val="2"/>
          </w:tcPr>
          <w:p>
            <w:pPr>
              <w:spacing w:after="0"/>
              <w:rPr>
                <w:sz w:val="20"/>
                <w:szCs w:val="20"/>
                <w:color w:val="auto"/>
              </w:rPr>
            </w:pPr>
            <w:r>
              <w:rPr>
                <w:rFonts w:ascii="Arial" w:cs="Arial" w:eastAsia="Arial" w:hAnsi="Arial"/>
                <w:sz w:val="18"/>
                <w:szCs w:val="18"/>
                <w:b w:val="1"/>
                <w:bCs w:val="1"/>
                <w:color w:val="auto"/>
              </w:rPr>
              <w:t>Net interest income</w:t>
            </w: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Quarter</w:t>
            </w: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gridSpan w:val="3"/>
          </w:tcPr>
          <w:p>
            <w:pPr>
              <w:ind w:left="820"/>
              <w:spacing w:after="0"/>
              <w:rPr>
                <w:sz w:val="20"/>
                <w:szCs w:val="20"/>
                <w:color w:val="auto"/>
              </w:rPr>
            </w:pPr>
            <w:r>
              <w:rPr>
                <w:rFonts w:ascii="Arial" w:cs="Arial" w:eastAsia="Arial" w:hAnsi="Arial"/>
                <w:sz w:val="18"/>
                <w:szCs w:val="18"/>
                <w:b w:val="1"/>
                <w:bCs w:val="1"/>
                <w:color w:val="auto"/>
                <w:w w:val="97"/>
              </w:rPr>
              <w:t>% change</w:t>
            </w: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000</w:t>
            </w:r>
          </w:p>
        </w:tc>
        <w:tc>
          <w:tcPr>
            <w:tcW w:w="1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2Q14</w:t>
            </w:r>
          </w:p>
        </w:tc>
        <w:tc>
          <w:tcPr>
            <w:tcW w:w="2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1Q15</w:t>
            </w:r>
          </w:p>
        </w:tc>
        <w:tc>
          <w:tcPr>
            <w:tcW w:w="3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2Q15</w:t>
            </w:r>
          </w:p>
        </w:tc>
        <w:tc>
          <w:tcPr>
            <w:tcW w:w="28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QoQ</w:t>
            </w:r>
          </w:p>
        </w:tc>
        <w:tc>
          <w:tcPr>
            <w:tcW w:w="2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YoY</w:t>
            </w:r>
          </w:p>
        </w:tc>
        <w:tc>
          <w:tcPr>
            <w:tcW w:w="2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 income</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2,148,020</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2,377,217</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2,457,520</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3.4%</w:t>
            </w: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14.4%</w:t>
            </w:r>
          </w:p>
        </w:tc>
        <w:tc>
          <w:tcPr>
            <w:tcW w:w="0" w:type="dxa"/>
            <w:vAlign w:val="bottom"/>
          </w:tcPr>
          <w:p>
            <w:pPr>
              <w:spacing w:after="0"/>
              <w:rPr>
                <w:sz w:val="1"/>
                <w:szCs w:val="1"/>
                <w:color w:val="auto"/>
              </w:rPr>
            </w:pPr>
          </w:p>
        </w:tc>
      </w:tr>
      <w:tr>
        <w:trPr>
          <w:trHeight w:val="216"/>
        </w:trPr>
        <w:tc>
          <w:tcPr>
            <w:tcW w:w="3420" w:type="dxa"/>
            <w:vAlign w:val="bottom"/>
            <w:gridSpan w:val="2"/>
          </w:tcPr>
          <w:p>
            <w:pPr>
              <w:ind w:left="160"/>
              <w:spacing w:after="0"/>
              <w:rPr>
                <w:sz w:val="20"/>
                <w:szCs w:val="20"/>
                <w:color w:val="auto"/>
              </w:rPr>
            </w:pPr>
            <w:r>
              <w:rPr>
                <w:rFonts w:ascii="Arial" w:cs="Arial" w:eastAsia="Arial" w:hAnsi="Arial"/>
                <w:sz w:val="18"/>
                <w:szCs w:val="18"/>
                <w:color w:val="auto"/>
              </w:rPr>
              <w:t>Interest on loans</w:t>
            </w:r>
          </w:p>
        </w:tc>
        <w:tc>
          <w:tcPr>
            <w:tcW w:w="1120" w:type="dxa"/>
            <w:vAlign w:val="bottom"/>
          </w:tcPr>
          <w:p>
            <w:pPr>
              <w:jc w:val="right"/>
              <w:spacing w:after="0"/>
              <w:rPr>
                <w:sz w:val="20"/>
                <w:szCs w:val="20"/>
                <w:color w:val="auto"/>
              </w:rPr>
            </w:pPr>
            <w:r>
              <w:rPr>
                <w:rFonts w:ascii="Arial" w:cs="Arial" w:eastAsia="Arial" w:hAnsi="Arial"/>
                <w:sz w:val="18"/>
                <w:szCs w:val="18"/>
                <w:color w:val="auto"/>
              </w:rPr>
              <w:t>1,930,851</w:t>
            </w:r>
          </w:p>
        </w:tc>
        <w:tc>
          <w:tcPr>
            <w:tcW w:w="28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2,077,123</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2,123,643</w:t>
            </w:r>
          </w:p>
        </w:tc>
        <w:tc>
          <w:tcPr>
            <w:tcW w:w="1340" w:type="dxa"/>
            <w:vAlign w:val="bottom"/>
            <w:gridSpan w:val="2"/>
          </w:tcPr>
          <w:p>
            <w:pPr>
              <w:jc w:val="right"/>
              <w:ind w:right="30"/>
              <w:spacing w:after="0"/>
              <w:rPr>
                <w:sz w:val="20"/>
                <w:szCs w:val="20"/>
                <w:color w:val="auto"/>
              </w:rPr>
            </w:pPr>
            <w:r>
              <w:rPr>
                <w:rFonts w:ascii="Arial" w:cs="Arial" w:eastAsia="Arial" w:hAnsi="Arial"/>
                <w:sz w:val="18"/>
                <w:szCs w:val="18"/>
                <w:color w:val="auto"/>
              </w:rPr>
              <w:t>2.2%</w:t>
            </w:r>
          </w:p>
        </w:tc>
        <w:tc>
          <w:tcPr>
            <w:tcW w:w="3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Interest and dividends on investments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8,050</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18,538</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30,348</w:t>
            </w:r>
          </w:p>
        </w:tc>
        <w:tc>
          <w:tcPr>
            <w:tcW w:w="1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63.7%</w:t>
            </w: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277.0%</w:t>
            </w:r>
          </w:p>
        </w:tc>
        <w:tc>
          <w:tcPr>
            <w:tcW w:w="0" w:type="dxa"/>
            <w:vAlign w:val="bottom"/>
          </w:tcPr>
          <w:p>
            <w:pPr>
              <w:spacing w:after="0"/>
              <w:rPr>
                <w:sz w:val="1"/>
                <w:szCs w:val="1"/>
                <w:color w:val="auto"/>
              </w:rPr>
            </w:pPr>
          </w:p>
        </w:tc>
      </w:tr>
      <w:tr>
        <w:trPr>
          <w:trHeight w:val="216"/>
        </w:trPr>
        <w:tc>
          <w:tcPr>
            <w:tcW w:w="3420" w:type="dxa"/>
            <w:vAlign w:val="bottom"/>
            <w:gridSpan w:val="2"/>
          </w:tcPr>
          <w:p>
            <w:pPr>
              <w:ind w:left="160"/>
              <w:spacing w:after="0"/>
              <w:rPr>
                <w:sz w:val="20"/>
                <w:szCs w:val="20"/>
                <w:color w:val="auto"/>
              </w:rPr>
            </w:pPr>
            <w:r>
              <w:rPr>
                <w:rFonts w:ascii="Arial" w:cs="Arial" w:eastAsia="Arial" w:hAnsi="Arial"/>
                <w:sz w:val="18"/>
                <w:szCs w:val="18"/>
                <w:color w:val="auto"/>
              </w:rPr>
              <w:t>Interest on deposits with banks</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15,083</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7,615</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11,030</w:t>
            </w:r>
          </w:p>
        </w:tc>
        <w:tc>
          <w:tcPr>
            <w:tcW w:w="1340" w:type="dxa"/>
            <w:vAlign w:val="bottom"/>
            <w:gridSpan w:val="2"/>
          </w:tcPr>
          <w:p>
            <w:pPr>
              <w:jc w:val="right"/>
              <w:ind w:right="30"/>
              <w:spacing w:after="0"/>
              <w:rPr>
                <w:sz w:val="20"/>
                <w:szCs w:val="20"/>
                <w:color w:val="auto"/>
              </w:rPr>
            </w:pPr>
            <w:r>
              <w:rPr>
                <w:rFonts w:ascii="Arial" w:cs="Arial" w:eastAsia="Arial" w:hAnsi="Arial"/>
                <w:sz w:val="18"/>
                <w:szCs w:val="18"/>
                <w:color w:val="auto"/>
              </w:rPr>
              <w:t>44.8%</w:t>
            </w:r>
          </w:p>
        </w:tc>
        <w:tc>
          <w:tcPr>
            <w:tcW w:w="3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Interest on trading securities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186,773</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218,722</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223,094</w:t>
            </w:r>
          </w:p>
        </w:tc>
        <w:tc>
          <w:tcPr>
            <w:tcW w:w="1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57"/>
        </w:trPr>
        <w:tc>
          <w:tcPr>
            <w:tcW w:w="3420" w:type="dxa"/>
            <w:vAlign w:val="bottom"/>
            <w:gridSpan w:val="2"/>
          </w:tcPr>
          <w:p>
            <w:pPr>
              <w:ind w:left="160"/>
              <w:spacing w:after="0" w:line="256" w:lineRule="exact"/>
              <w:rPr>
                <w:sz w:val="20"/>
                <w:szCs w:val="20"/>
                <w:color w:val="auto"/>
              </w:rPr>
            </w:pPr>
            <w:r>
              <w:rPr>
                <w:rFonts w:ascii="Arial" w:cs="Arial" w:eastAsia="Arial" w:hAnsi="Arial"/>
                <w:sz w:val="18"/>
                <w:szCs w:val="18"/>
                <w:color w:val="auto"/>
              </w:rPr>
              <w:t xml:space="preserve">Other interest income </w:t>
            </w:r>
            <w:r>
              <w:rPr>
                <w:rFonts w:ascii="Arial" w:cs="Arial" w:eastAsia="Arial" w:hAnsi="Arial"/>
                <w:sz w:val="29"/>
                <w:szCs w:val="29"/>
                <w:color w:val="auto"/>
                <w:vertAlign w:val="superscript"/>
              </w:rPr>
              <w:t>(1)</w:t>
            </w:r>
          </w:p>
        </w:tc>
        <w:tc>
          <w:tcPr>
            <w:tcW w:w="1120" w:type="dxa"/>
            <w:vAlign w:val="bottom"/>
          </w:tcPr>
          <w:p>
            <w:pPr>
              <w:jc w:val="right"/>
              <w:spacing w:after="0"/>
              <w:rPr>
                <w:sz w:val="20"/>
                <w:szCs w:val="20"/>
                <w:color w:val="auto"/>
              </w:rPr>
            </w:pPr>
            <w:r>
              <w:rPr>
                <w:rFonts w:ascii="Arial" w:cs="Arial" w:eastAsia="Arial" w:hAnsi="Arial"/>
                <w:sz w:val="18"/>
                <w:szCs w:val="18"/>
                <w:color w:val="auto"/>
              </w:rPr>
              <w:t>7,263</w:t>
            </w:r>
          </w:p>
        </w:tc>
        <w:tc>
          <w:tcPr>
            <w:tcW w:w="280" w:type="dxa"/>
            <w:vAlign w:val="bottom"/>
          </w:tcPr>
          <w:p>
            <w:pPr>
              <w:spacing w:after="0"/>
              <w:rPr>
                <w:sz w:val="22"/>
                <w:szCs w:val="22"/>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55,219</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69,405</w:t>
            </w:r>
          </w:p>
        </w:tc>
        <w:tc>
          <w:tcPr>
            <w:tcW w:w="1340" w:type="dxa"/>
            <w:vAlign w:val="bottom"/>
            <w:gridSpan w:val="2"/>
          </w:tcPr>
          <w:p>
            <w:pPr>
              <w:jc w:val="right"/>
              <w:ind w:right="30"/>
              <w:spacing w:after="0"/>
              <w:rPr>
                <w:sz w:val="20"/>
                <w:szCs w:val="20"/>
                <w:color w:val="auto"/>
              </w:rPr>
            </w:pPr>
            <w:r>
              <w:rPr>
                <w:rFonts w:ascii="Arial" w:cs="Arial" w:eastAsia="Arial" w:hAnsi="Arial"/>
                <w:sz w:val="18"/>
                <w:szCs w:val="18"/>
                <w:color w:val="auto"/>
              </w:rPr>
              <w:t>25.7%</w:t>
            </w:r>
          </w:p>
        </w:tc>
        <w:tc>
          <w:tcPr>
            <w:tcW w:w="320" w:type="dxa"/>
            <w:vAlign w:val="bottom"/>
          </w:tcPr>
          <w:p>
            <w:pPr>
              <w:spacing w:after="0"/>
              <w:rPr>
                <w:sz w:val="22"/>
                <w:szCs w:val="22"/>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855.6%</w:t>
            </w: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Interest expense</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537,520</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591,855</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620,320</w:t>
            </w:r>
          </w:p>
        </w:tc>
        <w:tc>
          <w:tcPr>
            <w:tcW w:w="1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4.8%</w:t>
            </w: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15.4%</w:t>
            </w:r>
          </w:p>
        </w:tc>
        <w:tc>
          <w:tcPr>
            <w:tcW w:w="0" w:type="dxa"/>
            <w:vAlign w:val="bottom"/>
          </w:tcPr>
          <w:p>
            <w:pPr>
              <w:spacing w:after="0"/>
              <w:rPr>
                <w:sz w:val="1"/>
                <w:szCs w:val="1"/>
                <w:color w:val="auto"/>
              </w:rPr>
            </w:pPr>
          </w:p>
        </w:tc>
      </w:tr>
      <w:tr>
        <w:trPr>
          <w:trHeight w:val="216"/>
        </w:trPr>
        <w:tc>
          <w:tcPr>
            <w:tcW w:w="3420" w:type="dxa"/>
            <w:vAlign w:val="bottom"/>
            <w:gridSpan w:val="2"/>
          </w:tcPr>
          <w:p>
            <w:pPr>
              <w:ind w:left="160"/>
              <w:spacing w:after="0"/>
              <w:rPr>
                <w:sz w:val="20"/>
                <w:szCs w:val="20"/>
                <w:color w:val="auto"/>
              </w:rPr>
            </w:pPr>
            <w:r>
              <w:rPr>
                <w:rFonts w:ascii="Arial" w:cs="Arial" w:eastAsia="Arial" w:hAnsi="Arial"/>
                <w:sz w:val="18"/>
                <w:szCs w:val="18"/>
                <w:color w:val="auto"/>
              </w:rPr>
              <w:t>Interest on deposits</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211,730</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208,817</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209,408</w:t>
            </w:r>
          </w:p>
        </w:tc>
        <w:tc>
          <w:tcPr>
            <w:tcW w:w="1340" w:type="dxa"/>
            <w:vAlign w:val="bottom"/>
            <w:gridSpan w:val="2"/>
          </w:tcPr>
          <w:p>
            <w:pPr>
              <w:jc w:val="right"/>
              <w:ind w:right="30"/>
              <w:spacing w:after="0"/>
              <w:rPr>
                <w:sz w:val="20"/>
                <w:szCs w:val="20"/>
                <w:color w:val="auto"/>
              </w:rPr>
            </w:pPr>
            <w:r>
              <w:rPr>
                <w:rFonts w:ascii="Arial" w:cs="Arial" w:eastAsia="Arial" w:hAnsi="Arial"/>
                <w:sz w:val="18"/>
                <w:szCs w:val="18"/>
                <w:color w:val="auto"/>
              </w:rPr>
              <w:t>0.3%</w:t>
            </w:r>
          </w:p>
        </w:tc>
        <w:tc>
          <w:tcPr>
            <w:tcW w:w="3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Interest on borrowed funds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101,197</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184,441</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211,058</w:t>
            </w:r>
          </w:p>
        </w:tc>
        <w:tc>
          <w:tcPr>
            <w:tcW w:w="1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14.4%</w:t>
            </w: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108.6%</w:t>
            </w:r>
          </w:p>
        </w:tc>
        <w:tc>
          <w:tcPr>
            <w:tcW w:w="0" w:type="dxa"/>
            <w:vAlign w:val="bottom"/>
          </w:tcPr>
          <w:p>
            <w:pPr>
              <w:spacing w:after="0"/>
              <w:rPr>
                <w:sz w:val="1"/>
                <w:szCs w:val="1"/>
                <w:color w:val="auto"/>
              </w:rPr>
            </w:pPr>
          </w:p>
        </w:tc>
      </w:tr>
      <w:tr>
        <w:trPr>
          <w:trHeight w:val="216"/>
        </w:trPr>
        <w:tc>
          <w:tcPr>
            <w:tcW w:w="3420" w:type="dxa"/>
            <w:vAlign w:val="bottom"/>
            <w:gridSpan w:val="2"/>
          </w:tcPr>
          <w:p>
            <w:pPr>
              <w:ind w:left="160"/>
              <w:spacing w:after="0"/>
              <w:rPr>
                <w:sz w:val="20"/>
                <w:szCs w:val="20"/>
                <w:color w:val="auto"/>
              </w:rPr>
            </w:pPr>
            <w:r>
              <w:rPr>
                <w:rFonts w:ascii="Arial" w:cs="Arial" w:eastAsia="Arial" w:hAnsi="Arial"/>
                <w:sz w:val="18"/>
                <w:szCs w:val="18"/>
                <w:color w:val="auto"/>
                <w:w w:val="97"/>
              </w:rPr>
              <w:t>Interest on bonds and subordinated notes</w:t>
            </w:r>
          </w:p>
        </w:tc>
        <w:tc>
          <w:tcPr>
            <w:tcW w:w="1120" w:type="dxa"/>
            <w:vAlign w:val="bottom"/>
          </w:tcPr>
          <w:p>
            <w:pPr>
              <w:jc w:val="right"/>
              <w:spacing w:after="0"/>
              <w:rPr>
                <w:sz w:val="20"/>
                <w:szCs w:val="20"/>
                <w:color w:val="auto"/>
              </w:rPr>
            </w:pPr>
            <w:r>
              <w:rPr>
                <w:rFonts w:ascii="Arial" w:cs="Arial" w:eastAsia="Arial" w:hAnsi="Arial"/>
                <w:sz w:val="18"/>
                <w:szCs w:val="18"/>
                <w:color w:val="auto"/>
              </w:rPr>
              <w:t>176,700</w:t>
            </w:r>
          </w:p>
        </w:tc>
        <w:tc>
          <w:tcPr>
            <w:tcW w:w="28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177,792</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180,087</w:t>
            </w:r>
          </w:p>
        </w:tc>
        <w:tc>
          <w:tcPr>
            <w:tcW w:w="1340" w:type="dxa"/>
            <w:vAlign w:val="bottom"/>
            <w:gridSpan w:val="2"/>
          </w:tcPr>
          <w:p>
            <w:pPr>
              <w:jc w:val="right"/>
              <w:ind w:right="30"/>
              <w:spacing w:after="0"/>
              <w:rPr>
                <w:sz w:val="20"/>
                <w:szCs w:val="20"/>
                <w:color w:val="auto"/>
              </w:rPr>
            </w:pPr>
            <w:r>
              <w:rPr>
                <w:rFonts w:ascii="Arial" w:cs="Arial" w:eastAsia="Arial" w:hAnsi="Arial"/>
                <w:sz w:val="18"/>
                <w:szCs w:val="18"/>
                <w:color w:val="auto"/>
              </w:rPr>
              <w:t>1.3%</w:t>
            </w:r>
          </w:p>
        </w:tc>
        <w:tc>
          <w:tcPr>
            <w:tcW w:w="3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3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interest expense</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47,893</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20,805</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19,767</w:t>
            </w:r>
          </w:p>
        </w:tc>
        <w:tc>
          <w:tcPr>
            <w:tcW w:w="1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-5.0%</w:t>
            </w:r>
          </w:p>
        </w:tc>
        <w:tc>
          <w:tcPr>
            <w:tcW w:w="3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10"/>
        </w:trPr>
        <w:tc>
          <w:tcPr>
            <w:tcW w:w="34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Net interest income</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1,610,500</w:t>
            </w:r>
          </w:p>
        </w:tc>
        <w:tc>
          <w:tcPr>
            <w:tcW w:w="280" w:type="dxa"/>
            <w:vAlign w:val="bottom"/>
            <w:tcBorders>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1,785,362</w:t>
            </w:r>
          </w:p>
        </w:tc>
        <w:tc>
          <w:tcPr>
            <w:tcW w:w="300" w:type="dxa"/>
            <w:vAlign w:val="bottom"/>
            <w:tcBorders>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1,837,200</w:t>
            </w:r>
          </w:p>
        </w:tc>
        <w:tc>
          <w:tcPr>
            <w:tcW w:w="280" w:type="dxa"/>
            <w:vAlign w:val="bottom"/>
            <w:tcBorders>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w:t>
            </w:r>
          </w:p>
        </w:tc>
        <w:tc>
          <w:tcPr>
            <w:tcW w:w="2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w:t>
            </w:r>
          </w:p>
        </w:tc>
        <w:tc>
          <w:tcPr>
            <w:tcW w:w="3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14.1</w:t>
            </w:r>
          </w:p>
        </w:tc>
        <w:tc>
          <w:tcPr>
            <w:tcW w:w="2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0"/>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interest earning assets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113,550,764</w:t>
            </w:r>
          </w:p>
        </w:tc>
        <w:tc>
          <w:tcPr>
            <w:tcW w:w="28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124,593,161</w:t>
            </w:r>
          </w:p>
        </w:tc>
        <w:tc>
          <w:tcPr>
            <w:tcW w:w="30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129,009,511</w:t>
            </w:r>
          </w:p>
        </w:tc>
        <w:tc>
          <w:tcPr>
            <w:tcW w:w="28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3420" w:type="dxa"/>
            <w:vAlign w:val="bottom"/>
            <w:gridSpan w:val="2"/>
          </w:tcPr>
          <w:p>
            <w:pPr>
              <w:spacing w:after="0" w:line="250" w:lineRule="exact"/>
              <w:rPr>
                <w:sz w:val="20"/>
                <w:szCs w:val="20"/>
                <w:color w:val="auto"/>
              </w:rPr>
            </w:pPr>
            <w:r>
              <w:rPr>
                <w:rFonts w:ascii="Arial" w:cs="Arial" w:eastAsia="Arial" w:hAnsi="Arial"/>
                <w:sz w:val="17"/>
                <w:szCs w:val="17"/>
                <w:b w:val="1"/>
                <w:bCs w:val="1"/>
                <w:color w:val="auto"/>
              </w:rPr>
              <w:t xml:space="preserve">Net interest margin </w:t>
            </w:r>
            <w:r>
              <w:rPr>
                <w:rFonts w:ascii="Arial" w:cs="Arial" w:eastAsia="Arial" w:hAnsi="Arial"/>
                <w:sz w:val="28"/>
                <w:szCs w:val="28"/>
                <w:b w:val="1"/>
                <w:bCs w:val="1"/>
                <w:color w:val="auto"/>
                <w:vertAlign w:val="superscript"/>
              </w:rPr>
              <w:t>(2)</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5.67%</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5.73%</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5.70%</w:t>
            </w:r>
          </w:p>
        </w:tc>
        <w:tc>
          <w:tcPr>
            <w:tcW w:w="1660" w:type="dxa"/>
            <w:vAlign w:val="bottom"/>
            <w:gridSpan w:val="3"/>
          </w:tcPr>
          <w:p>
            <w:pPr>
              <w:jc w:val="right"/>
              <w:ind w:right="600"/>
              <w:spacing w:after="0"/>
              <w:rPr>
                <w:sz w:val="20"/>
                <w:szCs w:val="20"/>
                <w:color w:val="auto"/>
              </w:rPr>
            </w:pPr>
            <w:r>
              <w:rPr>
                <w:rFonts w:ascii="Arial" w:cs="Arial" w:eastAsia="Arial" w:hAnsi="Arial"/>
                <w:sz w:val="18"/>
                <w:szCs w:val="18"/>
                <w:b w:val="1"/>
                <w:bCs w:val="1"/>
                <w:color w:val="auto"/>
              </w:rPr>
              <w:t>-3 bps</w:t>
            </w:r>
          </w:p>
        </w:tc>
        <w:tc>
          <w:tcPr>
            <w:tcW w:w="96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+3 bps</w:t>
            </w:r>
          </w:p>
        </w:tc>
        <w:tc>
          <w:tcPr>
            <w:tcW w:w="0" w:type="dxa"/>
            <w:vAlign w:val="bottom"/>
          </w:tcPr>
          <w:p>
            <w:pPr>
              <w:spacing w:after="0"/>
              <w:rPr>
                <w:sz w:val="1"/>
                <w:szCs w:val="1"/>
                <w:color w:val="auto"/>
              </w:rPr>
            </w:pPr>
          </w:p>
        </w:tc>
      </w:tr>
      <w:tr>
        <w:trPr>
          <w:trHeight w:val="20"/>
        </w:trPr>
        <w:tc>
          <w:tcPr>
            <w:tcW w:w="3420" w:type="dxa"/>
            <w:vAlign w:val="bottom"/>
            <w:gridSpan w:val="2"/>
            <w:vMerge w:val="restart"/>
            <w:shd w:val="clear" w:color="auto" w:fill="CCEEFF"/>
          </w:tcPr>
          <w:p>
            <w:pPr>
              <w:spacing w:after="0" w:line="269" w:lineRule="exact"/>
              <w:rPr>
                <w:sz w:val="20"/>
                <w:szCs w:val="20"/>
                <w:color w:val="auto"/>
              </w:rPr>
            </w:pPr>
            <w:r>
              <w:rPr>
                <w:rFonts w:ascii="Arial" w:cs="Arial" w:eastAsia="Arial" w:hAnsi="Arial"/>
                <w:sz w:val="18"/>
                <w:szCs w:val="18"/>
                <w:b w:val="1"/>
                <w:bCs w:val="1"/>
                <w:color w:val="auto"/>
              </w:rPr>
              <w:t xml:space="preserve">Net interest margin after provisions </w:t>
            </w:r>
            <w:r>
              <w:rPr>
                <w:rFonts w:ascii="Arial" w:cs="Arial" w:eastAsia="Arial" w:hAnsi="Arial"/>
                <w:sz w:val="30"/>
                <w:szCs w:val="30"/>
                <w:b w:val="1"/>
                <w:bCs w:val="1"/>
                <w:color w:val="auto"/>
                <w:vertAlign w:val="superscript"/>
              </w:rPr>
              <w:t>(2)</w:t>
            </w:r>
          </w:p>
        </w:tc>
        <w:tc>
          <w:tcPr>
            <w:tcW w:w="11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gridSpan w:val="2"/>
            <w:vMerge w:val="continue"/>
            <w:shd w:val="clear" w:color="auto" w:fill="CCEEFF"/>
          </w:tcPr>
          <w:p>
            <w:pPr>
              <w:spacing w:after="0"/>
              <w:rPr>
                <w:sz w:val="21"/>
                <w:szCs w:val="21"/>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3.98%</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4.12%</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4.36%</w:t>
            </w:r>
          </w:p>
        </w:tc>
        <w:tc>
          <w:tcPr>
            <w:tcW w:w="16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+24 bps</w:t>
            </w:r>
          </w:p>
        </w:tc>
        <w:tc>
          <w:tcPr>
            <w:tcW w:w="9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+38 bps</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1Q15’s figure differs from previously reported. Consider the data presented on this report.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Annualized.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4.1  Interest Income</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Interest income increased +3.4% QoQ, which was due primarily to growth in interest income on loans (+2.2% QoQ), followed by higher income on derivatives, which is registered in the Other interest income line (+25.7% QoQ), and expansion in interest and dividends on investments (+63.7% QoQ).</w:t>
      </w:r>
    </w:p>
    <w:p>
      <w:pPr>
        <w:spacing w:after="0" w:line="143"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 xml:space="preserve">The +2.2% QoQ growth reported for </w:t>
      </w:r>
      <w:r>
        <w:rPr>
          <w:rFonts w:ascii="Arial" w:cs="Arial" w:eastAsia="Arial" w:hAnsi="Arial"/>
          <w:sz w:val="18"/>
          <w:szCs w:val="18"/>
          <w:b w:val="1"/>
          <w:bCs w:val="1"/>
          <w:color w:val="auto"/>
        </w:rPr>
        <w:t>Interest income on loans</w:t>
      </w:r>
      <w:r>
        <w:rPr>
          <w:rFonts w:ascii="Arial" w:cs="Arial" w:eastAsia="Arial" w:hAnsi="Arial"/>
          <w:sz w:val="18"/>
          <w:szCs w:val="18"/>
          <w:color w:val="auto"/>
        </w:rPr>
        <w:t xml:space="preserve"> was due to a +3.8% QoQ expansion in total loans measured in average daily balances, which was associated with an increase in the portfolio of:</w:t>
      </w:r>
    </w:p>
    <w:p>
      <w:pPr>
        <w:spacing w:after="0" w:line="166" w:lineRule="exact"/>
        <w:rPr>
          <w:sz w:val="20"/>
          <w:szCs w:val="20"/>
          <w:color w:val="auto"/>
        </w:rPr>
      </w:pPr>
    </w:p>
    <w:p>
      <w:pPr>
        <w:ind w:left="620" w:right="20" w:hanging="369"/>
        <w:spacing w:after="0" w:line="277" w:lineRule="auto"/>
        <w:tabs>
          <w:tab w:leader="none" w:pos="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BCP stand-alone - Wholesale Banking, mainly Corporate Banking (+7.8% QoQ), which was in line with portfolio growth in the first two months of 2Q15; and</w:t>
      </w:r>
    </w:p>
    <w:p>
      <w:pPr>
        <w:spacing w:after="0" w:line="170" w:lineRule="exact"/>
        <w:rPr>
          <w:rFonts w:ascii="Arial" w:cs="Arial" w:eastAsia="Arial" w:hAnsi="Arial"/>
          <w:sz w:val="18"/>
          <w:szCs w:val="18"/>
          <w:color w:val="auto"/>
        </w:rPr>
      </w:pPr>
    </w:p>
    <w:p>
      <w:pPr>
        <w:ind w:left="620" w:hanging="369"/>
        <w:spacing w:after="0"/>
        <w:tabs>
          <w:tab w:leader="none" w:pos="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Credit Card segment (+6.9% QoQ) at BCP stand-alone.</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aforementioned mitigated the decline in interest income generation at Mibanco (-1.2% QoQ), which was in line with a contraction of -1.3% QoQ in its average daily balances, as described above.</w:t>
      </w:r>
    </w:p>
    <w:p>
      <w:pPr>
        <w:spacing w:after="0" w:line="16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Growth in </w:t>
      </w:r>
      <w:r>
        <w:rPr>
          <w:rFonts w:ascii="Arial" w:cs="Arial" w:eastAsia="Arial" w:hAnsi="Arial"/>
          <w:sz w:val="18"/>
          <w:szCs w:val="18"/>
          <w:b w:val="1"/>
          <w:bCs w:val="1"/>
          <w:color w:val="auto"/>
        </w:rPr>
        <w:t>Other interest income</w:t>
      </w:r>
      <w:r>
        <w:rPr>
          <w:rFonts w:ascii="Arial" w:cs="Arial" w:eastAsia="Arial" w:hAnsi="Arial"/>
          <w:sz w:val="18"/>
          <w:szCs w:val="18"/>
          <w:color w:val="auto"/>
        </w:rPr>
        <w:t xml:space="preserve"> (+25.7% QoQ) was attributable to net gains on forwards that correspond to transactions made with BCRP (currency swaps). These instruments provide funding in Nuevos Soles, which Credicorp covers with forwards made with private institutional clients (mainly foreign clients). Higher income from these currency swaps was due mainly to the long position, which generates gains from the appreciation of the US Dollar that are larger than the interest paid to obtain funds in Nuevos Soles. It is important to note that these instruments are used primarily by BCP, and are in line with BCRP’s monetary policy to reduce excess volatility in the exchange rate. It is important to note that BCRP established limits for the forwards business, which will begin to reduce the income generated by this business.</w:t>
      </w:r>
    </w:p>
    <w:p>
      <w:pPr>
        <w:spacing w:after="0" w:line="200" w:lineRule="exact"/>
        <w:rPr>
          <w:sz w:val="20"/>
          <w:szCs w:val="20"/>
          <w:color w:val="auto"/>
        </w:rPr>
      </w:pPr>
    </w:p>
    <w:p>
      <w:pPr>
        <w:spacing w:after="0" w:line="201" w:lineRule="exact"/>
        <w:rPr>
          <w:sz w:val="20"/>
          <w:szCs w:val="20"/>
          <w:color w:val="auto"/>
        </w:rPr>
      </w:pPr>
    </w:p>
    <w:p>
      <w:pPr>
        <w:ind w:left="11200"/>
        <w:spacing w:after="0"/>
        <w:rPr>
          <w:sz w:val="20"/>
          <w:szCs w:val="20"/>
          <w:color w:val="auto"/>
        </w:rPr>
      </w:pPr>
      <w:r>
        <w:rPr>
          <w:rFonts w:ascii="Arial" w:cs="Arial" w:eastAsia="Arial" w:hAnsi="Arial"/>
          <w:sz w:val="19"/>
          <w:szCs w:val="19"/>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0" w:name="page31"/>
    <w:bookmarkEnd w:id="30"/>
    <w:p>
      <w:pPr>
        <w:jc w:val="both"/>
        <w:ind w:right="20"/>
        <w:spacing w:after="0" w:line="282" w:lineRule="auto"/>
        <w:rPr>
          <w:sz w:val="20"/>
          <w:szCs w:val="20"/>
          <w:color w:val="auto"/>
        </w:rPr>
      </w:pPr>
      <w:r>
        <w:rPr>
          <w:rFonts w:ascii="Arial" w:cs="Arial" w:eastAsia="Arial" w:hAnsi="Arial"/>
          <w:sz w:val="18"/>
          <w:szCs w:val="18"/>
          <w:b w:val="1"/>
          <w:bCs w:val="1"/>
          <w:color w:val="auto"/>
        </w:rPr>
        <w:t xml:space="preserve">Interest and dividend income on investments </w:t>
      </w:r>
      <w:r>
        <w:rPr>
          <w:rFonts w:ascii="Arial" w:cs="Arial" w:eastAsia="Arial" w:hAnsi="Arial"/>
          <w:sz w:val="18"/>
          <w:szCs w:val="18"/>
          <w:color w:val="auto"/>
        </w:rPr>
        <w:t>increased +63.7% QoQ. This was primarily due to dividends on Credicorp’s investments. Additionally, Grupo</w:t>
      </w:r>
      <w:r>
        <w:rPr>
          <w:rFonts w:ascii="Arial" w:cs="Arial" w:eastAsia="Arial" w:hAnsi="Arial"/>
          <w:sz w:val="18"/>
          <w:szCs w:val="18"/>
          <w:b w:val="1"/>
          <w:bCs w:val="1"/>
          <w:color w:val="auto"/>
        </w:rPr>
        <w:t xml:space="preserve"> </w:t>
      </w:r>
      <w:r>
        <w:rPr>
          <w:rFonts w:ascii="Arial" w:cs="Arial" w:eastAsia="Arial" w:hAnsi="Arial"/>
          <w:sz w:val="18"/>
          <w:szCs w:val="18"/>
          <w:color w:val="auto"/>
        </w:rPr>
        <w:t>Pacifico reported higher dividend income in April 2015.</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Higher income from </w:t>
      </w:r>
      <w:r>
        <w:rPr>
          <w:rFonts w:ascii="Arial" w:cs="Arial" w:eastAsia="Arial" w:hAnsi="Arial"/>
          <w:sz w:val="18"/>
          <w:szCs w:val="18"/>
          <w:b w:val="1"/>
          <w:bCs w:val="1"/>
          <w:color w:val="auto"/>
        </w:rPr>
        <w:t>Interest on trading securities</w:t>
      </w:r>
      <w:r>
        <w:rPr>
          <w:rFonts w:ascii="Arial" w:cs="Arial" w:eastAsia="Arial" w:hAnsi="Arial"/>
          <w:sz w:val="18"/>
          <w:szCs w:val="18"/>
          <w:color w:val="auto"/>
        </w:rPr>
        <w:t xml:space="preserve"> (+2% QoQ) came mainly from Grupo Pacífico that registered significant growth in interest income from its investments at its Life business, in particular fixed income instruments, that are related to its annuities business line.</w:t>
      </w:r>
    </w:p>
    <w:p>
      <w:pPr>
        <w:spacing w:after="0" w:line="166"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An analysis of the YoY scenario indicates that interest income grew +14.4%, mainly due to (i) higher interest income from loans (+10.0%), which was basically attributable to +17.2% expansion YoY in Credicorp’s average daily balances; (ii) the increase in Other income, which was due to growth in investments in currency swaps with BCRP, which took place mainly in 1H15; and (iii) the increase in interest on trading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4.2  Interest Expenses</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Interest expenses increased +4.8% QoQ primarily as a result of higher expenses for </w:t>
      </w:r>
      <w:r>
        <w:rPr>
          <w:rFonts w:ascii="Arial" w:cs="Arial" w:eastAsia="Arial" w:hAnsi="Arial"/>
          <w:sz w:val="18"/>
          <w:szCs w:val="18"/>
          <w:b w:val="1"/>
          <w:bCs w:val="1"/>
          <w:color w:val="auto"/>
        </w:rPr>
        <w:t>Interest on borrowed funds</w:t>
      </w:r>
      <w:r>
        <w:rPr>
          <w:rFonts w:ascii="Arial" w:cs="Arial" w:eastAsia="Arial" w:hAnsi="Arial"/>
          <w:sz w:val="18"/>
          <w:szCs w:val="18"/>
          <w:color w:val="auto"/>
        </w:rPr>
        <w:t xml:space="preserve"> (+14.4% QoQ). This was due to an increase in the level of BCRP instruments (+25.8% QoQ) to obtain the necessary funding in LC to support loan growth and that was mainly attributable to BCP and Mibanco.</w:t>
      </w:r>
    </w:p>
    <w:p>
      <w:pPr>
        <w:spacing w:after="0" w:line="17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Interest on bonds and subordinated notes </w:t>
      </w:r>
      <w:r>
        <w:rPr>
          <w:rFonts w:ascii="Arial" w:cs="Arial" w:eastAsia="Arial" w:hAnsi="Arial"/>
          <w:sz w:val="18"/>
          <w:szCs w:val="18"/>
          <w:color w:val="auto"/>
        </w:rPr>
        <w:t>grew slightly by +1.3% QoQ due to the appreciation of the US Dollar, as explained in section Funding – Other</w:t>
      </w:r>
      <w:r>
        <w:rPr>
          <w:rFonts w:ascii="Arial" w:cs="Arial" w:eastAsia="Arial" w:hAnsi="Arial"/>
          <w:sz w:val="18"/>
          <w:szCs w:val="18"/>
          <w:b w:val="1"/>
          <w:bCs w:val="1"/>
          <w:color w:val="auto"/>
        </w:rPr>
        <w:t xml:space="preserve"> </w:t>
      </w:r>
      <w:r>
        <w:rPr>
          <w:rFonts w:ascii="Arial" w:cs="Arial" w:eastAsia="Arial" w:hAnsi="Arial"/>
          <w:sz w:val="18"/>
          <w:szCs w:val="18"/>
          <w:color w:val="auto"/>
        </w:rPr>
        <w:t>sources of funding. In real terms this line contracted QoQ.</w:t>
      </w:r>
    </w:p>
    <w:p>
      <w:pPr>
        <w:spacing w:after="0" w:line="162"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 xml:space="preserve">Interest expenses on deposits </w:t>
      </w:r>
      <w:r>
        <w:rPr>
          <w:rFonts w:ascii="Arial" w:cs="Arial" w:eastAsia="Arial" w:hAnsi="Arial"/>
          <w:sz w:val="18"/>
          <w:szCs w:val="18"/>
          <w:color w:val="auto"/>
        </w:rPr>
        <w:t>remained stable QoQ (+0.3%), in line with the restructuring of liabilities in 2Q15 to favor nil and lower-cost funding. Thus,</w:t>
      </w:r>
      <w:r>
        <w:rPr>
          <w:rFonts w:ascii="Arial" w:cs="Arial" w:eastAsia="Arial" w:hAnsi="Arial"/>
          <w:sz w:val="18"/>
          <w:szCs w:val="18"/>
          <w:b w:val="1"/>
          <w:bCs w:val="1"/>
          <w:color w:val="auto"/>
        </w:rPr>
        <w:t xml:space="preserve"> </w:t>
      </w:r>
      <w:r>
        <w:rPr>
          <w:rFonts w:ascii="Arial" w:cs="Arial" w:eastAsia="Arial" w:hAnsi="Arial"/>
          <w:sz w:val="18"/>
          <w:szCs w:val="18"/>
          <w:color w:val="auto"/>
        </w:rPr>
        <w:t>Non-interest bearing deposits expanded +10.3% QoQ and Time deposits decreased -6.5% QoQ; all of which resulted in lower interest expenses that offset the increase in interest expenses for CTS deposits, which grow every May.</w:t>
      </w:r>
    </w:p>
    <w:p>
      <w:pPr>
        <w:spacing w:after="0" w:line="1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 examination of the YoY scenario indicates that interest expenses increased +15.4%. This was primarily due to an increase in interest expenses related to the larger use of BCRP Instruments in 2015. The aforementioned was mitigated by the decrease in the Other interest expenses line, which was mainly due to lower expenses for derivative instruments.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4.3  Net Interest Margin (NIM)</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Credicorp’s NIM</w:t>
      </w:r>
      <w:r>
        <w:rPr>
          <w:rFonts w:ascii="Arial" w:cs="Arial" w:eastAsia="Arial" w:hAnsi="Arial"/>
          <w:sz w:val="30"/>
          <w:szCs w:val="30"/>
          <w:b w:val="1"/>
          <w:bCs w:val="1"/>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5402580" cy="19812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402580" cy="198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20" w:hanging="112"/>
        <w:spacing w:after="0"/>
        <w:tabs>
          <w:tab w:leader="none" w:pos="120" w:val="left"/>
        </w:tabs>
        <w:numPr>
          <w:ilvl w:val="0"/>
          <w:numId w:val="37"/>
        </w:numPr>
        <w:rPr>
          <w:rFonts w:ascii="Arial" w:cs="Arial" w:eastAsia="Arial" w:hAnsi="Arial"/>
          <w:sz w:val="30"/>
          <w:szCs w:val="30"/>
          <w:color w:val="auto"/>
          <w:vertAlign w:val="superscript"/>
        </w:rPr>
      </w:pPr>
      <w:r>
        <w:rPr>
          <w:rFonts w:ascii="Arial" w:cs="Arial" w:eastAsia="Arial" w:hAnsi="Arial"/>
          <w:sz w:val="18"/>
          <w:szCs w:val="18"/>
          <w:color w:val="auto"/>
        </w:rPr>
        <w:t>NIM on loans is calculated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1463040</wp:posOffset>
            </wp:positionH>
            <wp:positionV relativeFrom="paragraph">
              <wp:posOffset>137160</wp:posOffset>
            </wp:positionV>
            <wp:extent cx="4364990" cy="2057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36499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share of loans within total earning assets is calculated by dividing the average of the beginning and closing balances of total loans for the reporting period, by the average of the beginning and closing balances of the interest earning assets for the reporting period.</w:t>
      </w:r>
    </w:p>
    <w:p>
      <w:pPr>
        <w:spacing w:after="0" w:line="37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1" w:name="page32"/>
    <w:bookmarkEnd w:id="31"/>
    <w:p>
      <w:pPr>
        <w:spacing w:after="0" w:line="282" w:lineRule="auto"/>
        <w:rPr>
          <w:sz w:val="20"/>
          <w:szCs w:val="20"/>
          <w:color w:val="auto"/>
        </w:rPr>
      </w:pPr>
      <w:r>
        <w:rPr>
          <w:rFonts w:ascii="Arial" w:cs="Arial" w:eastAsia="Arial" w:hAnsi="Arial"/>
          <w:sz w:val="18"/>
          <w:szCs w:val="18"/>
          <w:b w:val="1"/>
          <w:bCs w:val="1"/>
          <w:color w:val="auto"/>
        </w:rPr>
        <w:t xml:space="preserve">Global NIM </w:t>
      </w:r>
      <w:r>
        <w:rPr>
          <w:rFonts w:ascii="Arial" w:cs="Arial" w:eastAsia="Arial" w:hAnsi="Arial"/>
          <w:sz w:val="18"/>
          <w:szCs w:val="18"/>
          <w:color w:val="auto"/>
        </w:rPr>
        <w:t>was situated at 5.70% in 2Q15, which was slightly lower than the figure reported in 1Q15 (5.73%). This was attributable to the higher growth in</w:t>
      </w:r>
      <w:r>
        <w:rPr>
          <w:rFonts w:ascii="Arial" w:cs="Arial" w:eastAsia="Arial" w:hAnsi="Arial"/>
          <w:sz w:val="18"/>
          <w:szCs w:val="18"/>
          <w:b w:val="1"/>
          <w:bCs w:val="1"/>
          <w:color w:val="auto"/>
        </w:rPr>
        <w:t xml:space="preserve"> </w:t>
      </w:r>
      <w:r>
        <w:rPr>
          <w:rFonts w:ascii="Arial" w:cs="Arial" w:eastAsia="Arial" w:hAnsi="Arial"/>
          <w:sz w:val="18"/>
          <w:szCs w:val="18"/>
          <w:color w:val="auto"/>
        </w:rPr>
        <w:t>Wholesale Banking and Mortgage segment, which have smaller margins.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NIM on loans </w:t>
      </w:r>
      <w:r>
        <w:rPr>
          <w:rFonts w:ascii="Arial" w:cs="Arial" w:eastAsia="Arial" w:hAnsi="Arial"/>
          <w:sz w:val="18"/>
          <w:szCs w:val="18"/>
          <w:color w:val="auto"/>
        </w:rPr>
        <w:t>also showed a slight reduction (-2bps), in line with the explanation above.</w:t>
      </w:r>
    </w:p>
    <w:p>
      <w:pPr>
        <w:spacing w:after="0" w:line="225"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NIM after net provisions </w:t>
      </w:r>
      <w:r>
        <w:rPr>
          <w:rFonts w:ascii="Arial" w:cs="Arial" w:eastAsia="Arial" w:hAnsi="Arial"/>
          <w:sz w:val="18"/>
          <w:szCs w:val="18"/>
          <w:color w:val="auto"/>
        </w:rPr>
        <w:t>showed growth of +22 bps QoQ. This was mainly attributable to a decrease in provisions, which incorporated higher requirements</w:t>
      </w:r>
      <w:r>
        <w:rPr>
          <w:rFonts w:ascii="Arial" w:cs="Arial" w:eastAsia="Arial" w:hAnsi="Arial"/>
          <w:sz w:val="18"/>
          <w:szCs w:val="18"/>
          <w:b w:val="1"/>
          <w:bCs w:val="1"/>
          <w:color w:val="auto"/>
        </w:rPr>
        <w:t xml:space="preserve"> </w:t>
      </w:r>
      <w:r>
        <w:rPr>
          <w:rFonts w:ascii="Arial" w:cs="Arial" w:eastAsia="Arial" w:hAnsi="Arial"/>
          <w:sz w:val="18"/>
          <w:szCs w:val="18"/>
          <w:color w:val="auto"/>
        </w:rPr>
        <w:t>from few and isolated cases of Corporate Banking in 1Q15.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It is important to analyze NIM by subsidiary. The table below includes the interest margins for each of Credicorp’s main subsidiaries:</w:t>
      </w:r>
    </w:p>
    <w:p>
      <w:pPr>
        <w:spacing w:after="0" w:line="151" w:lineRule="exact"/>
        <w:rPr>
          <w:sz w:val="20"/>
          <w:szCs w:val="20"/>
          <w:color w:val="auto"/>
        </w:rPr>
      </w:pPr>
    </w:p>
    <w:tbl>
      <w:tblPr>
        <w:tblLayout w:type="fixed"/>
        <w:tblInd w:w="660" w:type="dxa"/>
        <w:tblCellMar>
          <w:top w:w="0" w:type="dxa"/>
          <w:left w:w="0" w:type="dxa"/>
          <w:bottom w:w="0" w:type="dxa"/>
          <w:right w:w="0" w:type="dxa"/>
        </w:tblCellMar>
      </w:tblPr>
      <w:tr>
        <w:trPr>
          <w:trHeight w:val="345"/>
        </w:trPr>
        <w:tc>
          <w:tcPr>
            <w:tcW w:w="2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NIM Breakdown</w:t>
            </w:r>
          </w:p>
        </w:tc>
        <w:tc>
          <w:tcPr>
            <w:tcW w:w="100" w:type="dxa"/>
            <w:vAlign w:val="bottom"/>
            <w:tcBorders>
              <w:bottom w:val="single" w:sz="8" w:color="CCEEFF"/>
            </w:tcBorders>
          </w:tcPr>
          <w:p>
            <w:pPr>
              <w:spacing w:after="0"/>
              <w:rPr>
                <w:sz w:val="24"/>
                <w:szCs w:val="24"/>
                <w:color w:val="auto"/>
              </w:rPr>
            </w:pPr>
          </w:p>
        </w:tc>
        <w:tc>
          <w:tcPr>
            <w:tcW w:w="13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92"/>
              </w:rPr>
              <w:t>BCP stand-alone</w:t>
            </w:r>
          </w:p>
        </w:tc>
        <w:tc>
          <w:tcPr>
            <w:tcW w:w="260" w:type="dxa"/>
            <w:vAlign w:val="bottom"/>
            <w:tcBorders>
              <w:bottom w:val="single" w:sz="8" w:color="CCEEFF"/>
            </w:tcBorders>
          </w:tcPr>
          <w:p>
            <w:pPr>
              <w:spacing w:after="0"/>
              <w:rPr>
                <w:sz w:val="24"/>
                <w:szCs w:val="24"/>
                <w:color w:val="auto"/>
              </w:rPr>
            </w:pPr>
          </w:p>
        </w:tc>
        <w:tc>
          <w:tcPr>
            <w:tcW w:w="132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Mibanco</w:t>
            </w:r>
          </w:p>
        </w:tc>
        <w:tc>
          <w:tcPr>
            <w:tcW w:w="260" w:type="dxa"/>
            <w:vAlign w:val="bottom"/>
            <w:tcBorders>
              <w:bottom w:val="single" w:sz="8" w:color="CCEEFF"/>
            </w:tcBorders>
          </w:tcPr>
          <w:p>
            <w:pPr>
              <w:spacing w:after="0"/>
              <w:rPr>
                <w:sz w:val="24"/>
                <w:szCs w:val="24"/>
                <w:color w:val="auto"/>
              </w:rPr>
            </w:pPr>
          </w:p>
        </w:tc>
        <w:tc>
          <w:tcPr>
            <w:tcW w:w="13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BCP Bolivia</w:t>
            </w:r>
          </w:p>
        </w:tc>
        <w:tc>
          <w:tcPr>
            <w:tcW w:w="260" w:type="dxa"/>
            <w:vAlign w:val="bottom"/>
            <w:tcBorders>
              <w:bottom w:val="single" w:sz="8" w:color="CCEEFF"/>
            </w:tcBorders>
          </w:tcPr>
          <w:p>
            <w:pPr>
              <w:spacing w:after="0"/>
              <w:rPr>
                <w:sz w:val="24"/>
                <w:szCs w:val="24"/>
                <w:color w:val="auto"/>
              </w:rPr>
            </w:pPr>
          </w:p>
        </w:tc>
        <w:tc>
          <w:tcPr>
            <w:tcW w:w="130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ASB</w:t>
            </w:r>
          </w:p>
        </w:tc>
        <w:tc>
          <w:tcPr>
            <w:tcW w:w="260" w:type="dxa"/>
            <w:vAlign w:val="bottom"/>
            <w:tcBorders>
              <w:bottom w:val="single" w:sz="8" w:color="CCEEFF"/>
            </w:tcBorders>
          </w:tcPr>
          <w:p>
            <w:pPr>
              <w:spacing w:after="0"/>
              <w:rPr>
                <w:sz w:val="24"/>
                <w:szCs w:val="24"/>
                <w:color w:val="auto"/>
              </w:rPr>
            </w:pPr>
          </w:p>
        </w:tc>
        <w:tc>
          <w:tcPr>
            <w:tcW w:w="134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Credicorp</w:t>
            </w:r>
            <w:r>
              <w:rPr>
                <w:rFonts w:ascii="Arial" w:cs="Arial" w:eastAsia="Arial" w:hAnsi="Arial"/>
                <w:sz w:val="30"/>
                <w:szCs w:val="30"/>
                <w:b w:val="1"/>
                <w:bCs w:val="1"/>
                <w:color w:val="auto"/>
                <w:vertAlign w:val="superscript"/>
              </w:rPr>
              <w:t>(2)</w:t>
            </w:r>
          </w:p>
        </w:tc>
        <w:tc>
          <w:tcPr>
            <w:tcW w:w="180" w:type="dxa"/>
            <w:vAlign w:val="bottom"/>
            <w:tcBorders>
              <w:bottom w:val="single" w:sz="8" w:color="CCEEFF"/>
            </w:tcBorders>
          </w:tcPr>
          <w:p>
            <w:pPr>
              <w:spacing w:after="0"/>
              <w:rPr>
                <w:sz w:val="24"/>
                <w:szCs w:val="24"/>
                <w:color w:val="auto"/>
              </w:rPr>
            </w:pPr>
          </w:p>
        </w:tc>
      </w:tr>
      <w:tr>
        <w:trPr>
          <w:trHeight w:val="210"/>
        </w:trPr>
        <w:tc>
          <w:tcPr>
            <w:tcW w:w="2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NIM for 2Q14</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4.96%</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13.40%</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5.01%</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5.67%</w:t>
            </w:r>
          </w:p>
        </w:tc>
      </w:tr>
      <w:tr>
        <w:trPr>
          <w:trHeight w:val="257"/>
        </w:trPr>
        <w:tc>
          <w:tcPr>
            <w:tcW w:w="2620" w:type="dxa"/>
            <w:vAlign w:val="bottom"/>
            <w:gridSpan w:val="2"/>
          </w:tcPr>
          <w:p>
            <w:pPr>
              <w:spacing w:after="0" w:line="256" w:lineRule="exact"/>
              <w:rPr>
                <w:sz w:val="20"/>
                <w:szCs w:val="20"/>
                <w:color w:val="auto"/>
              </w:rPr>
            </w:pPr>
            <w:r>
              <w:rPr>
                <w:rFonts w:ascii="Arial" w:cs="Arial" w:eastAsia="Arial" w:hAnsi="Arial"/>
                <w:sz w:val="18"/>
                <w:szCs w:val="18"/>
                <w:b w:val="1"/>
                <w:bCs w:val="1"/>
                <w:color w:val="auto"/>
              </w:rPr>
              <w:t>NIM for 1Q15</w:t>
            </w:r>
            <w:r>
              <w:rPr>
                <w:rFonts w:ascii="Arial" w:cs="Arial" w:eastAsia="Arial" w:hAnsi="Arial"/>
                <w:sz w:val="29"/>
                <w:szCs w:val="29"/>
                <w:b w:val="1"/>
                <w:bCs w:val="1"/>
                <w:color w:val="auto"/>
                <w:vertAlign w:val="superscript"/>
              </w:rPr>
              <w:t>(1)</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5.06%</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14.18%</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4.59%</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2.15%</w:t>
            </w:r>
          </w:p>
        </w:tc>
        <w:tc>
          <w:tcPr>
            <w:tcW w:w="1520" w:type="dxa"/>
            <w:vAlign w:val="bottom"/>
            <w:gridSpan w:val="2"/>
          </w:tcPr>
          <w:p>
            <w:pPr>
              <w:jc w:val="right"/>
              <w:spacing w:after="0"/>
              <w:rPr>
                <w:sz w:val="20"/>
                <w:szCs w:val="20"/>
                <w:color w:val="auto"/>
              </w:rPr>
            </w:pPr>
            <w:r>
              <w:rPr>
                <w:rFonts w:ascii="Arial" w:cs="Arial" w:eastAsia="Arial" w:hAnsi="Arial"/>
                <w:sz w:val="18"/>
                <w:szCs w:val="18"/>
                <w:b w:val="1"/>
                <w:bCs w:val="1"/>
                <w:color w:val="auto"/>
              </w:rPr>
              <w:t>5.73%</w:t>
            </w:r>
          </w:p>
        </w:tc>
      </w:tr>
      <w:tr>
        <w:trPr>
          <w:trHeight w:val="216"/>
        </w:trPr>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NIM for 2Q15</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4.94%</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14.16%</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4.45%</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5.70%</w:t>
            </w:r>
          </w:p>
        </w:tc>
      </w:tr>
    </w:tbl>
    <w:p>
      <w:pPr>
        <w:spacing w:after="0" w:line="202" w:lineRule="exact"/>
        <w:rPr>
          <w:sz w:val="20"/>
          <w:szCs w:val="20"/>
          <w:color w:val="auto"/>
        </w:rPr>
      </w:pPr>
    </w:p>
    <w:p>
      <w:pPr>
        <w:ind w:left="920" w:hanging="264"/>
        <w:spacing w:after="0"/>
        <w:tabs>
          <w:tab w:leader="none" w:pos="9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1Q15 Mibancos’s NIM differ from the previously reported. Consider the data published on this report.</w:t>
      </w:r>
    </w:p>
    <w:p>
      <w:pPr>
        <w:spacing w:after="0" w:line="23" w:lineRule="exact"/>
        <w:rPr>
          <w:rFonts w:ascii="Arial" w:cs="Arial" w:eastAsia="Arial" w:hAnsi="Arial"/>
          <w:sz w:val="18"/>
          <w:szCs w:val="18"/>
          <w:color w:val="auto"/>
        </w:rPr>
      </w:pPr>
    </w:p>
    <w:p>
      <w:pPr>
        <w:ind w:left="920" w:hanging="264"/>
        <w:spacing w:after="0"/>
        <w:tabs>
          <w:tab w:leader="none" w:pos="9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Credicorp also includes Grupo Pacífico, Credicorp Capital, Prima, Grupo Crédito and eliminations for consolidation purposes.</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evolution of global NIM by subsidiary reflects that the decrease of -3 bps QoQ at Credicorp is primarily attributable to BCP stand-alone, which represents 69% of Credicorp’s net interest income, and posted a -12 bps decrease in its NIM QoQ. The aforementioned was due mainly to higher loan growth in lower margin segments, as Wholesale Banking (both Corporate and Middle) and Mortgage.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Mibanco’s NIM fell slightly (-2 bps QoQ) due to a decline in its net interest income, which was in line with the contraction of its loan book in terms of average daily balances.</w:t>
      </w:r>
    </w:p>
    <w:p>
      <w:pPr>
        <w:spacing w:after="0" w:line="166" w:lineRule="exact"/>
        <w:rPr>
          <w:sz w:val="20"/>
          <w:szCs w:val="20"/>
          <w:color w:val="auto"/>
        </w:rPr>
      </w:pPr>
    </w:p>
    <w:p>
      <w:pPr>
        <w:ind w:left="660" w:hanging="652"/>
        <w:spacing w:after="0"/>
        <w:tabs>
          <w:tab w:leader="none" w:pos="66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Non-Financial Income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Fee income, which is the main source of non-financial income, grew +5.2% QoQ and +17.8% YoY. This recovery helped offset the contraction in other lines of non-financial income. In this context, non-financial income fell -13.5% QoQ, which was due primarily to the fact that non-recurring income was reported last quarter generated by the joint venture between Grupo Pacífico and Banmédica. The YoY evolution reported growth of +9.4% due to an increase in fee income.</w:t>
      </w:r>
    </w:p>
    <w:p>
      <w:pPr>
        <w:spacing w:after="0" w:line="183" w:lineRule="exact"/>
        <w:rPr>
          <w:sz w:val="20"/>
          <w:szCs w:val="20"/>
          <w:color w:val="auto"/>
        </w:rPr>
      </w:pPr>
    </w:p>
    <w:tbl>
      <w:tblPr>
        <w:tblLayout w:type="fixed"/>
        <w:tblInd w:w="980" w:type="dxa"/>
        <w:tblCellMar>
          <w:top w:w="0" w:type="dxa"/>
          <w:left w:w="0" w:type="dxa"/>
          <w:bottom w:w="0" w:type="dxa"/>
          <w:right w:w="0" w:type="dxa"/>
        </w:tblCellMar>
      </w:tblPr>
      <w:tr>
        <w:trPr>
          <w:trHeight w:val="230"/>
        </w:trPr>
        <w:tc>
          <w:tcPr>
            <w:tcW w:w="3400" w:type="dxa"/>
            <w:vAlign w:val="bottom"/>
            <w:gridSpan w:val="2"/>
          </w:tcPr>
          <w:p>
            <w:pPr>
              <w:spacing w:after="0"/>
              <w:rPr>
                <w:sz w:val="20"/>
                <w:szCs w:val="20"/>
                <w:color w:val="auto"/>
              </w:rPr>
            </w:pPr>
            <w:r>
              <w:rPr>
                <w:rFonts w:ascii="Arial" w:cs="Arial" w:eastAsia="Arial" w:hAnsi="Arial"/>
                <w:sz w:val="18"/>
                <w:szCs w:val="18"/>
                <w:b w:val="1"/>
                <w:bCs w:val="1"/>
                <w:color w:val="auto"/>
              </w:rPr>
              <w:t>Non financial income</w:t>
            </w: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Quarter</w:t>
            </w: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gridSpan w:val="3"/>
          </w:tcPr>
          <w:p>
            <w:pPr>
              <w:ind w:left="820"/>
              <w:spacing w:after="0"/>
              <w:rPr>
                <w:sz w:val="20"/>
                <w:szCs w:val="20"/>
                <w:color w:val="auto"/>
              </w:rPr>
            </w:pPr>
            <w:r>
              <w:rPr>
                <w:rFonts w:ascii="Arial" w:cs="Arial" w:eastAsia="Arial" w:hAnsi="Arial"/>
                <w:sz w:val="18"/>
                <w:szCs w:val="18"/>
                <w:b w:val="1"/>
                <w:bCs w:val="1"/>
                <w:color w:val="auto"/>
                <w:w w:val="95"/>
              </w:rPr>
              <w:t>% change</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4"/>
        </w:trPr>
        <w:tc>
          <w:tcPr>
            <w:tcW w:w="3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000</w:t>
            </w:r>
          </w:p>
        </w:tc>
        <w:tc>
          <w:tcPr>
            <w:tcW w:w="10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2Q14</w:t>
            </w:r>
          </w:p>
        </w:tc>
        <w:tc>
          <w:tcPr>
            <w:tcW w:w="20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1Q15</w:t>
            </w:r>
          </w:p>
        </w:tc>
        <w:tc>
          <w:tcPr>
            <w:tcW w:w="20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2Q15</w:t>
            </w:r>
          </w:p>
        </w:tc>
        <w:tc>
          <w:tcPr>
            <w:tcW w:w="20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QoQ</w:t>
            </w:r>
          </w:p>
        </w:tc>
        <w:tc>
          <w:tcPr>
            <w:tcW w:w="2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YoY</w:t>
            </w:r>
          </w:p>
        </w:tc>
        <w:tc>
          <w:tcPr>
            <w:tcW w:w="200" w:type="dxa"/>
            <w:vAlign w:val="bottom"/>
            <w:tcBorders>
              <w:bottom w:val="single" w:sz="8" w:color="CCEEFF"/>
            </w:tcBorders>
          </w:tcPr>
          <w:p>
            <w:pPr>
              <w:spacing w:after="0"/>
              <w:rPr>
                <w:sz w:val="20"/>
                <w:szCs w:val="20"/>
                <w:color w:val="auto"/>
              </w:rPr>
            </w:pPr>
          </w:p>
        </w:tc>
      </w:tr>
      <w:tr>
        <w:trPr>
          <w:trHeight w:val="210"/>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Fee income, net</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612,585</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685,950</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721,344</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5.2%</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w:t>
            </w: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Net gain on foreign exchange transactions</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140,839</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200,446</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168,285</w:t>
            </w:r>
          </w:p>
        </w:tc>
        <w:tc>
          <w:tcPr>
            <w:tcW w:w="1340" w:type="dxa"/>
            <w:vAlign w:val="bottom"/>
            <w:gridSpan w:val="2"/>
          </w:tcPr>
          <w:p>
            <w:pPr>
              <w:jc w:val="right"/>
              <w:ind w:right="50"/>
              <w:spacing w:after="0"/>
              <w:rPr>
                <w:sz w:val="20"/>
                <w:szCs w:val="20"/>
                <w:color w:val="auto"/>
              </w:rPr>
            </w:pPr>
            <w:r>
              <w:rPr>
                <w:rFonts w:ascii="Arial" w:cs="Arial" w:eastAsia="Arial" w:hAnsi="Arial"/>
                <w:sz w:val="18"/>
                <w:szCs w:val="18"/>
                <w:color w:val="auto"/>
              </w:rPr>
              <w:t>-16.0%</w:t>
            </w:r>
          </w:p>
        </w:tc>
        <w:tc>
          <w:tcPr>
            <w:tcW w:w="3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19.5%</w:t>
            </w:r>
          </w:p>
        </w:tc>
      </w:tr>
      <w:tr>
        <w:trPr>
          <w:trHeight w:val="216"/>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gain on sales of securities</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56,103</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24,886</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20,744</w:t>
            </w:r>
          </w:p>
        </w:tc>
        <w:tc>
          <w:tcPr>
            <w:tcW w:w="1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-16.6%</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-63.0%</w:t>
            </w:r>
          </w:p>
        </w:tc>
      </w:tr>
      <w:tr>
        <w:trPr>
          <w:trHeight w:val="257"/>
        </w:trPr>
        <w:tc>
          <w:tcPr>
            <w:tcW w:w="3400" w:type="dxa"/>
            <w:vAlign w:val="bottom"/>
            <w:gridSpan w:val="2"/>
          </w:tcPr>
          <w:p>
            <w:pPr>
              <w:spacing w:after="0" w:line="256" w:lineRule="exact"/>
              <w:rPr>
                <w:sz w:val="20"/>
                <w:szCs w:val="20"/>
                <w:color w:val="auto"/>
              </w:rPr>
            </w:pPr>
            <w:r>
              <w:rPr>
                <w:rFonts w:ascii="Arial" w:cs="Arial" w:eastAsia="Arial" w:hAnsi="Arial"/>
                <w:sz w:val="18"/>
                <w:szCs w:val="18"/>
                <w:color w:val="auto"/>
              </w:rPr>
              <w:t>Net gain from subsidiaries</w:t>
            </w:r>
            <w:r>
              <w:rPr>
                <w:rFonts w:ascii="Arial" w:cs="Arial" w:eastAsia="Arial" w:hAnsi="Arial"/>
                <w:sz w:val="29"/>
                <w:szCs w:val="29"/>
                <w:color w:val="auto"/>
                <w:vertAlign w:val="superscript"/>
              </w:rPr>
              <w:t>(1)</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146,818</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(228)</w:t>
            </w:r>
          </w:p>
        </w:tc>
        <w:tc>
          <w:tcPr>
            <w:tcW w:w="1340" w:type="dxa"/>
            <w:vAlign w:val="bottom"/>
            <w:gridSpan w:val="2"/>
          </w:tcPr>
          <w:p>
            <w:pPr>
              <w:jc w:val="right"/>
              <w:ind w:right="50"/>
              <w:spacing w:after="0"/>
              <w:rPr>
                <w:sz w:val="20"/>
                <w:szCs w:val="20"/>
                <w:color w:val="auto"/>
              </w:rPr>
            </w:pPr>
            <w:r>
              <w:rPr>
                <w:rFonts w:ascii="Arial" w:cs="Arial" w:eastAsia="Arial" w:hAnsi="Arial"/>
                <w:sz w:val="18"/>
                <w:szCs w:val="18"/>
                <w:color w:val="auto"/>
              </w:rPr>
              <w:t>-100.2%</w:t>
            </w:r>
          </w:p>
        </w:tc>
        <w:tc>
          <w:tcPr>
            <w:tcW w:w="300" w:type="dxa"/>
            <w:vAlign w:val="bottom"/>
          </w:tcPr>
          <w:p>
            <w:pPr>
              <w:spacing w:after="0"/>
              <w:rPr>
                <w:sz w:val="22"/>
                <w:szCs w:val="22"/>
                <w:color w:val="auto"/>
              </w:rPr>
            </w:pPr>
          </w:p>
        </w:tc>
        <w:tc>
          <w:tcPr>
            <w:tcW w:w="9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r>
      <w:tr>
        <w:trPr>
          <w:trHeight w:val="270"/>
        </w:trPr>
        <w:tc>
          <w:tcPr>
            <w:tcW w:w="3400" w:type="dxa"/>
            <w:vAlign w:val="bottom"/>
            <w:gridSpan w:val="2"/>
            <w:shd w:val="clear" w:color="auto" w:fill="CCEEFF"/>
          </w:tcPr>
          <w:p>
            <w:pPr>
              <w:spacing w:after="0" w:line="269" w:lineRule="exact"/>
              <w:rPr>
                <w:sz w:val="20"/>
                <w:szCs w:val="20"/>
                <w:color w:val="auto"/>
              </w:rPr>
            </w:pPr>
            <w:r>
              <w:rPr>
                <w:rFonts w:ascii="Arial" w:cs="Arial" w:eastAsia="Arial" w:hAnsi="Arial"/>
                <w:sz w:val="18"/>
                <w:szCs w:val="18"/>
                <w:color w:val="auto"/>
              </w:rPr>
              <w:t xml:space="preserve">Other income </w:t>
            </w:r>
            <w:r>
              <w:rPr>
                <w:rFonts w:ascii="Arial" w:cs="Arial" w:eastAsia="Arial" w:hAnsi="Arial"/>
                <w:sz w:val="30"/>
                <w:szCs w:val="30"/>
                <w:color w:val="auto"/>
                <w:vertAlign w:val="superscript"/>
              </w:rPr>
              <w:t>(2)</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64,104</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46,582</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45,189</w:t>
            </w:r>
          </w:p>
        </w:tc>
        <w:tc>
          <w:tcPr>
            <w:tcW w:w="1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-3.0%</w:t>
            </w:r>
          </w:p>
        </w:tc>
        <w:tc>
          <w:tcPr>
            <w:tcW w:w="30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-29.5%</w:t>
            </w:r>
          </w:p>
        </w:tc>
      </w:tr>
      <w:tr>
        <w:trPr>
          <w:trHeight w:val="225"/>
        </w:trPr>
        <w:tc>
          <w:tcPr>
            <w:tcW w:w="3400" w:type="dxa"/>
            <w:vAlign w:val="bottom"/>
            <w:gridSpan w:val="2"/>
          </w:tcPr>
          <w:p>
            <w:pPr>
              <w:spacing w:after="0"/>
              <w:rPr>
                <w:sz w:val="20"/>
                <w:szCs w:val="20"/>
                <w:color w:val="auto"/>
              </w:rPr>
            </w:pPr>
            <w:r>
              <w:rPr>
                <w:rFonts w:ascii="Arial" w:cs="Arial" w:eastAsia="Arial" w:hAnsi="Arial"/>
                <w:sz w:val="18"/>
                <w:szCs w:val="18"/>
                <w:b w:val="1"/>
                <w:bCs w:val="1"/>
                <w:color w:val="auto"/>
              </w:rPr>
              <w:t>Total non financial income</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873,631</w:t>
            </w:r>
          </w:p>
        </w:tc>
        <w:tc>
          <w:tcPr>
            <w:tcW w:w="20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1,104,682</w:t>
            </w:r>
          </w:p>
        </w:tc>
        <w:tc>
          <w:tcPr>
            <w:tcW w:w="20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955,334</w:t>
            </w:r>
          </w:p>
        </w:tc>
        <w:tc>
          <w:tcPr>
            <w:tcW w:w="200" w:type="dxa"/>
            <w:vAlign w:val="bottom"/>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-13.5</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3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9.4</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2783840</wp:posOffset>
            </wp:positionH>
            <wp:positionV relativeFrom="paragraph">
              <wp:posOffset>-8890</wp:posOffset>
            </wp:positionV>
            <wp:extent cx="387604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ind w:left="980"/>
        <w:spacing w:after="0"/>
        <w:rPr>
          <w:sz w:val="20"/>
          <w:szCs w:val="20"/>
          <w:color w:val="auto"/>
        </w:rPr>
      </w:pPr>
      <w:r>
        <w:rPr>
          <w:rFonts w:ascii="Arial" w:cs="Arial" w:eastAsia="Arial" w:hAnsi="Arial"/>
          <w:sz w:val="18"/>
          <w:szCs w:val="18"/>
          <w:color w:val="auto"/>
        </w:rPr>
        <w:t>(1) Mainly includes the JV between Grupo Pacífico and Banmédica.</w:t>
      </w:r>
    </w:p>
    <w:p>
      <w:pPr>
        <w:spacing w:after="0" w:line="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(2)1Q15 figure differs from the previously reported. Consider the data published on this report.</w:t>
      </w:r>
    </w:p>
    <w:p>
      <w:pPr>
        <w:spacing w:after="0" w:line="20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Fee income, </w:t>
      </w:r>
      <w:r>
        <w:rPr>
          <w:rFonts w:ascii="Arial" w:cs="Arial" w:eastAsia="Arial" w:hAnsi="Arial"/>
          <w:sz w:val="18"/>
          <w:szCs w:val="18"/>
          <w:color w:val="auto"/>
        </w:rPr>
        <w:t>which is considered a core income, represented 76% of non-financial income, and posted growth of 5.2% QoQ. This was primarily due to an</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 in income at BCP and, to a lesser extent, in Credicorp Capital. Combined, the increase at these businesses represented almost 92% of the growth generated this quarter, as shown in the following chart.</w:t>
      </w:r>
    </w:p>
    <w:p>
      <w:pPr>
        <w:spacing w:after="0" w:line="38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Composition of fee income in 2Q15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751205</wp:posOffset>
            </wp:positionH>
            <wp:positionV relativeFrom="paragraph">
              <wp:posOffset>154940</wp:posOffset>
            </wp:positionV>
            <wp:extent cx="5780405" cy="14065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80405" cy="1406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Fee income at BCP increased +3.4% QoQ, which was due primarily to: (i) the Credit Card segment, which was in line with +6.9% growth QoQ in average daily balances; and (ii) due to the increase of +4.6% QoQ in miscellaneous accounts due to more transactions in savings accounts, checking accounts, debit cards and others.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includes a breakdown of fee income in the banking business:</w:t>
      </w:r>
    </w:p>
    <w:p>
      <w:pPr>
        <w:spacing w:after="0" w:line="221" w:lineRule="exact"/>
        <w:rPr>
          <w:sz w:val="20"/>
          <w:szCs w:val="20"/>
          <w:color w:val="auto"/>
        </w:rPr>
      </w:pPr>
    </w:p>
    <w:tbl>
      <w:tblPr>
        <w:tblLayout w:type="fixed"/>
        <w:tblInd w:w="980" w:type="dxa"/>
        <w:tblCellMar>
          <w:top w:w="0" w:type="dxa"/>
          <w:left w:w="0" w:type="dxa"/>
          <w:bottom w:w="0" w:type="dxa"/>
          <w:right w:w="0" w:type="dxa"/>
        </w:tblCellMar>
      </w:tblPr>
      <w:tr>
        <w:trPr>
          <w:trHeight w:val="230"/>
        </w:trPr>
        <w:tc>
          <w:tcPr>
            <w:tcW w:w="3400" w:type="dxa"/>
            <w:vAlign w:val="bottom"/>
            <w:gridSpan w:val="2"/>
          </w:tcPr>
          <w:p>
            <w:pPr>
              <w:spacing w:after="0"/>
              <w:rPr>
                <w:sz w:val="20"/>
                <w:szCs w:val="20"/>
                <w:color w:val="auto"/>
              </w:rPr>
            </w:pPr>
            <w:r>
              <w:rPr>
                <w:rFonts w:ascii="Arial" w:cs="Arial" w:eastAsia="Arial" w:hAnsi="Arial"/>
                <w:sz w:val="18"/>
                <w:szCs w:val="18"/>
                <w:b w:val="1"/>
                <w:bCs w:val="1"/>
                <w:color w:val="auto"/>
              </w:rPr>
              <w:t>Fee Income</w:t>
            </w: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Quarter</w:t>
            </w: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gridSpan w:val="3"/>
          </w:tcPr>
          <w:p>
            <w:pPr>
              <w:ind w:left="820"/>
              <w:spacing w:after="0"/>
              <w:rPr>
                <w:sz w:val="20"/>
                <w:szCs w:val="20"/>
                <w:color w:val="auto"/>
              </w:rPr>
            </w:pPr>
            <w:r>
              <w:rPr>
                <w:rFonts w:ascii="Arial" w:cs="Arial" w:eastAsia="Arial" w:hAnsi="Arial"/>
                <w:sz w:val="18"/>
                <w:szCs w:val="18"/>
                <w:b w:val="1"/>
                <w:bCs w:val="1"/>
                <w:color w:val="auto"/>
                <w:w w:val="95"/>
              </w:rPr>
              <w:t>% change</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4"/>
        </w:trPr>
        <w:tc>
          <w:tcPr>
            <w:tcW w:w="3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000</w:t>
            </w:r>
          </w:p>
        </w:tc>
        <w:tc>
          <w:tcPr>
            <w:tcW w:w="10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2Q14</w:t>
            </w:r>
          </w:p>
        </w:tc>
        <w:tc>
          <w:tcPr>
            <w:tcW w:w="20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1Q15</w:t>
            </w:r>
          </w:p>
        </w:tc>
        <w:tc>
          <w:tcPr>
            <w:tcW w:w="20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2Q15</w:t>
            </w:r>
          </w:p>
        </w:tc>
        <w:tc>
          <w:tcPr>
            <w:tcW w:w="20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QoQ</w:t>
            </w:r>
          </w:p>
        </w:tc>
        <w:tc>
          <w:tcPr>
            <w:tcW w:w="2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YoY</w:t>
            </w:r>
          </w:p>
        </w:tc>
        <w:tc>
          <w:tcPr>
            <w:tcW w:w="200" w:type="dxa"/>
            <w:vAlign w:val="bottom"/>
            <w:tcBorders>
              <w:bottom w:val="single" w:sz="8" w:color="CCEEFF"/>
            </w:tcBorders>
          </w:tcPr>
          <w:p>
            <w:pPr>
              <w:spacing w:after="0"/>
              <w:rPr>
                <w:sz w:val="20"/>
                <w:szCs w:val="20"/>
                <w:color w:val="auto"/>
              </w:rPr>
            </w:pPr>
          </w:p>
        </w:tc>
      </w:tr>
      <w:tr>
        <w:trPr>
          <w:trHeight w:val="250"/>
        </w:trPr>
        <w:tc>
          <w:tcPr>
            <w:tcW w:w="3300" w:type="dxa"/>
            <w:vAlign w:val="bottom"/>
            <w:shd w:val="clear" w:color="auto" w:fill="CCEEFF"/>
          </w:tcPr>
          <w:p>
            <w:pPr>
              <w:ind w:left="20"/>
              <w:spacing w:after="0" w:line="251" w:lineRule="exact"/>
              <w:rPr>
                <w:sz w:val="20"/>
                <w:szCs w:val="20"/>
                <w:color w:val="auto"/>
              </w:rPr>
            </w:pPr>
            <w:r>
              <w:rPr>
                <w:rFonts w:ascii="Arial" w:cs="Arial" w:eastAsia="Arial" w:hAnsi="Arial"/>
                <w:sz w:val="18"/>
                <w:szCs w:val="18"/>
                <w:color w:val="auto"/>
              </w:rPr>
              <w:t xml:space="preserve">Miscellaneous accounts </w:t>
            </w:r>
            <w:r>
              <w:rPr>
                <w:rFonts w:ascii="Arial" w:cs="Arial" w:eastAsia="Arial" w:hAnsi="Arial"/>
                <w:sz w:val="29"/>
                <w:szCs w:val="29"/>
                <w:color w:val="auto"/>
                <w:vertAlign w:val="superscript"/>
              </w:rPr>
              <w:t>(1)</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134,690</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148,616</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155,499</w:t>
            </w:r>
          </w:p>
        </w:tc>
        <w:tc>
          <w:tcPr>
            <w:tcW w:w="1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4.6%</w:t>
            </w:r>
          </w:p>
        </w:tc>
        <w:tc>
          <w:tcPr>
            <w:tcW w:w="3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w:t>
            </w:r>
          </w:p>
        </w:tc>
      </w:tr>
      <w:tr>
        <w:trPr>
          <w:trHeight w:val="257"/>
        </w:trPr>
        <w:tc>
          <w:tcPr>
            <w:tcW w:w="3400" w:type="dxa"/>
            <w:vAlign w:val="bottom"/>
            <w:gridSpan w:val="2"/>
          </w:tcPr>
          <w:p>
            <w:pPr>
              <w:ind w:left="20"/>
              <w:spacing w:after="0" w:line="256" w:lineRule="exact"/>
              <w:rPr>
                <w:sz w:val="20"/>
                <w:szCs w:val="20"/>
                <w:color w:val="auto"/>
              </w:rPr>
            </w:pPr>
            <w:r>
              <w:rPr>
                <w:rFonts w:ascii="Arial" w:cs="Arial" w:eastAsia="Arial" w:hAnsi="Arial"/>
                <w:sz w:val="18"/>
                <w:szCs w:val="18"/>
                <w:color w:val="auto"/>
              </w:rPr>
              <w:t xml:space="preserve">Credit cards </w:t>
            </w:r>
            <w:r>
              <w:rPr>
                <w:rFonts w:ascii="Arial" w:cs="Arial" w:eastAsia="Arial" w:hAnsi="Arial"/>
                <w:sz w:val="29"/>
                <w:szCs w:val="29"/>
                <w:color w:val="auto"/>
                <w:vertAlign w:val="superscript"/>
              </w:rPr>
              <w:t>(2)</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63,168</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56,476</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65,090</w:t>
            </w:r>
          </w:p>
        </w:tc>
        <w:tc>
          <w:tcPr>
            <w:tcW w:w="1340" w:type="dxa"/>
            <w:vAlign w:val="bottom"/>
            <w:gridSpan w:val="2"/>
          </w:tcPr>
          <w:p>
            <w:pPr>
              <w:jc w:val="right"/>
              <w:ind w:right="50"/>
              <w:spacing w:after="0"/>
              <w:rPr>
                <w:sz w:val="20"/>
                <w:szCs w:val="20"/>
                <w:color w:val="auto"/>
              </w:rPr>
            </w:pPr>
            <w:r>
              <w:rPr>
                <w:rFonts w:ascii="Arial" w:cs="Arial" w:eastAsia="Arial" w:hAnsi="Arial"/>
                <w:sz w:val="18"/>
                <w:szCs w:val="18"/>
                <w:color w:val="auto"/>
              </w:rPr>
              <w:t>15.3%</w:t>
            </w:r>
          </w:p>
        </w:tc>
        <w:tc>
          <w:tcPr>
            <w:tcW w:w="300" w:type="dxa"/>
            <w:vAlign w:val="bottom"/>
          </w:tcPr>
          <w:p>
            <w:pPr>
              <w:spacing w:after="0"/>
              <w:rPr>
                <w:sz w:val="22"/>
                <w:szCs w:val="22"/>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3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Drafts and transfers</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26,806</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29,979</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31,975</w:t>
            </w:r>
          </w:p>
        </w:tc>
        <w:tc>
          <w:tcPr>
            <w:tcW w:w="1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6.7%</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w:t>
            </w:r>
          </w:p>
        </w:tc>
      </w:tr>
      <w:tr>
        <w:trPr>
          <w:trHeight w:val="257"/>
        </w:trPr>
        <w:tc>
          <w:tcPr>
            <w:tcW w:w="3400" w:type="dxa"/>
            <w:vAlign w:val="bottom"/>
            <w:gridSpan w:val="2"/>
          </w:tcPr>
          <w:p>
            <w:pPr>
              <w:ind w:left="20"/>
              <w:spacing w:after="0" w:line="256" w:lineRule="exact"/>
              <w:rPr>
                <w:sz w:val="20"/>
                <w:szCs w:val="20"/>
                <w:color w:val="auto"/>
              </w:rPr>
            </w:pPr>
            <w:r>
              <w:rPr>
                <w:rFonts w:ascii="Arial" w:cs="Arial" w:eastAsia="Arial" w:hAnsi="Arial"/>
                <w:sz w:val="18"/>
                <w:szCs w:val="18"/>
                <w:color w:val="auto"/>
              </w:rPr>
              <w:t xml:space="preserve">Personal loans </w:t>
            </w:r>
            <w:r>
              <w:rPr>
                <w:rFonts w:ascii="Arial" w:cs="Arial" w:eastAsia="Arial" w:hAnsi="Arial"/>
                <w:sz w:val="29"/>
                <w:szCs w:val="29"/>
                <w:color w:val="auto"/>
                <w:vertAlign w:val="superscript"/>
              </w:rPr>
              <w:t>(2)</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18,802</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27,006</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24,138</w:t>
            </w:r>
          </w:p>
        </w:tc>
        <w:tc>
          <w:tcPr>
            <w:tcW w:w="1340" w:type="dxa"/>
            <w:vAlign w:val="bottom"/>
            <w:gridSpan w:val="2"/>
          </w:tcPr>
          <w:p>
            <w:pPr>
              <w:jc w:val="right"/>
              <w:ind w:right="50"/>
              <w:spacing w:after="0"/>
              <w:rPr>
                <w:sz w:val="20"/>
                <w:szCs w:val="20"/>
                <w:color w:val="auto"/>
              </w:rPr>
            </w:pPr>
            <w:r>
              <w:rPr>
                <w:rFonts w:ascii="Arial" w:cs="Arial" w:eastAsia="Arial" w:hAnsi="Arial"/>
                <w:sz w:val="18"/>
                <w:szCs w:val="18"/>
                <w:color w:val="auto"/>
              </w:rPr>
              <w:t>-10.6%</w:t>
            </w:r>
          </w:p>
        </w:tc>
        <w:tc>
          <w:tcPr>
            <w:tcW w:w="300" w:type="dxa"/>
            <w:vAlign w:val="bottom"/>
          </w:tcPr>
          <w:p>
            <w:pPr>
              <w:spacing w:after="0"/>
              <w:rPr>
                <w:sz w:val="22"/>
                <w:szCs w:val="22"/>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28.4%</w:t>
            </w:r>
          </w:p>
        </w:tc>
      </w:tr>
      <w:tr>
        <w:trPr>
          <w:trHeight w:val="257"/>
        </w:trPr>
        <w:tc>
          <w:tcPr>
            <w:tcW w:w="3400" w:type="dxa"/>
            <w:vAlign w:val="bottom"/>
            <w:gridSpan w:val="2"/>
            <w:shd w:val="clear" w:color="auto" w:fill="CCEEFF"/>
          </w:tcPr>
          <w:p>
            <w:pPr>
              <w:ind w:left="20"/>
              <w:spacing w:after="0" w:line="256" w:lineRule="exact"/>
              <w:rPr>
                <w:sz w:val="20"/>
                <w:szCs w:val="20"/>
                <w:color w:val="auto"/>
              </w:rPr>
            </w:pPr>
            <w:r>
              <w:rPr>
                <w:rFonts w:ascii="Arial" w:cs="Arial" w:eastAsia="Arial" w:hAnsi="Arial"/>
                <w:sz w:val="18"/>
                <w:szCs w:val="18"/>
                <w:color w:val="auto"/>
              </w:rPr>
              <w:t xml:space="preserve">SME loans </w:t>
            </w:r>
            <w:r>
              <w:rPr>
                <w:rFonts w:ascii="Arial" w:cs="Arial" w:eastAsia="Arial" w:hAnsi="Arial"/>
                <w:sz w:val="29"/>
                <w:szCs w:val="29"/>
                <w:color w:val="auto"/>
                <w:vertAlign w:val="superscript"/>
              </w:rPr>
              <w:t>(2)</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18,108</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19,087</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18,640</w:t>
            </w:r>
          </w:p>
        </w:tc>
        <w:tc>
          <w:tcPr>
            <w:tcW w:w="1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-2.3%</w:t>
            </w:r>
          </w:p>
        </w:tc>
        <w:tc>
          <w:tcPr>
            <w:tcW w:w="3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57"/>
        </w:trPr>
        <w:tc>
          <w:tcPr>
            <w:tcW w:w="3400" w:type="dxa"/>
            <w:vAlign w:val="bottom"/>
            <w:gridSpan w:val="2"/>
          </w:tcPr>
          <w:p>
            <w:pPr>
              <w:ind w:left="20"/>
              <w:spacing w:after="0" w:line="256" w:lineRule="exact"/>
              <w:rPr>
                <w:sz w:val="20"/>
                <w:szCs w:val="20"/>
                <w:color w:val="auto"/>
              </w:rPr>
            </w:pPr>
            <w:r>
              <w:rPr>
                <w:rFonts w:ascii="Arial" w:cs="Arial" w:eastAsia="Arial" w:hAnsi="Arial"/>
                <w:sz w:val="18"/>
                <w:szCs w:val="18"/>
                <w:color w:val="auto"/>
              </w:rPr>
              <w:t xml:space="preserve">Insurance </w:t>
            </w:r>
            <w:r>
              <w:rPr>
                <w:rFonts w:ascii="Arial" w:cs="Arial" w:eastAsia="Arial" w:hAnsi="Arial"/>
                <w:sz w:val="29"/>
                <w:szCs w:val="29"/>
                <w:color w:val="auto"/>
                <w:vertAlign w:val="superscript"/>
              </w:rPr>
              <w:t>(2)</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15,299</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17,191</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18,425</w:t>
            </w:r>
          </w:p>
        </w:tc>
        <w:tc>
          <w:tcPr>
            <w:tcW w:w="1340" w:type="dxa"/>
            <w:vAlign w:val="bottom"/>
            <w:gridSpan w:val="2"/>
          </w:tcPr>
          <w:p>
            <w:pPr>
              <w:jc w:val="right"/>
              <w:ind w:right="50"/>
              <w:spacing w:after="0"/>
              <w:rPr>
                <w:sz w:val="20"/>
                <w:szCs w:val="20"/>
                <w:color w:val="auto"/>
              </w:rPr>
            </w:pPr>
            <w:r>
              <w:rPr>
                <w:rFonts w:ascii="Arial" w:cs="Arial" w:eastAsia="Arial" w:hAnsi="Arial"/>
                <w:sz w:val="18"/>
                <w:szCs w:val="18"/>
                <w:color w:val="auto"/>
              </w:rPr>
              <w:t>7.2%</w:t>
            </w:r>
          </w:p>
        </w:tc>
        <w:tc>
          <w:tcPr>
            <w:tcW w:w="300" w:type="dxa"/>
            <w:vAlign w:val="bottom"/>
          </w:tcPr>
          <w:p>
            <w:pPr>
              <w:spacing w:after="0"/>
              <w:rPr>
                <w:sz w:val="22"/>
                <w:szCs w:val="22"/>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20.4%</w:t>
            </w:r>
          </w:p>
        </w:tc>
      </w:tr>
      <w:tr>
        <w:trPr>
          <w:trHeight w:val="257"/>
        </w:trPr>
        <w:tc>
          <w:tcPr>
            <w:tcW w:w="3400" w:type="dxa"/>
            <w:vAlign w:val="bottom"/>
            <w:gridSpan w:val="2"/>
            <w:shd w:val="clear" w:color="auto" w:fill="CCEEFF"/>
          </w:tcPr>
          <w:p>
            <w:pPr>
              <w:ind w:left="20"/>
              <w:spacing w:after="0" w:line="256" w:lineRule="exact"/>
              <w:rPr>
                <w:sz w:val="20"/>
                <w:szCs w:val="20"/>
                <w:color w:val="auto"/>
              </w:rPr>
            </w:pPr>
            <w:r>
              <w:rPr>
                <w:rFonts w:ascii="Arial" w:cs="Arial" w:eastAsia="Arial" w:hAnsi="Arial"/>
                <w:sz w:val="18"/>
                <w:szCs w:val="18"/>
                <w:color w:val="auto"/>
              </w:rPr>
              <w:t xml:space="preserve">Mortgage loans </w:t>
            </w:r>
            <w:r>
              <w:rPr>
                <w:rFonts w:ascii="Arial" w:cs="Arial" w:eastAsia="Arial" w:hAnsi="Arial"/>
                <w:sz w:val="29"/>
                <w:szCs w:val="29"/>
                <w:color w:val="auto"/>
                <w:vertAlign w:val="superscript"/>
              </w:rPr>
              <w:t>(2)</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10,325</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12,909</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9,244</w:t>
            </w:r>
          </w:p>
        </w:tc>
        <w:tc>
          <w:tcPr>
            <w:tcW w:w="1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-28.4%</w:t>
            </w:r>
          </w:p>
        </w:tc>
        <w:tc>
          <w:tcPr>
            <w:tcW w:w="3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57"/>
        </w:trPr>
        <w:tc>
          <w:tcPr>
            <w:tcW w:w="3400" w:type="dxa"/>
            <w:vAlign w:val="bottom"/>
            <w:gridSpan w:val="2"/>
          </w:tcPr>
          <w:p>
            <w:pPr>
              <w:ind w:left="20"/>
              <w:spacing w:after="0" w:line="256" w:lineRule="exact"/>
              <w:rPr>
                <w:sz w:val="20"/>
                <w:szCs w:val="20"/>
                <w:color w:val="auto"/>
              </w:rPr>
            </w:pPr>
            <w:r>
              <w:rPr>
                <w:rFonts w:ascii="Arial" w:cs="Arial" w:eastAsia="Arial" w:hAnsi="Arial"/>
                <w:sz w:val="18"/>
                <w:szCs w:val="18"/>
                <w:color w:val="auto"/>
              </w:rPr>
              <w:t xml:space="preserve">Off-balance sheet </w:t>
            </w:r>
            <w:r>
              <w:rPr>
                <w:rFonts w:ascii="Arial" w:cs="Arial" w:eastAsia="Arial" w:hAnsi="Arial"/>
                <w:sz w:val="29"/>
                <w:szCs w:val="29"/>
                <w:color w:val="auto"/>
                <w:vertAlign w:val="superscript"/>
              </w:rPr>
              <w:t>(3)</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32,737</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39,365</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38,704</w:t>
            </w:r>
          </w:p>
        </w:tc>
        <w:tc>
          <w:tcPr>
            <w:tcW w:w="1340" w:type="dxa"/>
            <w:vAlign w:val="bottom"/>
            <w:gridSpan w:val="2"/>
          </w:tcPr>
          <w:p>
            <w:pPr>
              <w:jc w:val="right"/>
              <w:ind w:right="50"/>
              <w:spacing w:after="0"/>
              <w:rPr>
                <w:sz w:val="20"/>
                <w:szCs w:val="20"/>
                <w:color w:val="auto"/>
              </w:rPr>
            </w:pPr>
            <w:r>
              <w:rPr>
                <w:rFonts w:ascii="Arial" w:cs="Arial" w:eastAsia="Arial" w:hAnsi="Arial"/>
                <w:sz w:val="18"/>
                <w:szCs w:val="18"/>
                <w:color w:val="auto"/>
              </w:rPr>
              <w:t>-1.7%</w:t>
            </w:r>
          </w:p>
        </w:tc>
        <w:tc>
          <w:tcPr>
            <w:tcW w:w="300" w:type="dxa"/>
            <w:vAlign w:val="bottom"/>
          </w:tcPr>
          <w:p>
            <w:pPr>
              <w:spacing w:after="0"/>
              <w:rPr>
                <w:sz w:val="22"/>
                <w:szCs w:val="22"/>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18.2%</w:t>
            </w:r>
          </w:p>
        </w:tc>
      </w:tr>
      <w:tr>
        <w:trPr>
          <w:trHeight w:val="257"/>
        </w:trPr>
        <w:tc>
          <w:tcPr>
            <w:tcW w:w="3400" w:type="dxa"/>
            <w:vAlign w:val="bottom"/>
            <w:gridSpan w:val="2"/>
            <w:shd w:val="clear" w:color="auto" w:fill="CCEEFF"/>
          </w:tcPr>
          <w:p>
            <w:pPr>
              <w:ind w:left="20"/>
              <w:spacing w:after="0" w:line="256" w:lineRule="exact"/>
              <w:rPr>
                <w:sz w:val="20"/>
                <w:szCs w:val="20"/>
                <w:color w:val="auto"/>
              </w:rPr>
            </w:pPr>
            <w:r>
              <w:rPr>
                <w:rFonts w:ascii="Arial" w:cs="Arial" w:eastAsia="Arial" w:hAnsi="Arial"/>
                <w:sz w:val="18"/>
                <w:szCs w:val="18"/>
                <w:color w:val="auto"/>
              </w:rPr>
              <w:t xml:space="preserve">Payments and collections </w:t>
            </w:r>
            <w:r>
              <w:rPr>
                <w:rFonts w:ascii="Arial" w:cs="Arial" w:eastAsia="Arial" w:hAnsi="Arial"/>
                <w:sz w:val="29"/>
                <w:szCs w:val="29"/>
                <w:color w:val="auto"/>
                <w:vertAlign w:val="superscript"/>
              </w:rPr>
              <w:t>(3)</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75,718</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87,617</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90,507</w:t>
            </w:r>
          </w:p>
        </w:tc>
        <w:tc>
          <w:tcPr>
            <w:tcW w:w="1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3.3%</w:t>
            </w:r>
          </w:p>
        </w:tc>
        <w:tc>
          <w:tcPr>
            <w:tcW w:w="3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w:t>
            </w:r>
          </w:p>
        </w:tc>
      </w:tr>
      <w:tr>
        <w:trPr>
          <w:trHeight w:val="257"/>
        </w:trPr>
        <w:tc>
          <w:tcPr>
            <w:tcW w:w="3400" w:type="dxa"/>
            <w:vAlign w:val="bottom"/>
            <w:gridSpan w:val="2"/>
          </w:tcPr>
          <w:p>
            <w:pPr>
              <w:ind w:left="20"/>
              <w:spacing w:after="0" w:line="256" w:lineRule="exact"/>
              <w:rPr>
                <w:sz w:val="20"/>
                <w:szCs w:val="20"/>
                <w:color w:val="auto"/>
              </w:rPr>
            </w:pPr>
            <w:r>
              <w:rPr>
                <w:rFonts w:ascii="Arial" w:cs="Arial" w:eastAsia="Arial" w:hAnsi="Arial"/>
                <w:sz w:val="18"/>
                <w:szCs w:val="18"/>
                <w:color w:val="auto"/>
              </w:rPr>
              <w:t xml:space="preserve">Commercial loans </w:t>
            </w:r>
            <w:r>
              <w:rPr>
                <w:rFonts w:ascii="Arial" w:cs="Arial" w:eastAsia="Arial" w:hAnsi="Arial"/>
                <w:sz w:val="29"/>
                <w:szCs w:val="29"/>
                <w:color w:val="auto"/>
                <w:vertAlign w:val="superscript"/>
              </w:rPr>
              <w:t>(3)</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13,610</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14,790</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16,871</w:t>
            </w:r>
          </w:p>
        </w:tc>
        <w:tc>
          <w:tcPr>
            <w:tcW w:w="1340" w:type="dxa"/>
            <w:vAlign w:val="bottom"/>
            <w:gridSpan w:val="2"/>
          </w:tcPr>
          <w:p>
            <w:pPr>
              <w:jc w:val="right"/>
              <w:ind w:right="50"/>
              <w:spacing w:after="0"/>
              <w:rPr>
                <w:sz w:val="20"/>
                <w:szCs w:val="20"/>
                <w:color w:val="auto"/>
              </w:rPr>
            </w:pPr>
            <w:r>
              <w:rPr>
                <w:rFonts w:ascii="Arial" w:cs="Arial" w:eastAsia="Arial" w:hAnsi="Arial"/>
                <w:sz w:val="18"/>
                <w:szCs w:val="18"/>
                <w:color w:val="auto"/>
              </w:rPr>
              <w:t>14.1%</w:t>
            </w:r>
          </w:p>
        </w:tc>
        <w:tc>
          <w:tcPr>
            <w:tcW w:w="300" w:type="dxa"/>
            <w:vAlign w:val="bottom"/>
          </w:tcPr>
          <w:p>
            <w:pPr>
              <w:spacing w:after="0"/>
              <w:rPr>
                <w:sz w:val="22"/>
                <w:szCs w:val="22"/>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24.0%</w:t>
            </w:r>
          </w:p>
        </w:tc>
      </w:tr>
      <w:tr>
        <w:trPr>
          <w:trHeight w:val="257"/>
        </w:trPr>
        <w:tc>
          <w:tcPr>
            <w:tcW w:w="3400" w:type="dxa"/>
            <w:vAlign w:val="bottom"/>
            <w:gridSpan w:val="2"/>
            <w:shd w:val="clear" w:color="auto" w:fill="CCEEFF"/>
          </w:tcPr>
          <w:p>
            <w:pPr>
              <w:ind w:left="20"/>
              <w:spacing w:after="0" w:line="256" w:lineRule="exact"/>
              <w:rPr>
                <w:sz w:val="20"/>
                <w:szCs w:val="20"/>
                <w:color w:val="auto"/>
              </w:rPr>
            </w:pPr>
            <w:r>
              <w:rPr>
                <w:rFonts w:ascii="Arial" w:cs="Arial" w:eastAsia="Arial" w:hAnsi="Arial"/>
                <w:sz w:val="18"/>
                <w:szCs w:val="18"/>
                <w:color w:val="auto"/>
              </w:rPr>
              <w:t xml:space="preserve">Foreign trade </w:t>
            </w:r>
            <w:r>
              <w:rPr>
                <w:rFonts w:ascii="Arial" w:cs="Arial" w:eastAsia="Arial" w:hAnsi="Arial"/>
                <w:sz w:val="29"/>
                <w:szCs w:val="29"/>
                <w:color w:val="auto"/>
                <w:vertAlign w:val="superscript"/>
              </w:rPr>
              <w:t>(3)</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9,612</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10,528</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10,484</w:t>
            </w:r>
          </w:p>
        </w:tc>
        <w:tc>
          <w:tcPr>
            <w:tcW w:w="1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-0.4%</w:t>
            </w:r>
          </w:p>
        </w:tc>
        <w:tc>
          <w:tcPr>
            <w:tcW w:w="3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3400" w:type="dxa"/>
            <w:vAlign w:val="bottom"/>
            <w:gridSpan w:val="2"/>
          </w:tcPr>
          <w:p>
            <w:pPr>
              <w:ind w:left="20"/>
              <w:spacing w:after="0"/>
              <w:rPr>
                <w:sz w:val="20"/>
                <w:szCs w:val="20"/>
                <w:color w:val="auto"/>
              </w:rPr>
            </w:pPr>
            <w:r>
              <w:rPr>
                <w:rFonts w:ascii="Arial" w:cs="Arial" w:eastAsia="Arial" w:hAnsi="Arial"/>
                <w:sz w:val="18"/>
                <w:szCs w:val="18"/>
                <w:color w:val="auto"/>
              </w:rPr>
              <w:t>Corporate finance</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19,197</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11,135</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10,804</w:t>
            </w:r>
          </w:p>
        </w:tc>
        <w:tc>
          <w:tcPr>
            <w:tcW w:w="1340" w:type="dxa"/>
            <w:vAlign w:val="bottom"/>
            <w:gridSpan w:val="2"/>
          </w:tcPr>
          <w:p>
            <w:pPr>
              <w:jc w:val="right"/>
              <w:ind w:right="50"/>
              <w:spacing w:after="0"/>
              <w:rPr>
                <w:sz w:val="20"/>
                <w:szCs w:val="20"/>
                <w:color w:val="auto"/>
              </w:rPr>
            </w:pPr>
            <w:r>
              <w:rPr>
                <w:rFonts w:ascii="Arial" w:cs="Arial" w:eastAsia="Arial" w:hAnsi="Arial"/>
                <w:sz w:val="18"/>
                <w:szCs w:val="18"/>
                <w:color w:val="auto"/>
              </w:rPr>
              <w:t>-3.0%</w:t>
            </w:r>
          </w:p>
        </w:tc>
        <w:tc>
          <w:tcPr>
            <w:tcW w:w="3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-43.7%</w:t>
            </w:r>
          </w:p>
        </w:tc>
      </w:tr>
      <w:tr>
        <w:trPr>
          <w:trHeight w:val="216"/>
        </w:trPr>
        <w:tc>
          <w:tcPr>
            <w:tcW w:w="3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ASB</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5,278</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6,627</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7,195</w:t>
            </w:r>
          </w:p>
        </w:tc>
        <w:tc>
          <w:tcPr>
            <w:tcW w:w="1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8.6%</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36.3%</w:t>
            </w:r>
          </w:p>
        </w:tc>
      </w:tr>
      <w:tr>
        <w:trPr>
          <w:trHeight w:val="270"/>
        </w:trPr>
        <w:tc>
          <w:tcPr>
            <w:tcW w:w="3400" w:type="dxa"/>
            <w:vAlign w:val="bottom"/>
            <w:gridSpan w:val="2"/>
          </w:tcPr>
          <w:p>
            <w:pPr>
              <w:ind w:left="20"/>
              <w:spacing w:after="0" w:line="269" w:lineRule="exact"/>
              <w:rPr>
                <w:sz w:val="20"/>
                <w:szCs w:val="20"/>
                <w:color w:val="auto"/>
              </w:rPr>
            </w:pPr>
            <w:r>
              <w:rPr>
                <w:rFonts w:ascii="Arial" w:cs="Arial" w:eastAsia="Arial" w:hAnsi="Arial"/>
                <w:sz w:val="18"/>
                <w:szCs w:val="18"/>
                <w:color w:val="auto"/>
              </w:rPr>
              <w:t xml:space="preserve">Others </w:t>
            </w:r>
            <w:r>
              <w:rPr>
                <w:rFonts w:ascii="Arial" w:cs="Arial" w:eastAsia="Arial" w:hAnsi="Arial"/>
                <w:sz w:val="30"/>
                <w:szCs w:val="30"/>
                <w:color w:val="auto"/>
                <w:vertAlign w:val="superscript"/>
              </w:rPr>
              <w:t>(4)</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39,937</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38,306</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39,542</w:t>
            </w:r>
          </w:p>
        </w:tc>
        <w:tc>
          <w:tcPr>
            <w:tcW w:w="1340" w:type="dxa"/>
            <w:vAlign w:val="bottom"/>
            <w:gridSpan w:val="2"/>
          </w:tcPr>
          <w:p>
            <w:pPr>
              <w:jc w:val="right"/>
              <w:ind w:right="50"/>
              <w:spacing w:after="0"/>
              <w:rPr>
                <w:sz w:val="20"/>
                <w:szCs w:val="20"/>
                <w:color w:val="auto"/>
              </w:rPr>
            </w:pPr>
            <w:r>
              <w:rPr>
                <w:rFonts w:ascii="Arial" w:cs="Arial" w:eastAsia="Arial" w:hAnsi="Arial"/>
                <w:sz w:val="18"/>
                <w:szCs w:val="18"/>
                <w:color w:val="auto"/>
              </w:rPr>
              <w:t>3.2%</w:t>
            </w:r>
          </w:p>
        </w:tc>
        <w:tc>
          <w:tcPr>
            <w:tcW w:w="300" w:type="dxa"/>
            <w:vAlign w:val="bottom"/>
          </w:tcPr>
          <w:p>
            <w:pPr>
              <w:spacing w:after="0"/>
              <w:rPr>
                <w:sz w:val="23"/>
                <w:szCs w:val="23"/>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10"/>
        </w:trPr>
        <w:tc>
          <w:tcPr>
            <w:tcW w:w="34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fee income</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483,285</w:t>
            </w:r>
          </w:p>
        </w:tc>
        <w:tc>
          <w:tcPr>
            <w:tcW w:w="2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519,632</w:t>
            </w:r>
          </w:p>
        </w:tc>
        <w:tc>
          <w:tcPr>
            <w:tcW w:w="2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537,120</w:t>
            </w:r>
          </w:p>
        </w:tc>
        <w:tc>
          <w:tcPr>
            <w:tcW w:w="2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w:t>
            </w:r>
          </w:p>
        </w:tc>
        <w:tc>
          <w:tcPr>
            <w:tcW w:w="28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11.1</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r>
    </w:tbl>
    <w:p>
      <w:pPr>
        <w:ind w:left="1280" w:hanging="255"/>
        <w:spacing w:after="0"/>
        <w:tabs>
          <w:tab w:leader="none" w:pos="12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Saving accounts, current accounts, debit card and master account.</w:t>
      </w:r>
    </w:p>
    <w:p>
      <w:pPr>
        <w:spacing w:after="0" w:line="9" w:lineRule="exact"/>
        <w:rPr>
          <w:rFonts w:ascii="Arial" w:cs="Arial" w:eastAsia="Arial" w:hAnsi="Arial"/>
          <w:sz w:val="18"/>
          <w:szCs w:val="18"/>
          <w:color w:val="auto"/>
        </w:rPr>
      </w:pPr>
    </w:p>
    <w:p>
      <w:pPr>
        <w:ind w:left="1240" w:hanging="260"/>
        <w:spacing w:after="0"/>
        <w:tabs>
          <w:tab w:leader="none" w:pos="12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Mainly Retail fees.</w:t>
      </w:r>
    </w:p>
    <w:p>
      <w:pPr>
        <w:spacing w:after="0" w:line="9" w:lineRule="exact"/>
        <w:rPr>
          <w:rFonts w:ascii="Arial" w:cs="Arial" w:eastAsia="Arial" w:hAnsi="Arial"/>
          <w:sz w:val="18"/>
          <w:szCs w:val="18"/>
          <w:color w:val="auto"/>
        </w:rPr>
      </w:pPr>
    </w:p>
    <w:p>
      <w:pPr>
        <w:ind w:left="1240" w:hanging="260"/>
        <w:spacing w:after="0"/>
        <w:tabs>
          <w:tab w:leader="none" w:pos="12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Mainly Wholesale fees.</w:t>
      </w:r>
    </w:p>
    <w:p>
      <w:pPr>
        <w:spacing w:after="0" w:line="9" w:lineRule="exact"/>
        <w:rPr>
          <w:rFonts w:ascii="Arial" w:cs="Arial" w:eastAsia="Arial" w:hAnsi="Arial"/>
          <w:sz w:val="18"/>
          <w:szCs w:val="18"/>
          <w:color w:val="auto"/>
        </w:rPr>
      </w:pPr>
    </w:p>
    <w:p>
      <w:pPr>
        <w:ind w:left="980" w:right="2500"/>
        <w:spacing w:after="0" w:line="261" w:lineRule="auto"/>
        <w:tabs>
          <w:tab w:leader="none" w:pos="1235"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Includes fees from BCP Bolivia, Edyficar, network usage and other services to third parties, among others. Source: BCP.</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Credicorp Capital, which represents 13% of the total fee income, registered higher income related to Asset management in the three countries (Perú, Chile and Colombia) in which it operates. This helped offset (i) a decrease in equity trading activity; and (ii) a drop in income from Corporate finance, in particular Structured Finance and M&amp;A.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There was also a slight increase at Prima AFP, which represents 14% of income generation, in line with the nature of this business.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fee income eliminations for consolidation, related to transactions between Credicorp’s subsidiaries, is registered in the Others account, and comes primarily from the Bancassurance business. These fees are generated through the banking subsidiaries (BCP and Mibanco) for the sale of Pacífico insurance products.</w:t>
      </w:r>
    </w:p>
    <w:p>
      <w:pPr>
        <w:spacing w:after="0" w:line="39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3" w:name="page34"/>
    <w:bookmarkEnd w:id="33"/>
    <w:p>
      <w:pPr>
        <w:spacing w:after="0"/>
        <w:rPr>
          <w:sz w:val="20"/>
          <w:szCs w:val="20"/>
          <w:color w:val="auto"/>
        </w:rPr>
      </w:pPr>
      <w:r>
        <w:rPr>
          <w:rFonts w:ascii="Arial" w:cs="Arial" w:eastAsia="Arial" w:hAnsi="Arial"/>
          <w:sz w:val="17"/>
          <w:szCs w:val="17"/>
          <w:color w:val="auto"/>
        </w:rPr>
        <w:t>ASB registered an increase of +8.6% QoQ due to growth in the volume of services for asset management, fund custody and structured products.</w:t>
      </w:r>
    </w:p>
    <w:p>
      <w:pPr>
        <w:spacing w:after="0" w:line="233"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Net gain from subsidiaries,</w:t>
      </w:r>
      <w:r>
        <w:rPr>
          <w:rFonts w:ascii="Arial" w:cs="Arial" w:eastAsia="Arial" w:hAnsi="Arial"/>
          <w:sz w:val="18"/>
          <w:szCs w:val="18"/>
          <w:color w:val="auto"/>
        </w:rPr>
        <w:t xml:space="preserve"> which comes from the JV between Grupo Pacífico and Banmédica for the health businesses. The result is composed of the following elements:</w:t>
      </w:r>
    </w:p>
    <w:p>
      <w:pPr>
        <w:spacing w:after="0" w:line="166" w:lineRule="exact"/>
        <w:rPr>
          <w:sz w:val="20"/>
          <w:szCs w:val="20"/>
          <w:color w:val="auto"/>
        </w:rPr>
      </w:pPr>
    </w:p>
    <w:p>
      <w:pPr>
        <w:ind w:left="980" w:hanging="648"/>
        <w:spacing w:after="0" w:line="277" w:lineRule="auto"/>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contribution of 50% of the net income generated by the corporate health insurance and medical services businesses that is now managed by Banmédica, which was equivalent to S/. 4.6 million;</w:t>
      </w:r>
    </w:p>
    <w:p>
      <w:pPr>
        <w:spacing w:after="0" w:line="170" w:lineRule="exact"/>
        <w:rPr>
          <w:rFonts w:ascii="Arial" w:cs="Arial" w:eastAsia="Arial" w:hAnsi="Arial"/>
          <w:sz w:val="18"/>
          <w:szCs w:val="18"/>
          <w:color w:val="auto"/>
        </w:rPr>
      </w:pPr>
    </w:p>
    <w:p>
      <w:pPr>
        <w:ind w:left="980" w:right="20" w:hanging="648"/>
        <w:spacing w:after="0" w:line="277" w:lineRule="auto"/>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50% deduction of the net income generated by the private health insurance given that Grupo Pacífico manages this business. The deduction in 2Q15 was S/. 3.2 million; and</w:t>
      </w:r>
    </w:p>
    <w:p>
      <w:pPr>
        <w:spacing w:after="0" w:line="170" w:lineRule="exact"/>
        <w:rPr>
          <w:rFonts w:ascii="Arial" w:cs="Arial" w:eastAsia="Arial" w:hAnsi="Arial"/>
          <w:sz w:val="18"/>
          <w:szCs w:val="18"/>
          <w:color w:val="auto"/>
        </w:rPr>
      </w:pPr>
    </w:p>
    <w:p>
      <w:pPr>
        <w:jc w:val="both"/>
        <w:ind w:left="980" w:hanging="648"/>
        <w:spacing w:after="0" w:line="264" w:lineRule="auto"/>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expense of S/. 1.6 million associated to the renegotiation of an affiliation contract with Johns Hopkins. For this year, the annual payment was higher than historically recorded. It is noteworthy that such payment is held annually during the month of May and that usually only accounts for 40 % of the expense recorded this quarter.</w:t>
      </w:r>
    </w:p>
    <w:p>
      <w:pPr>
        <w:spacing w:after="0" w:line="177"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Net gains on foreign exchange transactions </w:t>
      </w:r>
      <w:r>
        <w:rPr>
          <w:rFonts w:ascii="Arial" w:cs="Arial" w:eastAsia="Arial" w:hAnsi="Arial"/>
          <w:sz w:val="17"/>
          <w:szCs w:val="17"/>
          <w:color w:val="auto"/>
        </w:rPr>
        <w:t>fell -16.0% QoQ, which was mainly due to lower gains on this type of transactions at BCP and Mibanco due to</w:t>
      </w:r>
      <w:r>
        <w:rPr>
          <w:rFonts w:ascii="Arial" w:cs="Arial" w:eastAsia="Arial" w:hAnsi="Arial"/>
          <w:sz w:val="17"/>
          <w:szCs w:val="17"/>
          <w:b w:val="1"/>
          <w:bCs w:val="1"/>
          <w:color w:val="auto"/>
        </w:rPr>
        <w:t xml:space="preserve"> </w:t>
      </w:r>
      <w:r>
        <w:rPr>
          <w:rFonts w:ascii="Arial" w:cs="Arial" w:eastAsia="Arial" w:hAnsi="Arial"/>
          <w:sz w:val="17"/>
          <w:szCs w:val="17"/>
          <w:color w:val="auto"/>
        </w:rPr>
        <w:t>the dollarization program that increased the volume negotiated on this business. Additionally, the lower volatility in the exchange rate (in 2Q15, a variation of +2.62% QoQ was reported vs. +3.68% last quarter) drop to a smaller volume of these transactions in 2Q15. As discussed in the section on interest earning assets, Credicorp Capital registered lower gains due to less volatility in 2Q15 vs 1Q15 with regard to the US Dollar against the Colombian Peso (+8.57% in 1Q15 vs +0.26% in 2Q15). The YoY analysis registered an increase of +19.5% due to a fluctuation in the exchange rate for the US Dollar against the Nuevo Sol, and higher volume (depreciation of Nuevo Sol: +13.6% YoY).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Net gains on sale of securities </w:t>
      </w:r>
      <w:r>
        <w:rPr>
          <w:rFonts w:ascii="Arial" w:cs="Arial" w:eastAsia="Arial" w:hAnsi="Arial"/>
          <w:sz w:val="18"/>
          <w:szCs w:val="18"/>
          <w:color w:val="auto"/>
        </w:rPr>
        <w:t>fell -16.6% QoQ, due to positions taken in 1Q15, that did not registered the same level of gains this quarter.</w:t>
      </w:r>
    </w:p>
    <w:p>
      <w:pPr>
        <w:spacing w:after="0" w:line="225" w:lineRule="exact"/>
        <w:rPr>
          <w:sz w:val="20"/>
          <w:szCs w:val="20"/>
          <w:color w:val="auto"/>
        </w:rPr>
      </w:pPr>
    </w:p>
    <w:p>
      <w:pPr>
        <w:ind w:left="660" w:hanging="652"/>
        <w:spacing w:after="0"/>
        <w:tabs>
          <w:tab w:leader="none" w:pos="6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Insurance underwriting result</w:t>
      </w:r>
    </w:p>
    <w:p>
      <w:pPr>
        <w:spacing w:after="0" w:line="233" w:lineRule="exact"/>
        <w:rPr>
          <w:sz w:val="20"/>
          <w:szCs w:val="20"/>
          <w:color w:val="auto"/>
        </w:rPr>
      </w:pPr>
    </w:p>
    <w:p>
      <w:pPr>
        <w:jc w:val="both"/>
        <w:spacing w:after="0" w:line="197" w:lineRule="auto"/>
        <w:rPr>
          <w:sz w:val="20"/>
          <w:szCs w:val="20"/>
          <w:color w:val="auto"/>
        </w:rPr>
      </w:pPr>
      <w:r>
        <w:rPr>
          <w:rFonts w:ascii="Arial" w:cs="Arial" w:eastAsia="Arial" w:hAnsi="Arial"/>
          <w:sz w:val="18"/>
          <w:szCs w:val="18"/>
          <w:i w:val="1"/>
          <w:iCs w:val="1"/>
          <w:color w:val="auto"/>
        </w:rPr>
        <w:t>The insurance Underwriting result increased +11.7% QoQ, primarily due to the good performance in Property &amp; Casualty</w:t>
      </w:r>
      <w:r>
        <w:rPr>
          <w:rFonts w:ascii="Arial" w:cs="Arial" w:eastAsia="Arial" w:hAnsi="Arial"/>
          <w:sz w:val="30"/>
          <w:szCs w:val="30"/>
          <w:b w:val="1"/>
          <w:bCs w:val="1"/>
          <w:i w:val="1"/>
          <w:iCs w:val="1"/>
          <w:color w:val="auto"/>
          <w:vertAlign w:val="superscript"/>
        </w:rPr>
        <w:t>7</w:t>
      </w:r>
      <w:r>
        <w:rPr>
          <w:rFonts w:ascii="Arial" w:cs="Arial" w:eastAsia="Arial" w:hAnsi="Arial"/>
          <w:sz w:val="18"/>
          <w:szCs w:val="18"/>
          <w:i w:val="1"/>
          <w:iCs w:val="1"/>
          <w:color w:val="auto"/>
        </w:rPr>
        <w:t>. In the YoY analysis, the -47.4% decrease is due mainly to i) the accounting effect</w:t>
      </w:r>
      <w:r>
        <w:rPr>
          <w:rFonts w:ascii="Arial" w:cs="Arial" w:eastAsia="Arial" w:hAnsi="Arial"/>
          <w:sz w:val="30"/>
          <w:szCs w:val="30"/>
          <w:b w:val="1"/>
          <w:bCs w:val="1"/>
          <w:i w:val="1"/>
          <w:iCs w:val="1"/>
          <w:color w:val="auto"/>
          <w:vertAlign w:val="superscript"/>
        </w:rPr>
        <w:t>8</w:t>
      </w:r>
      <w:r>
        <w:rPr>
          <w:rFonts w:ascii="Arial" w:cs="Arial" w:eastAsia="Arial" w:hAnsi="Arial"/>
          <w:sz w:val="18"/>
          <w:szCs w:val="18"/>
          <w:i w:val="1"/>
          <w:iCs w:val="1"/>
          <w:color w:val="auto"/>
        </w:rPr>
        <w:t xml:space="preserve"> of the joint venture with Banmédica and; to a lesser extent, ii) a decrease in the underwriting result posted by Life insurance business.</w:t>
      </w:r>
    </w:p>
    <w:p>
      <w:pPr>
        <w:spacing w:after="0" w:line="201"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3620" w:type="dxa"/>
            <w:vAlign w:val="bottom"/>
            <w:gridSpan w:val="2"/>
          </w:tcPr>
          <w:p>
            <w:pPr>
              <w:spacing w:after="0"/>
              <w:rPr>
                <w:sz w:val="20"/>
                <w:szCs w:val="20"/>
                <w:color w:val="auto"/>
              </w:rPr>
            </w:pPr>
            <w:r>
              <w:rPr>
                <w:rFonts w:ascii="Arial" w:cs="Arial" w:eastAsia="Arial" w:hAnsi="Arial"/>
                <w:sz w:val="18"/>
                <w:szCs w:val="18"/>
                <w:b w:val="1"/>
                <w:bCs w:val="1"/>
                <w:color w:val="auto"/>
              </w:rPr>
              <w:t>Insurance underwriting result</w:t>
            </w: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Quarter</w:t>
            </w: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60" w:type="dxa"/>
            <w:vAlign w:val="bottom"/>
            <w:gridSpan w:val="3"/>
          </w:tcPr>
          <w:p>
            <w:pPr>
              <w:ind w:left="80"/>
              <w:spacing w:after="0"/>
              <w:rPr>
                <w:sz w:val="20"/>
                <w:szCs w:val="20"/>
                <w:color w:val="auto"/>
              </w:rPr>
            </w:pPr>
            <w:r>
              <w:rPr>
                <w:rFonts w:ascii="Arial" w:cs="Arial" w:eastAsia="Arial" w:hAnsi="Arial"/>
                <w:sz w:val="18"/>
                <w:szCs w:val="18"/>
                <w:b w:val="1"/>
                <w:bCs w:val="1"/>
                <w:color w:val="auto"/>
                <w:w w:val="98"/>
              </w:rPr>
              <w:t>% Change</w:t>
            </w: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4"/>
        </w:trPr>
        <w:tc>
          <w:tcPr>
            <w:tcW w:w="3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S/.000</w:t>
            </w:r>
          </w:p>
        </w:tc>
        <w:tc>
          <w:tcPr>
            <w:tcW w:w="8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2Q14</w:t>
            </w:r>
          </w:p>
        </w:tc>
        <w:tc>
          <w:tcPr>
            <w:tcW w:w="1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1Q15</w:t>
            </w:r>
          </w:p>
        </w:tc>
        <w:tc>
          <w:tcPr>
            <w:tcW w:w="18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2Q15</w:t>
            </w:r>
          </w:p>
        </w:tc>
        <w:tc>
          <w:tcPr>
            <w:tcW w:w="18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w w:val="97"/>
              </w:rPr>
              <w:t>QoQ</w:t>
            </w:r>
          </w:p>
        </w:tc>
        <w:tc>
          <w:tcPr>
            <w:tcW w:w="340" w:type="dxa"/>
            <w:vAlign w:val="bottom"/>
            <w:tcBorders>
              <w:bottom w:val="single" w:sz="8" w:color="auto"/>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EEFF"/>
            </w:tcBorders>
          </w:tcPr>
          <w:p>
            <w:pPr>
              <w:spacing w:after="0"/>
              <w:rPr>
                <w:sz w:val="20"/>
                <w:szCs w:val="20"/>
                <w:color w:val="auto"/>
              </w:rPr>
            </w:pPr>
          </w:p>
        </w:tc>
      </w:tr>
      <w:tr>
        <w:trPr>
          <w:trHeight w:val="210"/>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Net earned premiums</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544,731</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404,496</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427,044</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5.6%</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Net claims</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(356,355)</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(237,205)</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(262,848)</w:t>
            </w:r>
          </w:p>
        </w:tc>
        <w:tc>
          <w:tcPr>
            <w:tcW w:w="760" w:type="dxa"/>
            <w:vAlign w:val="bottom"/>
          </w:tcPr>
          <w:p>
            <w:pPr>
              <w:spacing w:after="0"/>
              <w:rPr>
                <w:sz w:val="18"/>
                <w:szCs w:val="18"/>
                <w:color w:val="auto"/>
              </w:rPr>
            </w:pPr>
          </w:p>
        </w:tc>
        <w:tc>
          <w:tcPr>
            <w:tcW w:w="640" w:type="dxa"/>
            <w:vAlign w:val="bottom"/>
            <w:gridSpan w:val="2"/>
          </w:tcPr>
          <w:p>
            <w:pPr>
              <w:jc w:val="right"/>
              <w:ind w:right="50"/>
              <w:spacing w:after="0"/>
              <w:rPr>
                <w:sz w:val="20"/>
                <w:szCs w:val="20"/>
                <w:color w:val="auto"/>
              </w:rPr>
            </w:pPr>
            <w:r>
              <w:rPr>
                <w:rFonts w:ascii="Arial" w:cs="Arial" w:eastAsia="Arial" w:hAnsi="Arial"/>
                <w:sz w:val="18"/>
                <w:szCs w:val="18"/>
                <w:color w:val="auto"/>
                <w:w w:val="93"/>
              </w:rPr>
              <w:t>10.8%</w:t>
            </w:r>
          </w:p>
        </w:tc>
        <w:tc>
          <w:tcPr>
            <w:tcW w:w="3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-26.2%</w:t>
            </w:r>
          </w:p>
        </w:tc>
      </w:tr>
      <w:tr>
        <w:trPr>
          <w:trHeight w:val="270"/>
        </w:trPr>
        <w:tc>
          <w:tcPr>
            <w:tcW w:w="3620" w:type="dxa"/>
            <w:vAlign w:val="bottom"/>
            <w:gridSpan w:val="2"/>
            <w:shd w:val="clear" w:color="auto" w:fill="CCEEFF"/>
          </w:tcPr>
          <w:p>
            <w:pPr>
              <w:spacing w:after="0" w:line="269" w:lineRule="exact"/>
              <w:rPr>
                <w:sz w:val="20"/>
                <w:szCs w:val="20"/>
                <w:color w:val="auto"/>
              </w:rPr>
            </w:pPr>
            <w:r>
              <w:rPr>
                <w:rFonts w:ascii="Arial" w:cs="Arial" w:eastAsia="Arial" w:hAnsi="Arial"/>
                <w:sz w:val="18"/>
                <w:szCs w:val="18"/>
                <w:color w:val="auto"/>
              </w:rPr>
              <w:t xml:space="preserve">Acquisition cost </w:t>
            </w:r>
            <w:r>
              <w:rPr>
                <w:rFonts w:ascii="Arial" w:cs="Arial" w:eastAsia="Arial" w:hAnsi="Arial"/>
                <w:sz w:val="30"/>
                <w:szCs w:val="30"/>
                <w:color w:val="auto"/>
                <w:vertAlign w:val="superscript"/>
              </w:rPr>
              <w:t>(1)</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(84,211)</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(118,294)</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(109,453)</w:t>
            </w:r>
          </w:p>
        </w:tc>
        <w:tc>
          <w:tcPr>
            <w:tcW w:w="76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-7.5%</w:t>
            </w:r>
          </w:p>
        </w:tc>
        <w:tc>
          <w:tcPr>
            <w:tcW w:w="32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w:t>
            </w:r>
          </w:p>
        </w:tc>
      </w:tr>
      <w:tr>
        <w:trPr>
          <w:trHeight w:val="224"/>
        </w:trPr>
        <w:tc>
          <w:tcPr>
            <w:tcW w:w="3620" w:type="dxa"/>
            <w:vAlign w:val="bottom"/>
            <w:gridSpan w:val="2"/>
          </w:tcPr>
          <w:p>
            <w:pPr>
              <w:spacing w:after="0"/>
              <w:rPr>
                <w:sz w:val="20"/>
                <w:szCs w:val="20"/>
                <w:color w:val="auto"/>
              </w:rPr>
            </w:pPr>
            <w:r>
              <w:rPr>
                <w:rFonts w:ascii="Arial" w:cs="Arial" w:eastAsia="Arial" w:hAnsi="Arial"/>
                <w:sz w:val="18"/>
                <w:szCs w:val="18"/>
                <w:b w:val="1"/>
                <w:bCs w:val="1"/>
                <w:color w:val="auto"/>
              </w:rPr>
              <w:t>Total Insurance underwriting result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104,165</w:t>
            </w:r>
          </w:p>
        </w:tc>
        <w:tc>
          <w:tcPr>
            <w:tcW w:w="180" w:type="dxa"/>
            <w:vAlign w:val="bottom"/>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48,997</w:t>
            </w:r>
          </w:p>
        </w:tc>
        <w:tc>
          <w:tcPr>
            <w:tcW w:w="18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54,743</w:t>
            </w:r>
          </w:p>
        </w:tc>
        <w:tc>
          <w:tcPr>
            <w:tcW w:w="18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11.7</w:t>
            </w:r>
          </w:p>
        </w:tc>
        <w:tc>
          <w:tcPr>
            <w:tcW w:w="30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3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-47.4</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-8890</wp:posOffset>
            </wp:positionV>
            <wp:extent cx="409067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090670" cy="8890"/>
                    </a:xfrm>
                    <a:prstGeom prst="rect">
                      <a:avLst/>
                    </a:prstGeom>
                    <a:noFill/>
                  </pic:spPr>
                </pic:pic>
              </a:graphicData>
            </a:graphic>
          </wp:anchor>
        </w:drawing>
      </w:r>
    </w:p>
    <w:p>
      <w:pPr>
        <w:ind w:left="920" w:hanging="219"/>
        <w:spacing w:after="0" w:line="204" w:lineRule="auto"/>
        <w:tabs>
          <w:tab w:leader="none" w:pos="920" w:val="left"/>
        </w:tabs>
        <w:numPr>
          <w:ilvl w:val="0"/>
          <w:numId w:val="44"/>
        </w:numPr>
        <w:rPr>
          <w:rFonts w:ascii="Arial" w:cs="Arial" w:eastAsia="Arial" w:hAnsi="Arial"/>
          <w:sz w:val="26"/>
          <w:szCs w:val="26"/>
          <w:color w:val="auto"/>
          <w:vertAlign w:val="superscript"/>
        </w:rPr>
      </w:pPr>
      <w:r>
        <w:rPr>
          <w:rFonts w:ascii="Arial" w:cs="Arial" w:eastAsia="Arial" w:hAnsi="Arial"/>
          <w:sz w:val="16"/>
          <w:szCs w:val="16"/>
          <w:color w:val="auto"/>
        </w:rPr>
        <w:t>Includes net fees and underwriting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180975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50" w:lineRule="exact"/>
        <w:rPr>
          <w:sz w:val="20"/>
          <w:szCs w:val="20"/>
          <w:color w:val="auto"/>
        </w:rPr>
      </w:pPr>
    </w:p>
    <w:p>
      <w:pPr>
        <w:ind w:firstLine="8"/>
        <w:spacing w:after="0" w:line="194" w:lineRule="auto"/>
        <w:tabs>
          <w:tab w:leader="none" w:pos="138" w:val="left"/>
        </w:tabs>
        <w:numPr>
          <w:ilvl w:val="0"/>
          <w:numId w:val="45"/>
        </w:numPr>
        <w:rPr>
          <w:rFonts w:ascii="Arial" w:cs="Arial" w:eastAsia="Arial" w:hAnsi="Arial"/>
          <w:sz w:val="30"/>
          <w:szCs w:val="30"/>
          <w:color w:val="auto"/>
          <w:vertAlign w:val="superscript"/>
        </w:rPr>
      </w:pPr>
      <w:r>
        <w:rPr>
          <w:rFonts w:ascii="Arial" w:cs="Arial" w:eastAsia="Arial" w:hAnsi="Arial"/>
          <w:sz w:val="18"/>
          <w:szCs w:val="18"/>
          <w:color w:val="auto"/>
        </w:rPr>
        <w:t>P&amp;C includes car insurance, private health insurance and traditional property and casualty. The private health insurance is managed by Pacifico and for which Banmedica receives 50% of net earnings, due to the joint venture agreement.</w:t>
      </w:r>
    </w:p>
    <w:p>
      <w:pPr>
        <w:spacing w:after="0" w:line="33" w:lineRule="exact"/>
        <w:rPr>
          <w:sz w:val="20"/>
          <w:szCs w:val="20"/>
          <w:color w:val="auto"/>
        </w:rPr>
      </w:pPr>
    </w:p>
    <w:p>
      <w:pPr>
        <w:jc w:val="both"/>
        <w:ind w:right="20" w:firstLine="8"/>
        <w:spacing w:after="0" w:line="198" w:lineRule="auto"/>
        <w:tabs>
          <w:tab w:leader="none" w:pos="195" w:val="left"/>
        </w:tabs>
        <w:numPr>
          <w:ilvl w:val="0"/>
          <w:numId w:val="46"/>
        </w:numPr>
        <w:rPr>
          <w:rFonts w:ascii="Arial" w:cs="Arial" w:eastAsia="Arial" w:hAnsi="Arial"/>
          <w:sz w:val="36"/>
          <w:szCs w:val="36"/>
          <w:color w:val="auto"/>
          <w:vertAlign w:val="superscript"/>
        </w:rPr>
      </w:pPr>
      <w:r>
        <w:rPr>
          <w:rFonts w:ascii="Arial" w:cs="Arial" w:eastAsia="Arial" w:hAnsi="Arial"/>
          <w:sz w:val="22"/>
          <w:szCs w:val="22"/>
          <w:color w:val="auto"/>
        </w:rPr>
        <w:t>The joint venture agreement with Banmedica stipulates that the corporate health insurance business and medical services (network of clinics, medical centers and laboratories) is registered as an investment in subsidiaries. Both businesses are managed by Banmedica, and Pacifico receives 50% of net earnings.</w:t>
      </w: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Total underwriting result by business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1634490</wp:posOffset>
            </wp:positionH>
            <wp:positionV relativeFrom="paragraph">
              <wp:posOffset>142875</wp:posOffset>
            </wp:positionV>
            <wp:extent cx="4022090" cy="22040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022090" cy="2204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In the QoQ analysis, the </w:t>
      </w:r>
      <w:r>
        <w:rPr>
          <w:rFonts w:ascii="Arial" w:cs="Arial" w:eastAsia="Arial" w:hAnsi="Arial"/>
          <w:sz w:val="18"/>
          <w:szCs w:val="18"/>
          <w:b w:val="1"/>
          <w:bCs w:val="1"/>
          <w:color w:val="auto"/>
        </w:rPr>
        <w:t>Underwriting result</w:t>
      </w:r>
      <w:r>
        <w:rPr>
          <w:rFonts w:ascii="Arial" w:cs="Arial" w:eastAsia="Arial" w:hAnsi="Arial"/>
          <w:sz w:val="18"/>
          <w:szCs w:val="18"/>
          <w:color w:val="auto"/>
        </w:rPr>
        <w:t xml:space="preserve"> by business line was led by Property &amp; Casualty due to an increase in net earned premiums and a decrease in the acquisition cost, which offset the higher net claims. The life insurance business posted a negative underwriting result due to an increase in the claims reserve, as we will explain later in the report. Nevertheless, it is important to explain that the main source of income of this business comes from financial income (interest on investments), which is not reflected in the underwriting result. In this context, the life insurance business posted an increase QoQ on its net income.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6.1  Net earned premiums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Net earned premiums by business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1685925</wp:posOffset>
            </wp:positionH>
            <wp:positionV relativeFrom="paragraph">
              <wp:posOffset>142875</wp:posOffset>
            </wp:positionV>
            <wp:extent cx="3919220" cy="1946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919220" cy="1946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b w:val="1"/>
          <w:bCs w:val="1"/>
          <w:color w:val="auto"/>
        </w:rPr>
        <w:t xml:space="preserve">Net earned premiums </w:t>
      </w:r>
      <w:r>
        <w:rPr>
          <w:rFonts w:ascii="Arial" w:cs="Arial" w:eastAsia="Arial" w:hAnsi="Arial"/>
          <w:sz w:val="16"/>
          <w:szCs w:val="16"/>
          <w:color w:val="auto"/>
        </w:rPr>
        <w:t>increased +5.6% QoQ mainly driven by the generation of earned premiums at P&amp;C, specifically in the traditional P&amp;C and private</w:t>
      </w:r>
      <w:r>
        <w:rPr>
          <w:rFonts w:ascii="Arial" w:cs="Arial" w:eastAsia="Arial" w:hAnsi="Arial"/>
          <w:sz w:val="16"/>
          <w:szCs w:val="16"/>
          <w:b w:val="1"/>
          <w:bCs w:val="1"/>
          <w:color w:val="auto"/>
        </w:rPr>
        <w:t xml:space="preserve"> </w:t>
      </w:r>
      <w:r>
        <w:rPr>
          <w:rFonts w:ascii="Arial" w:cs="Arial" w:eastAsia="Arial" w:hAnsi="Arial"/>
          <w:sz w:val="16"/>
          <w:szCs w:val="16"/>
          <w:color w:val="auto"/>
        </w:rPr>
        <w:t>health insurance lines. Likewise, although to a lesser extent, net earned premiums increased in life insurance business. The latter was due to an improvement</w:t>
      </w:r>
    </w:p>
    <w:p>
      <w:pPr>
        <w:spacing w:after="0" w:line="1" w:lineRule="exact"/>
        <w:rPr>
          <w:sz w:val="20"/>
          <w:szCs w:val="20"/>
          <w:color w:val="auto"/>
        </w:rPr>
      </w:pPr>
    </w:p>
    <w:p>
      <w:pPr>
        <w:jc w:val="both"/>
        <w:spacing w:after="0" w:line="205" w:lineRule="auto"/>
        <w:rPr>
          <w:sz w:val="20"/>
          <w:szCs w:val="20"/>
          <w:color w:val="auto"/>
        </w:rPr>
      </w:pPr>
      <w:r>
        <w:rPr>
          <w:rFonts w:ascii="Arial" w:cs="Arial" w:eastAsia="Arial" w:hAnsi="Arial"/>
          <w:sz w:val="18"/>
          <w:szCs w:val="18"/>
          <w:color w:val="auto"/>
        </w:rPr>
        <w:t>in the turnover in: (i) the Bancassurance business mainly attributable to Mibanco’s portfolio, and (ii) in individual life business</w:t>
      </w:r>
      <w:r>
        <w:rPr>
          <w:rFonts w:ascii="Arial" w:cs="Arial" w:eastAsia="Arial" w:hAnsi="Arial"/>
          <w:sz w:val="30"/>
          <w:szCs w:val="30"/>
          <w:color w:val="auto"/>
          <w:vertAlign w:val="superscript"/>
        </w:rPr>
        <w:t>9</w:t>
      </w:r>
      <w:r>
        <w:rPr>
          <w:rFonts w:ascii="Arial" w:cs="Arial" w:eastAsia="Arial" w:hAnsi="Arial"/>
          <w:sz w:val="18"/>
          <w:szCs w:val="18"/>
          <w:color w:val="auto"/>
        </w:rPr>
        <w:t>; followed by a decrease in the level of ceded premiums.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180975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36" w:lineRule="exact"/>
        <w:rPr>
          <w:sz w:val="20"/>
          <w:szCs w:val="20"/>
          <w:color w:val="auto"/>
        </w:rPr>
      </w:pPr>
    </w:p>
    <w:p>
      <w:pPr>
        <w:ind w:left="120" w:hanging="112"/>
        <w:spacing w:after="0"/>
        <w:tabs>
          <w:tab w:leader="none" w:pos="120" w:val="left"/>
        </w:tabs>
        <w:numPr>
          <w:ilvl w:val="0"/>
          <w:numId w:val="47"/>
        </w:numPr>
        <w:rPr>
          <w:rFonts w:ascii="Arial" w:cs="Arial" w:eastAsia="Arial" w:hAnsi="Arial"/>
          <w:sz w:val="30"/>
          <w:szCs w:val="30"/>
          <w:color w:val="auto"/>
          <w:vertAlign w:val="superscript"/>
        </w:rPr>
      </w:pPr>
      <w:r>
        <w:rPr>
          <w:rFonts w:ascii="Arial" w:cs="Arial" w:eastAsia="Arial" w:hAnsi="Arial"/>
          <w:sz w:val="18"/>
          <w:szCs w:val="18"/>
          <w:color w:val="auto"/>
        </w:rPr>
        <w:t>Life insurance for individuals.</w:t>
      </w: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6.2  Net claims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Net claims by business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1797685</wp:posOffset>
            </wp:positionH>
            <wp:positionV relativeFrom="paragraph">
              <wp:posOffset>142875</wp:posOffset>
            </wp:positionV>
            <wp:extent cx="3636010" cy="18180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636010" cy="1818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Net claims </w:t>
      </w:r>
      <w:r>
        <w:rPr>
          <w:rFonts w:ascii="Arial" w:cs="Arial" w:eastAsia="Arial" w:hAnsi="Arial"/>
          <w:sz w:val="18"/>
          <w:szCs w:val="18"/>
          <w:color w:val="auto"/>
        </w:rPr>
        <w:t>increased +10.8% QoQ, primarily in P&amp;C, and, to a lesser extent, in the life insurance business. In the first business, the major claims rose as a</w:t>
      </w:r>
      <w:r>
        <w:rPr>
          <w:rFonts w:ascii="Arial" w:cs="Arial" w:eastAsia="Arial" w:hAnsi="Arial"/>
          <w:sz w:val="18"/>
          <w:szCs w:val="18"/>
          <w:b w:val="1"/>
          <w:bCs w:val="1"/>
          <w:color w:val="auto"/>
        </w:rPr>
        <w:t xml:space="preserve"> </w:t>
      </w:r>
      <w:r>
        <w:rPr>
          <w:rFonts w:ascii="Arial" w:cs="Arial" w:eastAsia="Arial" w:hAnsi="Arial"/>
          <w:sz w:val="18"/>
          <w:szCs w:val="18"/>
          <w:color w:val="auto"/>
        </w:rPr>
        <w:t>result of two corporate claims, specifically in the marine hull segment. Nevertheless, the aforementioned was offset by i) lower claims in private health insurance and car insurance, in line with the recently implemented initiatives to improve profitability in both businesses.</w:t>
      </w:r>
    </w:p>
    <w:p>
      <w:pPr>
        <w:spacing w:after="0" w:line="180" w:lineRule="exact"/>
        <w:rPr>
          <w:sz w:val="20"/>
          <w:szCs w:val="20"/>
          <w:color w:val="auto"/>
        </w:rPr>
      </w:pPr>
    </w:p>
    <w:p>
      <w:pPr>
        <w:jc w:val="both"/>
        <w:ind w:right="20"/>
        <w:spacing w:after="0" w:line="280" w:lineRule="auto"/>
        <w:rPr>
          <w:sz w:val="20"/>
          <w:szCs w:val="20"/>
          <w:color w:val="auto"/>
        </w:rPr>
      </w:pPr>
      <w:r>
        <w:rPr>
          <w:rFonts w:ascii="Arial" w:cs="Arial" w:eastAsia="Arial" w:hAnsi="Arial"/>
          <w:sz w:val="18"/>
          <w:szCs w:val="18"/>
          <w:color w:val="auto"/>
        </w:rPr>
        <w:t>Life insurance business registered higher net claims due to major reserves and, to a lesser extent, to direct claims. It is noteworthy that the major reserves are associated to i) recent award of one tranche of AFP SISCO</w:t>
      </w:r>
      <w:r>
        <w:rPr>
          <w:rFonts w:ascii="Arial" w:cs="Arial" w:eastAsia="Arial" w:hAnsi="Arial"/>
          <w:sz w:val="30"/>
          <w:szCs w:val="30"/>
          <w:color w:val="auto"/>
          <w:vertAlign w:val="superscript"/>
        </w:rPr>
        <w:t>10</w:t>
      </w:r>
      <w:r>
        <w:rPr>
          <w:rFonts w:ascii="Arial" w:cs="Arial" w:eastAsia="Arial" w:hAnsi="Arial"/>
          <w:sz w:val="18"/>
          <w:szCs w:val="18"/>
          <w:color w:val="auto"/>
        </w:rPr>
        <w:t xml:space="preserve"> and ii) a higher volume of premiums turnover.</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6.3  Acquisition cost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Acquisition cost by Business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1754505</wp:posOffset>
            </wp:positionH>
            <wp:positionV relativeFrom="paragraph">
              <wp:posOffset>142875</wp:posOffset>
            </wp:positionV>
            <wp:extent cx="3713480" cy="18783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713480" cy="187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acquisition cost</w:t>
      </w:r>
      <w:r>
        <w:rPr>
          <w:rFonts w:ascii="Arial" w:cs="Arial" w:eastAsia="Arial" w:hAnsi="Arial"/>
          <w:sz w:val="18"/>
          <w:szCs w:val="18"/>
          <w:color w:val="auto"/>
        </w:rPr>
        <w:t>, which is composed of fees and net underwriting expenses</w:t>
      </w:r>
      <w:r>
        <w:rPr>
          <w:rFonts w:ascii="Arial" w:cs="Arial" w:eastAsia="Arial" w:hAnsi="Arial"/>
          <w:sz w:val="30"/>
          <w:szCs w:val="30"/>
          <w:color w:val="auto"/>
          <w:vertAlign w:val="superscript"/>
        </w:rPr>
        <w:t>11</w:t>
      </w:r>
      <w:r>
        <w:rPr>
          <w:rFonts w:ascii="Arial" w:cs="Arial" w:eastAsia="Arial" w:hAnsi="Arial"/>
          <w:sz w:val="18"/>
          <w:szCs w:val="18"/>
          <w:color w:val="auto"/>
        </w:rPr>
        <w:t>, fell -7.5% QoQ, mainly in the P&amp;C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180975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14" w:lineRule="exact"/>
        <w:rPr>
          <w:sz w:val="20"/>
          <w:szCs w:val="20"/>
          <w:color w:val="auto"/>
        </w:rPr>
      </w:pPr>
    </w:p>
    <w:p>
      <w:pPr>
        <w:ind w:left="200" w:hanging="192"/>
        <w:spacing w:after="0"/>
        <w:tabs>
          <w:tab w:leader="none" w:pos="200" w:val="left"/>
        </w:tabs>
        <w:numPr>
          <w:ilvl w:val="0"/>
          <w:numId w:val="48"/>
        </w:numPr>
        <w:rPr>
          <w:rFonts w:ascii="Arial" w:cs="Arial" w:eastAsia="Arial" w:hAnsi="Arial"/>
          <w:sz w:val="25"/>
          <w:szCs w:val="25"/>
          <w:color w:val="auto"/>
          <w:vertAlign w:val="superscript"/>
        </w:rPr>
      </w:pPr>
      <w:r>
        <w:rPr>
          <w:rFonts w:ascii="Arial" w:cs="Arial" w:eastAsia="Arial" w:hAnsi="Arial"/>
          <w:sz w:val="16"/>
          <w:szCs w:val="16"/>
          <w:color w:val="auto"/>
        </w:rPr>
        <w:t>Disability and survivorship insurance.</w:t>
      </w:r>
    </w:p>
    <w:p>
      <w:pPr>
        <w:spacing w:after="0" w:line="50" w:lineRule="exact"/>
        <w:rPr>
          <w:rFonts w:ascii="Arial" w:cs="Arial" w:eastAsia="Arial" w:hAnsi="Arial"/>
          <w:sz w:val="25"/>
          <w:szCs w:val="25"/>
          <w:color w:val="auto"/>
          <w:vertAlign w:val="superscript"/>
        </w:rPr>
      </w:pPr>
    </w:p>
    <w:p>
      <w:pPr>
        <w:ind w:left="240" w:hanging="232"/>
        <w:spacing w:after="0" w:line="184" w:lineRule="auto"/>
        <w:tabs>
          <w:tab w:leader="none" w:pos="240" w:val="left"/>
        </w:tabs>
        <w:numPr>
          <w:ilvl w:val="0"/>
          <w:numId w:val="48"/>
        </w:numPr>
        <w:rPr>
          <w:rFonts w:ascii="Arial" w:cs="Arial" w:eastAsia="Arial" w:hAnsi="Arial"/>
          <w:sz w:val="29"/>
          <w:szCs w:val="29"/>
          <w:color w:val="auto"/>
          <w:vertAlign w:val="superscript"/>
        </w:rPr>
      </w:pPr>
      <w:r>
        <w:rPr>
          <w:rFonts w:ascii="Arial" w:cs="Arial" w:eastAsia="Arial" w:hAnsi="Arial"/>
          <w:sz w:val="18"/>
          <w:szCs w:val="18"/>
          <w:color w:val="auto"/>
        </w:rPr>
        <w:t>Net underwriting expense = Underwriting Income + Underwriting expense.</w:t>
      </w:r>
    </w:p>
    <w:p>
      <w:pPr>
        <w:spacing w:after="0" w:line="200" w:lineRule="exact"/>
        <w:rPr>
          <w:sz w:val="20"/>
          <w:szCs w:val="20"/>
          <w:color w:val="auto"/>
        </w:rPr>
      </w:pPr>
    </w:p>
    <w:p>
      <w:pPr>
        <w:spacing w:after="0" w:line="20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6" w:name="page37"/>
    <w:bookmarkEnd w:id="36"/>
    <w:p>
      <w:pPr>
        <w:ind w:left="660" w:hanging="652"/>
        <w:spacing w:after="0"/>
        <w:tabs>
          <w:tab w:leader="none" w:pos="66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expenses and efficiency</w:t>
      </w:r>
    </w:p>
    <w:p>
      <w:pPr>
        <w:spacing w:after="0" w:line="233" w:lineRule="exact"/>
        <w:rPr>
          <w:sz w:val="20"/>
          <w:szCs w:val="20"/>
          <w:color w:val="auto"/>
        </w:rPr>
      </w:pPr>
    </w:p>
    <w:p>
      <w:pPr>
        <w:jc w:val="both"/>
        <w:spacing w:after="0" w:line="235" w:lineRule="auto"/>
        <w:rPr>
          <w:sz w:val="20"/>
          <w:szCs w:val="20"/>
          <w:color w:val="auto"/>
        </w:rPr>
      </w:pPr>
      <w:r>
        <w:rPr>
          <w:rFonts w:ascii="Arial" w:cs="Arial" w:eastAsia="Arial" w:hAnsi="Arial"/>
          <w:sz w:val="17"/>
          <w:szCs w:val="17"/>
          <w:i w:val="1"/>
          <w:iCs w:val="1"/>
          <w:color w:val="auto"/>
        </w:rPr>
        <w:t>The efficiency ratio</w:t>
      </w:r>
      <w:r>
        <w:rPr>
          <w:rFonts w:ascii="Arial" w:cs="Arial" w:eastAsia="Arial" w:hAnsi="Arial"/>
          <w:sz w:val="28"/>
          <w:szCs w:val="28"/>
          <w:i w:val="1"/>
          <w:iCs w:val="1"/>
          <w:color w:val="auto"/>
          <w:vertAlign w:val="superscript"/>
        </w:rPr>
        <w:t>12</w:t>
      </w:r>
      <w:r>
        <w:rPr>
          <w:rFonts w:ascii="Arial" w:cs="Arial" w:eastAsia="Arial" w:hAnsi="Arial"/>
          <w:sz w:val="17"/>
          <w:szCs w:val="17"/>
          <w:i w:val="1"/>
          <w:iCs w:val="1"/>
          <w:color w:val="auto"/>
        </w:rPr>
        <w:t xml:space="preserve"> was situated at 41.6%, which was slightly higher than the figure posted in 1Q15. The aforementioned was attributable to higher administrative, general and tax expenses that were mainly associated with seasonality in 1Q. In YoY terms, operating expenses increased only +2.8% due to concerted efforts since 2014 to implement the Efficiency Program. In this context, the efficiency ratio fell -230 bps YoY.</w:t>
      </w:r>
    </w:p>
    <w:p>
      <w:pPr>
        <w:spacing w:after="0" w:line="199"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398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Quarter</w:t>
            </w: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gridSpan w:val="3"/>
          </w:tcPr>
          <w:p>
            <w:pPr>
              <w:ind w:left="740"/>
              <w:spacing w:after="0"/>
              <w:rPr>
                <w:sz w:val="20"/>
                <w:szCs w:val="20"/>
                <w:color w:val="auto"/>
              </w:rPr>
            </w:pPr>
            <w:r>
              <w:rPr>
                <w:rFonts w:ascii="Arial" w:cs="Arial" w:eastAsia="Arial" w:hAnsi="Arial"/>
                <w:sz w:val="18"/>
                <w:szCs w:val="18"/>
                <w:b w:val="1"/>
                <w:bCs w:val="1"/>
                <w:color w:val="auto"/>
                <w:w w:val="95"/>
              </w:rPr>
              <w:t>% change</w:t>
            </w: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000</w:t>
            </w:r>
          </w:p>
        </w:tc>
        <w:tc>
          <w:tcPr>
            <w:tcW w:w="10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2Q14</w:t>
            </w:r>
          </w:p>
        </w:tc>
        <w:tc>
          <w:tcPr>
            <w:tcW w:w="28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1Q15</w:t>
            </w:r>
          </w:p>
        </w:tc>
        <w:tc>
          <w:tcPr>
            <w:tcW w:w="28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2Q15</w:t>
            </w:r>
          </w:p>
        </w:tc>
        <w:tc>
          <w:tcPr>
            <w:tcW w:w="28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QoQ</w:t>
            </w:r>
          </w:p>
        </w:tc>
        <w:tc>
          <w:tcPr>
            <w:tcW w:w="2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6"/>
              </w:rPr>
              <w:t>YoY</w:t>
            </w:r>
          </w:p>
        </w:tc>
        <w:tc>
          <w:tcPr>
            <w:tcW w:w="1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Salaries and employees benefits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699,013</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715,195</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718,214</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0.4%</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Administrative, general and tax expenses</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485,342</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431,167</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481,985</w:t>
            </w:r>
          </w:p>
        </w:tc>
        <w:tc>
          <w:tcPr>
            <w:tcW w:w="1260" w:type="dxa"/>
            <w:vAlign w:val="bottom"/>
            <w:gridSpan w:val="2"/>
          </w:tcPr>
          <w:p>
            <w:pPr>
              <w:jc w:val="right"/>
              <w:ind w:right="30"/>
              <w:spacing w:after="0"/>
              <w:rPr>
                <w:sz w:val="20"/>
                <w:szCs w:val="20"/>
                <w:color w:val="auto"/>
              </w:rPr>
            </w:pPr>
            <w:r>
              <w:rPr>
                <w:rFonts w:ascii="Arial" w:cs="Arial" w:eastAsia="Arial" w:hAnsi="Arial"/>
                <w:sz w:val="18"/>
                <w:szCs w:val="18"/>
                <w:color w:val="auto"/>
              </w:rPr>
              <w:t>11.8%</w:t>
            </w:r>
          </w:p>
        </w:tc>
        <w:tc>
          <w:tcPr>
            <w:tcW w:w="3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amortizacion</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103,939</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108,393</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110,699</w:t>
            </w:r>
          </w:p>
        </w:tc>
        <w:tc>
          <w:tcPr>
            <w:tcW w:w="12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30"/>
        </w:trPr>
        <w:tc>
          <w:tcPr>
            <w:tcW w:w="3980" w:type="dxa"/>
            <w:vAlign w:val="bottom"/>
            <w:gridSpan w:val="2"/>
          </w:tcPr>
          <w:p>
            <w:pPr>
              <w:spacing w:after="0"/>
              <w:rPr>
                <w:sz w:val="20"/>
                <w:szCs w:val="20"/>
                <w:color w:val="auto"/>
              </w:rPr>
            </w:pPr>
            <w:r>
              <w:rPr>
                <w:rFonts w:ascii="Arial" w:cs="Arial" w:eastAsia="Arial" w:hAnsi="Arial"/>
                <w:sz w:val="18"/>
                <w:szCs w:val="18"/>
                <w:color w:val="auto"/>
              </w:rPr>
              <w:t>Other expenses</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40,472</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41,115</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55,280</w:t>
            </w:r>
          </w:p>
        </w:tc>
        <w:tc>
          <w:tcPr>
            <w:tcW w:w="1260" w:type="dxa"/>
            <w:vAlign w:val="bottom"/>
            <w:gridSpan w:val="2"/>
          </w:tcPr>
          <w:p>
            <w:pPr>
              <w:jc w:val="right"/>
              <w:ind w:right="30"/>
              <w:spacing w:after="0"/>
              <w:rPr>
                <w:sz w:val="20"/>
                <w:szCs w:val="20"/>
                <w:color w:val="auto"/>
              </w:rPr>
            </w:pPr>
            <w:r>
              <w:rPr>
                <w:rFonts w:ascii="Arial" w:cs="Arial" w:eastAsia="Arial" w:hAnsi="Arial"/>
                <w:sz w:val="18"/>
                <w:szCs w:val="18"/>
                <w:color w:val="auto"/>
              </w:rPr>
              <w:t>34.5%</w:t>
            </w:r>
          </w:p>
        </w:tc>
        <w:tc>
          <w:tcPr>
            <w:tcW w:w="30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10"/>
        </w:trPr>
        <w:tc>
          <w:tcPr>
            <w:tcW w:w="39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1,328,766</w:t>
            </w:r>
          </w:p>
        </w:tc>
        <w:tc>
          <w:tcPr>
            <w:tcW w:w="2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1,295,870</w:t>
            </w:r>
          </w:p>
        </w:tc>
        <w:tc>
          <w:tcPr>
            <w:tcW w:w="2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1,366,178</w:t>
            </w:r>
          </w:p>
        </w:tc>
        <w:tc>
          <w:tcPr>
            <w:tcW w:w="2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w:t>
            </w:r>
          </w:p>
        </w:tc>
        <w:tc>
          <w:tcPr>
            <w:tcW w:w="28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50"/>
        </w:trPr>
        <w:tc>
          <w:tcPr>
            <w:tcW w:w="3980" w:type="dxa"/>
            <w:vAlign w:val="bottom"/>
            <w:gridSpan w:val="2"/>
          </w:tcPr>
          <w:p>
            <w:pPr>
              <w:spacing w:after="0" w:line="250" w:lineRule="exact"/>
              <w:rPr>
                <w:sz w:val="20"/>
                <w:szCs w:val="20"/>
                <w:color w:val="auto"/>
              </w:rPr>
            </w:pPr>
            <w:r>
              <w:rPr>
                <w:rFonts w:ascii="Arial" w:cs="Arial" w:eastAsia="Arial" w:hAnsi="Arial"/>
                <w:sz w:val="17"/>
                <w:szCs w:val="17"/>
                <w:b w:val="1"/>
                <w:bCs w:val="1"/>
                <w:color w:val="auto"/>
              </w:rPr>
              <w:t xml:space="preserve">Reported efficiency ratio </w:t>
            </w:r>
            <w:r>
              <w:rPr>
                <w:rFonts w:ascii="Arial" w:cs="Arial" w:eastAsia="Arial" w:hAnsi="Arial"/>
                <w:sz w:val="28"/>
                <w:szCs w:val="28"/>
                <w:b w:val="1"/>
                <w:bCs w:val="1"/>
                <w:color w:val="auto"/>
                <w:vertAlign w:val="superscript"/>
              </w:rPr>
              <w:t>(1)</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43.9%</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40.8%</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41.6%</w:t>
            </w:r>
          </w:p>
        </w:tc>
        <w:tc>
          <w:tcPr>
            <w:tcW w:w="1560" w:type="dxa"/>
            <w:vAlign w:val="bottom"/>
            <w:gridSpan w:val="3"/>
          </w:tcPr>
          <w:p>
            <w:pPr>
              <w:ind w:left="380"/>
              <w:spacing w:after="0"/>
              <w:rPr>
                <w:sz w:val="20"/>
                <w:szCs w:val="20"/>
                <w:color w:val="auto"/>
              </w:rPr>
            </w:pPr>
            <w:r>
              <w:rPr>
                <w:rFonts w:ascii="Arial" w:cs="Arial" w:eastAsia="Arial" w:hAnsi="Arial"/>
                <w:sz w:val="18"/>
                <w:szCs w:val="18"/>
                <w:b w:val="1"/>
                <w:bCs w:val="1"/>
                <w:color w:val="auto"/>
              </w:rPr>
              <w:t>+80 bps</w:t>
            </w:r>
          </w:p>
        </w:tc>
        <w:tc>
          <w:tcPr>
            <w:tcW w:w="88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w w:val="93"/>
              </w:rPr>
              <w:t>-230 bps</w:t>
            </w:r>
          </w:p>
        </w:tc>
        <w:tc>
          <w:tcPr>
            <w:tcW w:w="0" w:type="dxa"/>
            <w:vAlign w:val="bottom"/>
          </w:tcPr>
          <w:p>
            <w:pPr>
              <w:spacing w:after="0"/>
              <w:rPr>
                <w:sz w:val="1"/>
                <w:szCs w:val="1"/>
                <w:color w:val="auto"/>
              </w:rPr>
            </w:pPr>
          </w:p>
        </w:tc>
      </w:tr>
      <w:tr>
        <w:trPr>
          <w:trHeight w:val="20"/>
        </w:trPr>
        <w:tc>
          <w:tcPr>
            <w:tcW w:w="3980" w:type="dxa"/>
            <w:vAlign w:val="bottom"/>
            <w:gridSpan w:val="2"/>
            <w:vMerge w:val="restart"/>
            <w:shd w:val="clear" w:color="auto" w:fill="CCEEFF"/>
          </w:tcPr>
          <w:p>
            <w:pPr>
              <w:spacing w:after="0" w:line="269" w:lineRule="exact"/>
              <w:rPr>
                <w:sz w:val="20"/>
                <w:szCs w:val="20"/>
                <w:color w:val="auto"/>
              </w:rPr>
            </w:pPr>
            <w:r>
              <w:rPr>
                <w:rFonts w:ascii="Arial" w:cs="Arial" w:eastAsia="Arial" w:hAnsi="Arial"/>
                <w:sz w:val="18"/>
                <w:szCs w:val="18"/>
                <w:b w:val="1"/>
                <w:bCs w:val="1"/>
                <w:color w:val="auto"/>
              </w:rPr>
              <w:t xml:space="preserve">Operating expenses / Total assets </w:t>
            </w:r>
            <w:r>
              <w:rPr>
                <w:rFonts w:ascii="Arial" w:cs="Arial" w:eastAsia="Arial" w:hAnsi="Arial"/>
                <w:sz w:val="30"/>
                <w:szCs w:val="30"/>
                <w:b w:val="1"/>
                <w:bCs w:val="1"/>
                <w:color w:val="auto"/>
                <w:vertAlign w:val="superscript"/>
              </w:rPr>
              <w:t>(2)</w:t>
            </w:r>
          </w:p>
        </w:tc>
        <w:tc>
          <w:tcPr>
            <w:tcW w:w="10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980" w:type="dxa"/>
            <w:vAlign w:val="bottom"/>
            <w:gridSpan w:val="2"/>
            <w:vMerge w:val="continue"/>
            <w:shd w:val="clear" w:color="auto" w:fill="CCEEFF"/>
          </w:tcPr>
          <w:p>
            <w:pPr>
              <w:spacing w:after="0"/>
              <w:rPr>
                <w:sz w:val="21"/>
                <w:szCs w:val="21"/>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4.1%</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3.6%</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3.7%</w:t>
            </w:r>
          </w:p>
        </w:tc>
        <w:tc>
          <w:tcPr>
            <w:tcW w:w="1560" w:type="dxa"/>
            <w:vAlign w:val="bottom"/>
            <w:gridSpan w:val="3"/>
            <w:shd w:val="clear" w:color="auto" w:fill="CCEEFF"/>
          </w:tcPr>
          <w:p>
            <w:pPr>
              <w:ind w:left="380"/>
              <w:spacing w:after="0"/>
              <w:rPr>
                <w:sz w:val="20"/>
                <w:szCs w:val="20"/>
                <w:color w:val="auto"/>
              </w:rPr>
            </w:pPr>
            <w:r>
              <w:rPr>
                <w:rFonts w:ascii="Arial" w:cs="Arial" w:eastAsia="Arial" w:hAnsi="Arial"/>
                <w:sz w:val="18"/>
                <w:szCs w:val="18"/>
                <w:b w:val="1"/>
                <w:bCs w:val="1"/>
                <w:color w:val="auto"/>
              </w:rPr>
              <w:t>+10 bps</w:t>
            </w:r>
          </w:p>
        </w:tc>
        <w:tc>
          <w:tcPr>
            <w:tcW w:w="8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-40 bps</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660" w:firstLine="49"/>
        <w:spacing w:after="0" w:line="250" w:lineRule="auto"/>
        <w:tabs>
          <w:tab w:leader="none" w:pos="976" w:val="left"/>
        </w:tabs>
        <w:numPr>
          <w:ilvl w:val="1"/>
          <w:numId w:val="50"/>
        </w:numPr>
        <w:rPr>
          <w:rFonts w:ascii="Arial" w:cs="Arial" w:eastAsia="Arial" w:hAnsi="Arial"/>
          <w:sz w:val="18"/>
          <w:szCs w:val="18"/>
          <w:color w:val="auto"/>
        </w:rPr>
      </w:pPr>
      <w:r>
        <w:rPr>
          <w:rFonts w:ascii="Arial" w:cs="Arial" w:eastAsia="Arial" w:hAnsi="Arial"/>
          <w:sz w:val="18"/>
          <w:szCs w:val="18"/>
          <w:color w:val="auto"/>
        </w:rPr>
        <w:t>(Operating expenses - Other expenses) / (Net interest income + Fee income + Gain on foreign exchange transactions + Net premiums earned + Gross margin from medical services).</w:t>
      </w:r>
    </w:p>
    <w:p>
      <w:pPr>
        <w:ind w:left="920" w:hanging="264"/>
        <w:spacing w:after="0"/>
        <w:tabs>
          <w:tab w:leader="none" w:pos="9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(Operating expenses - Other expenses) / Average of Total Assets. Average are calculated with period-beginning and period-ending balances.</w:t>
      </w:r>
    </w:p>
    <w:p>
      <w:pPr>
        <w:spacing w:after="0" w:line="2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Operating expense increased only +5.4% QoQ due to (i) growth in administrative, general and tax expenses, which was basically seasonal in nature; and (ii) the fact that the salaries and employees benefits line remained stable QoQ. This evolution is in line with the Efficiency Program implemented at BCP in 2014 to ensure efficient growth.</w:t>
      </w:r>
    </w:p>
    <w:p>
      <w:pPr>
        <w:spacing w:after="0" w:line="17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Administrative, general and tax expenses </w:t>
      </w:r>
      <w:r>
        <w:rPr>
          <w:rFonts w:ascii="Arial" w:cs="Arial" w:eastAsia="Arial" w:hAnsi="Arial"/>
          <w:sz w:val="18"/>
          <w:szCs w:val="18"/>
          <w:color w:val="auto"/>
        </w:rPr>
        <w:t>grew +11.8% QoQ, which was mainly due to the seasonal factor that affects this line every 1Q, when the lowest</w:t>
      </w:r>
      <w:r>
        <w:rPr>
          <w:rFonts w:ascii="Arial" w:cs="Arial" w:eastAsia="Arial" w:hAnsi="Arial"/>
          <w:sz w:val="18"/>
          <w:szCs w:val="18"/>
          <w:b w:val="1"/>
          <w:bCs w:val="1"/>
          <w:color w:val="auto"/>
        </w:rPr>
        <w:t xml:space="preserve"> </w:t>
      </w:r>
      <w:r>
        <w:rPr>
          <w:rFonts w:ascii="Arial" w:cs="Arial" w:eastAsia="Arial" w:hAnsi="Arial"/>
          <w:sz w:val="18"/>
          <w:szCs w:val="18"/>
          <w:color w:val="auto"/>
        </w:rPr>
        <w:t>level of expenditure is reported. Expenses that increased QoQ included: rent, communications, taxes and contributions, and other minor expenses, as we will explain below.</w:t>
      </w:r>
    </w:p>
    <w:p>
      <w:pPr>
        <w:spacing w:after="0" w:line="176"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 xml:space="preserve">Expenses for </w:t>
      </w:r>
      <w:r>
        <w:rPr>
          <w:rFonts w:ascii="Arial" w:cs="Arial" w:eastAsia="Arial" w:hAnsi="Arial"/>
          <w:sz w:val="17"/>
          <w:szCs w:val="17"/>
          <w:b w:val="1"/>
          <w:bCs w:val="1"/>
          <w:color w:val="auto"/>
        </w:rPr>
        <w:t>Salaries and employees benefits</w:t>
      </w:r>
      <w:r>
        <w:rPr>
          <w:rFonts w:ascii="Arial" w:cs="Arial" w:eastAsia="Arial" w:hAnsi="Arial"/>
          <w:sz w:val="17"/>
          <w:szCs w:val="17"/>
          <w:color w:val="auto"/>
        </w:rPr>
        <w:t xml:space="preserve"> remained stable QoQ given that although the number of employees at Credicorp increased +1.9% QoQ (33,828 at the end of 2Q15 vs. 32,281 at the end of 1Q15), the bulk of new employees was registered at Mibanco. Nonetheless, Mibanco reduced its expenses for employee salaries and benefits given that in 1Q15, it registered one-time expenses related to the integration of Edyficar and Mibanco.</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 analysis of operating expenses YoY (only +2.8%) shows that the evolution of these expenses was driven primarily by salaries and employee benefits, which was in line with business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180975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47" w:lineRule="exact"/>
        <w:rPr>
          <w:sz w:val="20"/>
          <w:szCs w:val="20"/>
          <w:color w:val="auto"/>
        </w:rPr>
      </w:pPr>
    </w:p>
    <w:p>
      <w:pPr>
        <w:ind w:left="200" w:hanging="192"/>
        <w:spacing w:after="0"/>
        <w:tabs>
          <w:tab w:leader="none" w:pos="200" w:val="left"/>
        </w:tabs>
        <w:numPr>
          <w:ilvl w:val="0"/>
          <w:numId w:val="52"/>
        </w:numPr>
        <w:rPr>
          <w:rFonts w:ascii="Arial" w:cs="Arial" w:eastAsia="Arial" w:hAnsi="Arial"/>
          <w:sz w:val="25"/>
          <w:szCs w:val="25"/>
          <w:color w:val="auto"/>
          <w:vertAlign w:val="superscript"/>
        </w:rPr>
      </w:pPr>
      <w:r>
        <w:rPr>
          <w:rFonts w:ascii="Arial" w:cs="Arial" w:eastAsia="Arial" w:hAnsi="Arial"/>
          <w:sz w:val="16"/>
          <w:szCs w:val="16"/>
          <w:color w:val="auto"/>
        </w:rPr>
        <w:t>The efficiency ratio is calculated using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2470150" cy="1543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47015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The following table contains information on Administrative and general expenses: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Administrative and general expenses</w:t>
            </w: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3"/>
          </w:tcPr>
          <w:p>
            <w:pPr>
              <w:ind w:left="480"/>
              <w:spacing w:after="0"/>
              <w:rPr>
                <w:sz w:val="20"/>
                <w:szCs w:val="20"/>
                <w:color w:val="auto"/>
              </w:rPr>
            </w:pPr>
            <w:r>
              <w:rPr>
                <w:rFonts w:ascii="Arial" w:cs="Arial" w:eastAsia="Arial" w:hAnsi="Arial"/>
                <w:sz w:val="18"/>
                <w:szCs w:val="18"/>
                <w:b w:val="1"/>
                <w:bCs w:val="1"/>
                <w:color w:val="auto"/>
                <w:w w:val="95"/>
              </w:rPr>
              <w:t>Quarter</w:t>
            </w: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3"/>
          </w:tcPr>
          <w:p>
            <w:pPr>
              <w:ind w:left="520"/>
              <w:spacing w:after="0"/>
              <w:rPr>
                <w:sz w:val="20"/>
                <w:szCs w:val="20"/>
                <w:color w:val="auto"/>
              </w:rPr>
            </w:pPr>
            <w:r>
              <w:rPr>
                <w:rFonts w:ascii="Arial" w:cs="Arial" w:eastAsia="Arial" w:hAnsi="Arial"/>
                <w:sz w:val="18"/>
                <w:szCs w:val="18"/>
                <w:b w:val="1"/>
                <w:bCs w:val="1"/>
                <w:color w:val="auto"/>
                <w:w w:val="84"/>
              </w:rPr>
              <w:t>Change</w:t>
            </w: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71"/>
        </w:trPr>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(000)</w:t>
            </w:r>
          </w:p>
        </w:tc>
        <w:tc>
          <w:tcPr>
            <w:tcW w:w="100" w:type="dxa"/>
            <w:vAlign w:val="bottom"/>
            <w:tcBorders>
              <w:bottom w:val="single" w:sz="8" w:color="CCEEFF"/>
            </w:tcBorders>
          </w:tcPr>
          <w:p>
            <w:pPr>
              <w:spacing w:after="0"/>
              <w:rPr>
                <w:sz w:val="23"/>
                <w:szCs w:val="23"/>
                <w:color w:val="auto"/>
              </w:rPr>
            </w:pPr>
          </w:p>
        </w:tc>
        <w:tc>
          <w:tcPr>
            <w:tcW w:w="70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2Q14</w:t>
            </w:r>
          </w:p>
        </w:tc>
        <w:tc>
          <w:tcPr>
            <w:tcW w:w="220" w:type="dxa"/>
            <w:vAlign w:val="bottom"/>
            <w:tcBorders>
              <w:bottom w:val="single" w:sz="8" w:color="CCEEFF"/>
            </w:tcBorders>
          </w:tcPr>
          <w:p>
            <w:pPr>
              <w:spacing w:after="0"/>
              <w:rPr>
                <w:sz w:val="23"/>
                <w:szCs w:val="23"/>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CEEFF"/>
            </w:tcBorders>
          </w:tcPr>
          <w:p>
            <w:pPr>
              <w:spacing w:after="0"/>
              <w:rPr>
                <w:sz w:val="23"/>
                <w:szCs w:val="23"/>
                <w:color w:val="auto"/>
              </w:rPr>
            </w:pPr>
          </w:p>
        </w:tc>
        <w:tc>
          <w:tcPr>
            <w:tcW w:w="700" w:type="dxa"/>
            <w:vAlign w:val="bottom"/>
            <w:tcBorders>
              <w:bottom w:val="single" w:sz="8" w:color="auto"/>
            </w:tcBorders>
          </w:tcPr>
          <w:p>
            <w:pPr>
              <w:jc w:val="right"/>
              <w:spacing w:after="0" w:line="271" w:lineRule="exact"/>
              <w:rPr>
                <w:sz w:val="20"/>
                <w:szCs w:val="20"/>
                <w:color w:val="auto"/>
              </w:rPr>
            </w:pPr>
            <w:r>
              <w:rPr>
                <w:rFonts w:ascii="Arial" w:cs="Arial" w:eastAsia="Arial" w:hAnsi="Arial"/>
                <w:sz w:val="18"/>
                <w:szCs w:val="18"/>
                <w:b w:val="1"/>
                <w:bCs w:val="1"/>
                <w:color w:val="auto"/>
                <w:w w:val="87"/>
              </w:rPr>
              <w:t xml:space="preserve">1Q15 </w:t>
            </w:r>
            <w:r>
              <w:rPr>
                <w:rFonts w:ascii="Arial" w:cs="Arial" w:eastAsia="Arial" w:hAnsi="Arial"/>
                <w:sz w:val="30"/>
                <w:szCs w:val="30"/>
                <w:b w:val="1"/>
                <w:bCs w:val="1"/>
                <w:color w:val="auto"/>
                <w:w w:val="87"/>
                <w:vertAlign w:val="superscript"/>
              </w:rPr>
              <w:t>(1)</w:t>
            </w:r>
          </w:p>
        </w:tc>
        <w:tc>
          <w:tcPr>
            <w:tcW w:w="2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CCEEFF"/>
            </w:tcBorders>
          </w:tcPr>
          <w:p>
            <w:pPr>
              <w:spacing w:after="0"/>
              <w:rPr>
                <w:sz w:val="23"/>
                <w:szCs w:val="23"/>
                <w:color w:val="auto"/>
              </w:rPr>
            </w:pPr>
          </w:p>
        </w:tc>
        <w:tc>
          <w:tcPr>
            <w:tcW w:w="7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2Q15</w:t>
            </w:r>
          </w:p>
        </w:tc>
        <w:tc>
          <w:tcPr>
            <w:tcW w:w="220" w:type="dxa"/>
            <w:vAlign w:val="bottom"/>
            <w:tcBorders>
              <w:bottom w:val="single" w:sz="8" w:color="CCEEFF"/>
            </w:tcBorders>
          </w:tcPr>
          <w:p>
            <w:pPr>
              <w:spacing w:after="0"/>
              <w:rPr>
                <w:sz w:val="23"/>
                <w:szCs w:val="23"/>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CEEFF"/>
            </w:tcBorders>
          </w:tcPr>
          <w:p>
            <w:pPr>
              <w:spacing w:after="0"/>
              <w:rPr>
                <w:sz w:val="23"/>
                <w:szCs w:val="23"/>
                <w:color w:val="auto"/>
              </w:rPr>
            </w:pPr>
          </w:p>
        </w:tc>
        <w:tc>
          <w:tcPr>
            <w:tcW w:w="6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QoQ</w:t>
            </w:r>
          </w:p>
        </w:tc>
        <w:tc>
          <w:tcPr>
            <w:tcW w:w="26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1"/>
              </w:rPr>
              <w:t>YoY</w:t>
            </w:r>
          </w:p>
        </w:tc>
        <w:tc>
          <w:tcPr>
            <w:tcW w:w="160" w:type="dxa"/>
            <w:vAlign w:val="bottom"/>
            <w:tcBorders>
              <w:bottom w:val="single" w:sz="8" w:color="CCEEFF"/>
            </w:tcBorders>
          </w:tcPr>
          <w:p>
            <w:pPr>
              <w:spacing w:after="0"/>
              <w:rPr>
                <w:sz w:val="23"/>
                <w:szCs w:val="23"/>
                <w:color w:val="auto"/>
              </w:rPr>
            </w:pPr>
          </w:p>
        </w:tc>
      </w:tr>
      <w:tr>
        <w:trPr>
          <w:trHeight w:val="210"/>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Marketing</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3"/>
              </w:rPr>
              <w:t>64,115</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55,374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56,849</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9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Taxes and contributions</w:t>
            </w:r>
          </w:p>
        </w:tc>
        <w:tc>
          <w:tcPr>
            <w:tcW w:w="920" w:type="dxa"/>
            <w:vAlign w:val="bottom"/>
            <w:gridSpan w:val="2"/>
          </w:tcPr>
          <w:p>
            <w:pPr>
              <w:ind w:left="220"/>
              <w:spacing w:after="0"/>
              <w:rPr>
                <w:sz w:val="20"/>
                <w:szCs w:val="20"/>
                <w:color w:val="auto"/>
              </w:rPr>
            </w:pPr>
            <w:r>
              <w:rPr>
                <w:rFonts w:ascii="Arial" w:cs="Arial" w:eastAsia="Arial" w:hAnsi="Arial"/>
                <w:sz w:val="18"/>
                <w:szCs w:val="18"/>
                <w:color w:val="auto"/>
              </w:rPr>
              <w:t>49,665</w:t>
            </w:r>
          </w:p>
        </w:tc>
        <w:tc>
          <w:tcPr>
            <w:tcW w:w="940" w:type="dxa"/>
            <w:vAlign w:val="bottom"/>
            <w:gridSpan w:val="2"/>
          </w:tcPr>
          <w:p>
            <w:pPr>
              <w:jc w:val="right"/>
              <w:ind w:right="30"/>
              <w:spacing w:after="0"/>
              <w:rPr>
                <w:sz w:val="20"/>
                <w:szCs w:val="20"/>
                <w:color w:val="auto"/>
              </w:rPr>
            </w:pPr>
            <w:r>
              <w:rPr>
                <w:rFonts w:ascii="Arial" w:cs="Arial" w:eastAsia="Arial" w:hAnsi="Arial"/>
                <w:sz w:val="18"/>
                <w:szCs w:val="18"/>
                <w:color w:val="auto"/>
              </w:rPr>
              <w:t>10%</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50,488</w:t>
            </w:r>
          </w:p>
        </w:tc>
        <w:tc>
          <w:tcPr>
            <w:tcW w:w="200" w:type="dxa"/>
            <w:vAlign w:val="bottom"/>
          </w:tcPr>
          <w:p>
            <w:pPr>
              <w:spacing w:after="0"/>
              <w:rPr>
                <w:sz w:val="18"/>
                <w:szCs w:val="18"/>
                <w:color w:val="auto"/>
              </w:rPr>
            </w:pPr>
          </w:p>
        </w:tc>
        <w:tc>
          <w:tcPr>
            <w:tcW w:w="720" w:type="dxa"/>
            <w:vAlign w:val="bottom"/>
            <w:gridSpan w:val="2"/>
          </w:tcPr>
          <w:p>
            <w:pPr>
              <w:jc w:val="right"/>
              <w:ind w:right="30"/>
              <w:spacing w:after="0"/>
              <w:rPr>
                <w:sz w:val="20"/>
                <w:szCs w:val="20"/>
                <w:color w:val="auto"/>
              </w:rPr>
            </w:pPr>
            <w:r>
              <w:rPr>
                <w:rFonts w:ascii="Arial" w:cs="Arial" w:eastAsia="Arial" w:hAnsi="Arial"/>
                <w:sz w:val="18"/>
                <w:szCs w:val="18"/>
                <w:color w:val="auto"/>
              </w:rPr>
              <w:t>12%</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56,091</w:t>
            </w:r>
          </w:p>
        </w:tc>
        <w:tc>
          <w:tcPr>
            <w:tcW w:w="940" w:type="dxa"/>
            <w:vAlign w:val="bottom"/>
            <w:gridSpan w:val="2"/>
          </w:tcPr>
          <w:p>
            <w:pPr>
              <w:jc w:val="right"/>
              <w:ind w:right="30"/>
              <w:spacing w:after="0"/>
              <w:rPr>
                <w:sz w:val="20"/>
                <w:szCs w:val="20"/>
                <w:color w:val="auto"/>
              </w:rPr>
            </w:pPr>
            <w:r>
              <w:rPr>
                <w:rFonts w:ascii="Arial" w:cs="Arial" w:eastAsia="Arial" w:hAnsi="Arial"/>
                <w:sz w:val="18"/>
                <w:szCs w:val="18"/>
                <w:color w:val="auto"/>
              </w:rPr>
              <w:t>12%</w:t>
            </w:r>
          </w:p>
        </w:tc>
        <w:tc>
          <w:tcPr>
            <w:tcW w:w="940" w:type="dxa"/>
            <w:vAlign w:val="bottom"/>
            <w:gridSpan w:val="2"/>
          </w:tcPr>
          <w:p>
            <w:pPr>
              <w:jc w:val="right"/>
              <w:ind w:right="30"/>
              <w:spacing w:after="0"/>
              <w:rPr>
                <w:sz w:val="20"/>
                <w:szCs w:val="20"/>
                <w:color w:val="auto"/>
              </w:rPr>
            </w:pPr>
            <w:r>
              <w:rPr>
                <w:rFonts w:ascii="Arial" w:cs="Arial" w:eastAsia="Arial" w:hAnsi="Arial"/>
                <w:sz w:val="18"/>
                <w:szCs w:val="18"/>
                <w:color w:val="auto"/>
              </w:rPr>
              <w:t>11.1%</w:t>
            </w: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12.9%</w:t>
            </w: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Insfrastructure</w:t>
            </w:r>
          </w:p>
        </w:tc>
        <w:tc>
          <w:tcPr>
            <w:tcW w:w="9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52,954</w:t>
            </w:r>
          </w:p>
        </w:tc>
        <w:tc>
          <w:tcPr>
            <w:tcW w:w="9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53,526</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60,376</w:t>
            </w:r>
          </w:p>
        </w:tc>
        <w:tc>
          <w:tcPr>
            <w:tcW w:w="9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9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12.8%</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Minor expenses</w:t>
            </w:r>
          </w:p>
        </w:tc>
        <w:tc>
          <w:tcPr>
            <w:tcW w:w="920" w:type="dxa"/>
            <w:vAlign w:val="bottom"/>
            <w:gridSpan w:val="2"/>
          </w:tcPr>
          <w:p>
            <w:pPr>
              <w:ind w:left="220"/>
              <w:spacing w:after="0"/>
              <w:rPr>
                <w:sz w:val="20"/>
                <w:szCs w:val="20"/>
                <w:color w:val="auto"/>
              </w:rPr>
            </w:pPr>
            <w:r>
              <w:rPr>
                <w:rFonts w:ascii="Arial" w:cs="Arial" w:eastAsia="Arial" w:hAnsi="Arial"/>
                <w:sz w:val="18"/>
                <w:szCs w:val="18"/>
                <w:color w:val="auto"/>
              </w:rPr>
              <w:t>63,646</w:t>
            </w:r>
          </w:p>
        </w:tc>
        <w:tc>
          <w:tcPr>
            <w:tcW w:w="940" w:type="dxa"/>
            <w:vAlign w:val="bottom"/>
            <w:gridSpan w:val="2"/>
          </w:tcPr>
          <w:p>
            <w:pPr>
              <w:jc w:val="right"/>
              <w:ind w:right="30"/>
              <w:spacing w:after="0"/>
              <w:rPr>
                <w:sz w:val="20"/>
                <w:szCs w:val="20"/>
                <w:color w:val="auto"/>
              </w:rPr>
            </w:pPr>
            <w:r>
              <w:rPr>
                <w:rFonts w:ascii="Arial" w:cs="Arial" w:eastAsia="Arial" w:hAnsi="Arial"/>
                <w:sz w:val="18"/>
                <w:szCs w:val="18"/>
                <w:color w:val="auto"/>
              </w:rPr>
              <w:t>13%</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54,644</w:t>
            </w:r>
          </w:p>
        </w:tc>
        <w:tc>
          <w:tcPr>
            <w:tcW w:w="200" w:type="dxa"/>
            <w:vAlign w:val="bottom"/>
          </w:tcPr>
          <w:p>
            <w:pPr>
              <w:spacing w:after="0"/>
              <w:rPr>
                <w:sz w:val="18"/>
                <w:szCs w:val="18"/>
                <w:color w:val="auto"/>
              </w:rPr>
            </w:pPr>
          </w:p>
        </w:tc>
        <w:tc>
          <w:tcPr>
            <w:tcW w:w="720" w:type="dxa"/>
            <w:vAlign w:val="bottom"/>
            <w:gridSpan w:val="2"/>
          </w:tcPr>
          <w:p>
            <w:pPr>
              <w:jc w:val="right"/>
              <w:ind w:right="30"/>
              <w:spacing w:after="0"/>
              <w:rPr>
                <w:sz w:val="20"/>
                <w:szCs w:val="20"/>
                <w:color w:val="auto"/>
              </w:rPr>
            </w:pPr>
            <w:r>
              <w:rPr>
                <w:rFonts w:ascii="Arial" w:cs="Arial" w:eastAsia="Arial" w:hAnsi="Arial"/>
                <w:sz w:val="18"/>
                <w:szCs w:val="18"/>
                <w:color w:val="auto"/>
              </w:rPr>
              <w:t>13%</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64,382</w:t>
            </w:r>
          </w:p>
        </w:tc>
        <w:tc>
          <w:tcPr>
            <w:tcW w:w="940" w:type="dxa"/>
            <w:vAlign w:val="bottom"/>
            <w:gridSpan w:val="2"/>
          </w:tcPr>
          <w:p>
            <w:pPr>
              <w:jc w:val="right"/>
              <w:ind w:right="30"/>
              <w:spacing w:after="0"/>
              <w:rPr>
                <w:sz w:val="20"/>
                <w:szCs w:val="20"/>
                <w:color w:val="auto"/>
              </w:rPr>
            </w:pPr>
            <w:r>
              <w:rPr>
                <w:rFonts w:ascii="Arial" w:cs="Arial" w:eastAsia="Arial" w:hAnsi="Arial"/>
                <w:sz w:val="18"/>
                <w:szCs w:val="18"/>
                <w:color w:val="auto"/>
              </w:rPr>
              <w:t>13%</w:t>
            </w:r>
          </w:p>
        </w:tc>
        <w:tc>
          <w:tcPr>
            <w:tcW w:w="940" w:type="dxa"/>
            <w:vAlign w:val="bottom"/>
            <w:gridSpan w:val="2"/>
          </w:tcPr>
          <w:p>
            <w:pPr>
              <w:jc w:val="right"/>
              <w:ind w:right="30"/>
              <w:spacing w:after="0"/>
              <w:rPr>
                <w:sz w:val="20"/>
                <w:szCs w:val="20"/>
                <w:color w:val="auto"/>
              </w:rPr>
            </w:pPr>
            <w:r>
              <w:rPr>
                <w:rFonts w:ascii="Arial" w:cs="Arial" w:eastAsia="Arial" w:hAnsi="Arial"/>
                <w:sz w:val="18"/>
                <w:szCs w:val="18"/>
                <w:color w:val="auto"/>
              </w:rPr>
              <w:t>17.8%</w:t>
            </w: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Systems outsourcing</w:t>
            </w:r>
          </w:p>
        </w:tc>
        <w:tc>
          <w:tcPr>
            <w:tcW w:w="9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43,339</w:t>
            </w:r>
          </w:p>
        </w:tc>
        <w:tc>
          <w:tcPr>
            <w:tcW w:w="9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45,597</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48,850</w:t>
            </w:r>
          </w:p>
        </w:tc>
        <w:tc>
          <w:tcPr>
            <w:tcW w:w="9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9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7.1%</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Programs and systems</w:t>
            </w:r>
          </w:p>
        </w:tc>
        <w:tc>
          <w:tcPr>
            <w:tcW w:w="920" w:type="dxa"/>
            <w:vAlign w:val="bottom"/>
            <w:gridSpan w:val="2"/>
          </w:tcPr>
          <w:p>
            <w:pPr>
              <w:ind w:left="220"/>
              <w:spacing w:after="0"/>
              <w:rPr>
                <w:sz w:val="20"/>
                <w:szCs w:val="20"/>
                <w:color w:val="auto"/>
              </w:rPr>
            </w:pPr>
            <w:r>
              <w:rPr>
                <w:rFonts w:ascii="Arial" w:cs="Arial" w:eastAsia="Arial" w:hAnsi="Arial"/>
                <w:sz w:val="18"/>
                <w:szCs w:val="18"/>
                <w:color w:val="auto"/>
              </w:rPr>
              <w:t>48,088</w:t>
            </w:r>
          </w:p>
        </w:tc>
        <w:tc>
          <w:tcPr>
            <w:tcW w:w="940" w:type="dxa"/>
            <w:vAlign w:val="bottom"/>
            <w:gridSpan w:val="2"/>
          </w:tcPr>
          <w:p>
            <w:pPr>
              <w:jc w:val="right"/>
              <w:ind w:right="30"/>
              <w:spacing w:after="0"/>
              <w:rPr>
                <w:sz w:val="20"/>
                <w:szCs w:val="20"/>
                <w:color w:val="auto"/>
              </w:rPr>
            </w:pPr>
            <w:r>
              <w:rPr>
                <w:rFonts w:ascii="Arial" w:cs="Arial" w:eastAsia="Arial" w:hAnsi="Arial"/>
                <w:sz w:val="18"/>
                <w:szCs w:val="18"/>
                <w:color w:val="auto"/>
              </w:rPr>
              <w:t>10%</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44,668</w:t>
            </w:r>
          </w:p>
        </w:tc>
        <w:tc>
          <w:tcPr>
            <w:tcW w:w="200" w:type="dxa"/>
            <w:vAlign w:val="bottom"/>
          </w:tcPr>
          <w:p>
            <w:pPr>
              <w:spacing w:after="0"/>
              <w:rPr>
                <w:sz w:val="18"/>
                <w:szCs w:val="18"/>
                <w:color w:val="auto"/>
              </w:rPr>
            </w:pPr>
          </w:p>
        </w:tc>
        <w:tc>
          <w:tcPr>
            <w:tcW w:w="720" w:type="dxa"/>
            <w:vAlign w:val="bottom"/>
            <w:gridSpan w:val="2"/>
          </w:tcPr>
          <w:p>
            <w:pPr>
              <w:jc w:val="right"/>
              <w:ind w:right="30"/>
              <w:spacing w:after="0"/>
              <w:rPr>
                <w:sz w:val="20"/>
                <w:szCs w:val="20"/>
                <w:color w:val="auto"/>
              </w:rPr>
            </w:pPr>
            <w:r>
              <w:rPr>
                <w:rFonts w:ascii="Arial" w:cs="Arial" w:eastAsia="Arial" w:hAnsi="Arial"/>
                <w:sz w:val="18"/>
                <w:szCs w:val="18"/>
                <w:color w:val="auto"/>
              </w:rPr>
              <w:t>10%</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49,401</w:t>
            </w:r>
          </w:p>
        </w:tc>
        <w:tc>
          <w:tcPr>
            <w:tcW w:w="940" w:type="dxa"/>
            <w:vAlign w:val="bottom"/>
            <w:gridSpan w:val="2"/>
          </w:tcPr>
          <w:p>
            <w:pPr>
              <w:jc w:val="right"/>
              <w:ind w:right="30"/>
              <w:spacing w:after="0"/>
              <w:rPr>
                <w:sz w:val="20"/>
                <w:szCs w:val="20"/>
                <w:color w:val="auto"/>
              </w:rPr>
            </w:pPr>
            <w:r>
              <w:rPr>
                <w:rFonts w:ascii="Arial" w:cs="Arial" w:eastAsia="Arial" w:hAnsi="Arial"/>
                <w:sz w:val="18"/>
                <w:szCs w:val="18"/>
                <w:color w:val="auto"/>
              </w:rPr>
              <w:t>10%</w:t>
            </w:r>
          </w:p>
        </w:tc>
        <w:tc>
          <w:tcPr>
            <w:tcW w:w="940" w:type="dxa"/>
            <w:vAlign w:val="bottom"/>
            <w:gridSpan w:val="2"/>
          </w:tcPr>
          <w:p>
            <w:pPr>
              <w:jc w:val="right"/>
              <w:ind w:right="30"/>
              <w:spacing w:after="0"/>
              <w:rPr>
                <w:sz w:val="20"/>
                <w:szCs w:val="20"/>
                <w:color w:val="auto"/>
              </w:rPr>
            </w:pPr>
            <w:r>
              <w:rPr>
                <w:rFonts w:ascii="Arial" w:cs="Arial" w:eastAsia="Arial" w:hAnsi="Arial"/>
                <w:sz w:val="18"/>
                <w:szCs w:val="18"/>
                <w:color w:val="auto"/>
              </w:rPr>
              <w:t>10.6%</w:t>
            </w: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Communications</w:t>
            </w:r>
          </w:p>
        </w:tc>
        <w:tc>
          <w:tcPr>
            <w:tcW w:w="9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27,420</w:t>
            </w:r>
          </w:p>
        </w:tc>
        <w:tc>
          <w:tcPr>
            <w:tcW w:w="9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25,415</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26,720</w:t>
            </w:r>
          </w:p>
        </w:tc>
        <w:tc>
          <w:tcPr>
            <w:tcW w:w="9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9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5.1%</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Rent</w:t>
            </w:r>
          </w:p>
        </w:tc>
        <w:tc>
          <w:tcPr>
            <w:tcW w:w="920" w:type="dxa"/>
            <w:vAlign w:val="bottom"/>
            <w:gridSpan w:val="2"/>
          </w:tcPr>
          <w:p>
            <w:pPr>
              <w:ind w:left="220"/>
              <w:spacing w:after="0"/>
              <w:rPr>
                <w:sz w:val="20"/>
                <w:szCs w:val="20"/>
                <w:color w:val="auto"/>
              </w:rPr>
            </w:pPr>
            <w:r>
              <w:rPr>
                <w:rFonts w:ascii="Arial" w:cs="Arial" w:eastAsia="Arial" w:hAnsi="Arial"/>
                <w:sz w:val="18"/>
                <w:szCs w:val="18"/>
                <w:color w:val="auto"/>
              </w:rPr>
              <w:t>39,334</w:t>
            </w:r>
          </w:p>
        </w:tc>
        <w:tc>
          <w:tcPr>
            <w:tcW w:w="940" w:type="dxa"/>
            <w:vAlign w:val="bottom"/>
            <w:gridSpan w:val="2"/>
          </w:tcPr>
          <w:p>
            <w:pPr>
              <w:jc w:val="right"/>
              <w:ind w:right="30"/>
              <w:spacing w:after="0"/>
              <w:rPr>
                <w:sz w:val="20"/>
                <w:szCs w:val="20"/>
                <w:color w:val="auto"/>
              </w:rPr>
            </w:pPr>
            <w:r>
              <w:rPr>
                <w:rFonts w:ascii="Arial" w:cs="Arial" w:eastAsia="Arial" w:hAnsi="Arial"/>
                <w:sz w:val="18"/>
                <w:szCs w:val="18"/>
                <w:color w:val="auto"/>
              </w:rPr>
              <w:t>8%</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40,352</w:t>
            </w:r>
          </w:p>
        </w:tc>
        <w:tc>
          <w:tcPr>
            <w:tcW w:w="200" w:type="dxa"/>
            <w:vAlign w:val="bottom"/>
          </w:tcPr>
          <w:p>
            <w:pPr>
              <w:spacing w:after="0"/>
              <w:rPr>
                <w:sz w:val="18"/>
                <w:szCs w:val="18"/>
                <w:color w:val="auto"/>
              </w:rPr>
            </w:pPr>
          </w:p>
        </w:tc>
        <w:tc>
          <w:tcPr>
            <w:tcW w:w="720" w:type="dxa"/>
            <w:vAlign w:val="bottom"/>
            <w:gridSpan w:val="2"/>
          </w:tcPr>
          <w:p>
            <w:pPr>
              <w:jc w:val="right"/>
              <w:ind w:right="30"/>
              <w:spacing w:after="0"/>
              <w:rPr>
                <w:sz w:val="20"/>
                <w:szCs w:val="20"/>
                <w:color w:val="auto"/>
              </w:rPr>
            </w:pPr>
            <w:r>
              <w:rPr>
                <w:rFonts w:ascii="Arial" w:cs="Arial" w:eastAsia="Arial" w:hAnsi="Arial"/>
                <w:sz w:val="18"/>
                <w:szCs w:val="18"/>
                <w:color w:val="auto"/>
              </w:rPr>
              <w:t>9%</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42,233</w:t>
            </w:r>
          </w:p>
        </w:tc>
        <w:tc>
          <w:tcPr>
            <w:tcW w:w="940" w:type="dxa"/>
            <w:vAlign w:val="bottom"/>
            <w:gridSpan w:val="2"/>
          </w:tcPr>
          <w:p>
            <w:pPr>
              <w:jc w:val="right"/>
              <w:ind w:right="30"/>
              <w:spacing w:after="0"/>
              <w:rPr>
                <w:sz w:val="20"/>
                <w:szCs w:val="20"/>
                <w:color w:val="auto"/>
              </w:rPr>
            </w:pPr>
            <w:r>
              <w:rPr>
                <w:rFonts w:ascii="Arial" w:cs="Arial" w:eastAsia="Arial" w:hAnsi="Arial"/>
                <w:sz w:val="18"/>
                <w:szCs w:val="18"/>
                <w:color w:val="auto"/>
              </w:rPr>
              <w:t>9%</w:t>
            </w:r>
          </w:p>
        </w:tc>
        <w:tc>
          <w:tcPr>
            <w:tcW w:w="940" w:type="dxa"/>
            <w:vAlign w:val="bottom"/>
            <w:gridSpan w:val="2"/>
          </w:tcPr>
          <w:p>
            <w:pPr>
              <w:jc w:val="right"/>
              <w:ind w:right="30"/>
              <w:spacing w:after="0"/>
              <w:rPr>
                <w:sz w:val="20"/>
                <w:szCs w:val="20"/>
                <w:color w:val="auto"/>
              </w:rPr>
            </w:pPr>
            <w:r>
              <w:rPr>
                <w:rFonts w:ascii="Arial" w:cs="Arial" w:eastAsia="Arial" w:hAnsi="Arial"/>
                <w:sz w:val="18"/>
                <w:szCs w:val="18"/>
                <w:color w:val="auto"/>
              </w:rPr>
              <w:t>4.7%</w:t>
            </w: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Consulting</w:t>
            </w:r>
          </w:p>
        </w:tc>
        <w:tc>
          <w:tcPr>
            <w:tcW w:w="9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30,892</w:t>
            </w:r>
          </w:p>
        </w:tc>
        <w:tc>
          <w:tcPr>
            <w:tcW w:w="9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16,495</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26,066</w:t>
            </w:r>
          </w:p>
        </w:tc>
        <w:tc>
          <w:tcPr>
            <w:tcW w:w="9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9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58.0%</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Channels</w:t>
            </w:r>
          </w:p>
        </w:tc>
        <w:tc>
          <w:tcPr>
            <w:tcW w:w="920" w:type="dxa"/>
            <w:vAlign w:val="bottom"/>
            <w:gridSpan w:val="2"/>
          </w:tcPr>
          <w:p>
            <w:pPr>
              <w:ind w:left="220"/>
              <w:spacing w:after="0"/>
              <w:rPr>
                <w:sz w:val="20"/>
                <w:szCs w:val="20"/>
                <w:color w:val="auto"/>
              </w:rPr>
            </w:pPr>
            <w:r>
              <w:rPr>
                <w:rFonts w:ascii="Arial" w:cs="Arial" w:eastAsia="Arial" w:hAnsi="Arial"/>
                <w:sz w:val="18"/>
                <w:szCs w:val="18"/>
                <w:color w:val="auto"/>
              </w:rPr>
              <w:t>43,995</w:t>
            </w:r>
          </w:p>
        </w:tc>
        <w:tc>
          <w:tcPr>
            <w:tcW w:w="940" w:type="dxa"/>
            <w:vAlign w:val="bottom"/>
            <w:gridSpan w:val="2"/>
          </w:tcPr>
          <w:p>
            <w:pPr>
              <w:jc w:val="right"/>
              <w:ind w:right="30"/>
              <w:spacing w:after="0"/>
              <w:rPr>
                <w:sz w:val="20"/>
                <w:szCs w:val="20"/>
                <w:color w:val="auto"/>
              </w:rPr>
            </w:pPr>
            <w:r>
              <w:rPr>
                <w:rFonts w:ascii="Arial" w:cs="Arial" w:eastAsia="Arial" w:hAnsi="Arial"/>
                <w:sz w:val="18"/>
                <w:szCs w:val="18"/>
                <w:color w:val="auto"/>
              </w:rPr>
              <w:t>9%</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41,268</w:t>
            </w:r>
          </w:p>
        </w:tc>
        <w:tc>
          <w:tcPr>
            <w:tcW w:w="200" w:type="dxa"/>
            <w:vAlign w:val="bottom"/>
          </w:tcPr>
          <w:p>
            <w:pPr>
              <w:spacing w:after="0"/>
              <w:rPr>
                <w:sz w:val="18"/>
                <w:szCs w:val="18"/>
                <w:color w:val="auto"/>
              </w:rPr>
            </w:pPr>
          </w:p>
        </w:tc>
        <w:tc>
          <w:tcPr>
            <w:tcW w:w="720" w:type="dxa"/>
            <w:vAlign w:val="bottom"/>
            <w:gridSpan w:val="2"/>
          </w:tcPr>
          <w:p>
            <w:pPr>
              <w:jc w:val="right"/>
              <w:ind w:right="30"/>
              <w:spacing w:after="0"/>
              <w:rPr>
                <w:sz w:val="20"/>
                <w:szCs w:val="20"/>
                <w:color w:val="auto"/>
              </w:rPr>
            </w:pPr>
            <w:r>
              <w:rPr>
                <w:rFonts w:ascii="Arial" w:cs="Arial" w:eastAsia="Arial" w:hAnsi="Arial"/>
                <w:sz w:val="18"/>
                <w:szCs w:val="18"/>
                <w:color w:val="auto"/>
              </w:rPr>
              <w:t>10%</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43,797</w:t>
            </w:r>
          </w:p>
        </w:tc>
        <w:tc>
          <w:tcPr>
            <w:tcW w:w="940" w:type="dxa"/>
            <w:vAlign w:val="bottom"/>
            <w:gridSpan w:val="2"/>
          </w:tcPr>
          <w:p>
            <w:pPr>
              <w:jc w:val="right"/>
              <w:ind w:right="30"/>
              <w:spacing w:after="0"/>
              <w:rPr>
                <w:sz w:val="20"/>
                <w:szCs w:val="20"/>
                <w:color w:val="auto"/>
              </w:rPr>
            </w:pPr>
            <w:r>
              <w:rPr>
                <w:rFonts w:ascii="Arial" w:cs="Arial" w:eastAsia="Arial" w:hAnsi="Arial"/>
                <w:sz w:val="18"/>
                <w:szCs w:val="18"/>
                <w:color w:val="auto"/>
              </w:rPr>
              <w:t>9%</w:t>
            </w:r>
          </w:p>
        </w:tc>
        <w:tc>
          <w:tcPr>
            <w:tcW w:w="940" w:type="dxa"/>
            <w:vAlign w:val="bottom"/>
            <w:gridSpan w:val="2"/>
          </w:tcPr>
          <w:p>
            <w:pPr>
              <w:jc w:val="right"/>
              <w:ind w:right="30"/>
              <w:spacing w:after="0"/>
              <w:rPr>
                <w:sz w:val="20"/>
                <w:szCs w:val="20"/>
                <w:color w:val="auto"/>
              </w:rPr>
            </w:pPr>
            <w:r>
              <w:rPr>
                <w:rFonts w:ascii="Arial" w:cs="Arial" w:eastAsia="Arial" w:hAnsi="Arial"/>
                <w:sz w:val="18"/>
                <w:szCs w:val="18"/>
                <w:color w:val="auto"/>
              </w:rPr>
              <w:t>6.1%</w:t>
            </w: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-0.4%</w:t>
            </w:r>
          </w:p>
        </w:tc>
      </w:tr>
      <w:tr>
        <w:trPr>
          <w:trHeight w:val="270"/>
        </w:trPr>
        <w:tc>
          <w:tcPr>
            <w:tcW w:w="4080" w:type="dxa"/>
            <w:vAlign w:val="bottom"/>
            <w:gridSpan w:val="2"/>
            <w:shd w:val="clear" w:color="auto" w:fill="CCEEFF"/>
          </w:tcPr>
          <w:p>
            <w:pPr>
              <w:spacing w:after="0" w:line="269" w:lineRule="exact"/>
              <w:rPr>
                <w:sz w:val="20"/>
                <w:szCs w:val="20"/>
                <w:color w:val="auto"/>
              </w:rPr>
            </w:pPr>
            <w:r>
              <w:rPr>
                <w:rFonts w:ascii="Arial" w:cs="Arial" w:eastAsia="Arial" w:hAnsi="Arial"/>
                <w:sz w:val="18"/>
                <w:szCs w:val="18"/>
                <w:color w:val="auto"/>
              </w:rPr>
              <w:t>Others</w:t>
            </w:r>
            <w:r>
              <w:rPr>
                <w:rFonts w:ascii="Arial" w:cs="Arial" w:eastAsia="Arial" w:hAnsi="Arial"/>
                <w:sz w:val="30"/>
                <w:szCs w:val="30"/>
                <w:color w:val="auto"/>
                <w:vertAlign w:val="superscript"/>
              </w:rPr>
              <w:t>(2)</w:t>
            </w:r>
          </w:p>
        </w:tc>
        <w:tc>
          <w:tcPr>
            <w:tcW w:w="9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21,894</w:t>
            </w:r>
          </w:p>
        </w:tc>
        <w:tc>
          <w:tcPr>
            <w:tcW w:w="9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3,339</w:t>
            </w:r>
          </w:p>
        </w:tc>
        <w:tc>
          <w:tcPr>
            <w:tcW w:w="20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7,221</w:t>
            </w:r>
          </w:p>
        </w:tc>
        <w:tc>
          <w:tcPr>
            <w:tcW w:w="9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9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116.2%</w:t>
            </w:r>
          </w:p>
        </w:tc>
        <w:tc>
          <w:tcPr>
            <w:tcW w:w="16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-67.0%</w:t>
            </w:r>
          </w:p>
        </w:tc>
      </w:tr>
      <w:tr>
        <w:trPr>
          <w:trHeight w:val="224"/>
        </w:trPr>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Total administrative and general expenses</w:t>
            </w:r>
          </w:p>
        </w:tc>
        <w:tc>
          <w:tcPr>
            <w:tcW w:w="70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w w:val="86"/>
              </w:rPr>
              <w:t>485,342</w:t>
            </w:r>
          </w:p>
        </w:tc>
        <w:tc>
          <w:tcPr>
            <w:tcW w:w="22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431,167</w:t>
            </w: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w w:val="74"/>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481,985</w:t>
            </w:r>
          </w:p>
        </w:tc>
        <w:tc>
          <w:tcPr>
            <w:tcW w:w="22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w w:val="74"/>
              </w:rPr>
              <w:t>%</w:t>
            </w:r>
          </w:p>
        </w:tc>
        <w:tc>
          <w:tcPr>
            <w:tcW w:w="1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2595245</wp:posOffset>
            </wp:positionH>
            <wp:positionV relativeFrom="paragraph">
              <wp:posOffset>-8255</wp:posOffset>
            </wp:positionV>
            <wp:extent cx="455358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553585" cy="8890"/>
                    </a:xfrm>
                    <a:prstGeom prst="rect">
                      <a:avLst/>
                    </a:prstGeom>
                    <a:noFill/>
                  </pic:spPr>
                </pic:pic>
              </a:graphicData>
            </a:graphic>
          </wp:anchor>
        </w:drawing>
      </w:r>
    </w:p>
    <w:p>
      <w:pPr>
        <w:ind w:left="260" w:hanging="252"/>
        <w:spacing w:after="0"/>
        <w:tabs>
          <w:tab w:leader="none" w:pos="2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Figures differ from previously reported, please consider the data presented on this report.</w:t>
      </w:r>
    </w:p>
    <w:p>
      <w:pPr>
        <w:spacing w:after="0" w:line="8" w:lineRule="exact"/>
        <w:rPr>
          <w:rFonts w:ascii="Arial" w:cs="Arial" w:eastAsia="Arial" w:hAnsi="Arial"/>
          <w:sz w:val="18"/>
          <w:szCs w:val="18"/>
          <w:color w:val="auto"/>
        </w:rPr>
      </w:pPr>
    </w:p>
    <w:p>
      <w:pPr>
        <w:ind w:left="260" w:hanging="252"/>
        <w:spacing w:after="0"/>
        <w:tabs>
          <w:tab w:leader="none" w:pos="2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Others include ASB, BCP Bolivia, Grupo Crédito and eliminations for consolidation.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If we analyze the administrative and general expenses by expenditure type, it is important to note that the QoQ variation was due to:</w:t>
      </w:r>
    </w:p>
    <w:p>
      <w:pPr>
        <w:spacing w:after="0" w:line="225" w:lineRule="exact"/>
        <w:rPr>
          <w:sz w:val="20"/>
          <w:szCs w:val="20"/>
          <w:color w:val="auto"/>
        </w:rPr>
      </w:pPr>
    </w:p>
    <w:p>
      <w:pPr>
        <w:ind w:left="620" w:hanging="369"/>
        <w:spacing w:after="0" w:line="277" w:lineRule="auto"/>
        <w:tabs>
          <w:tab w:leader="none" w:pos="6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 increase in the Infrastructure item (+12.8% QoQ), which was associated primarily with business development that required higher expenditures for campaigns and debit card;</w:t>
      </w:r>
    </w:p>
    <w:p>
      <w:pPr>
        <w:spacing w:after="0" w:line="170" w:lineRule="exact"/>
        <w:rPr>
          <w:rFonts w:ascii="Arial" w:cs="Arial" w:eastAsia="Arial" w:hAnsi="Arial"/>
          <w:sz w:val="18"/>
          <w:szCs w:val="18"/>
          <w:color w:val="auto"/>
        </w:rPr>
      </w:pPr>
    </w:p>
    <w:p>
      <w:pPr>
        <w:ind w:left="620" w:hanging="369"/>
        <w:spacing w:after="0"/>
        <w:tabs>
          <w:tab w:leader="none" w:pos="6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Expansion in the Consulting line (+58.0% QoQ), associated with specialized consultancies to manage retail businesses; and</w:t>
      </w:r>
    </w:p>
    <w:p>
      <w:pPr>
        <w:spacing w:after="0" w:line="225" w:lineRule="exact"/>
        <w:rPr>
          <w:rFonts w:ascii="Arial" w:cs="Arial" w:eastAsia="Arial" w:hAnsi="Arial"/>
          <w:sz w:val="18"/>
          <w:szCs w:val="18"/>
          <w:color w:val="auto"/>
        </w:rPr>
      </w:pPr>
    </w:p>
    <w:p>
      <w:pPr>
        <w:jc w:val="both"/>
        <w:ind w:left="620" w:hanging="369"/>
        <w:spacing w:after="0" w:line="264" w:lineRule="auto"/>
        <w:tabs>
          <w:tab w:leader="none" w:pos="6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increase in Taxes and contributions (+11.1% QoQ), which was mainly associated with higher expenses at BCP Bolivia after the regulating entity stipulated that 6% of net income (financial year 2014) must be set aside for a guaranty fund to promote productive loans and mortgages for low incoming housing.</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efficiency indicators show that both the expense/income ratio and the expense/asset ratio improved YoY. This was due to a decrease in expenditure after the Efficiency Program was implemented in 2014.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a breakdown of the efficiency ratio reported (expense/income) by subsidiary: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40" w:type="dxa"/>
            <w:vAlign w:val="bottom"/>
          </w:tcPr>
          <w:p>
            <w:pPr>
              <w:spacing w:after="0"/>
              <w:rPr>
                <w:sz w:val="14"/>
                <w:szCs w:val="14"/>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1"/>
              </w:rPr>
              <w:t>BCP Stand-alone</w:t>
            </w:r>
          </w:p>
        </w:tc>
        <w:tc>
          <w:tcPr>
            <w:tcW w:w="9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Mibanco</w:t>
            </w:r>
          </w:p>
        </w:tc>
        <w:tc>
          <w:tcPr>
            <w:tcW w:w="10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3"/>
              </w:rPr>
              <w:t>BCP Bolivia</w:t>
            </w:r>
          </w:p>
        </w:tc>
        <w:tc>
          <w:tcPr>
            <w:tcW w:w="9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ASB</w:t>
            </w:r>
          </w:p>
        </w:tc>
        <w:tc>
          <w:tcPr>
            <w:tcW w:w="11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2"/>
              </w:rPr>
              <w:t>Grupo Pacífico</w:t>
            </w:r>
          </w:p>
        </w:tc>
        <w:tc>
          <w:tcPr>
            <w:tcW w:w="10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Prima</w:t>
            </w:r>
          </w:p>
        </w:tc>
        <w:tc>
          <w:tcPr>
            <w:tcW w:w="13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4"/>
              </w:rPr>
              <w:t>Credicorp Capital</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Credicorp</w:t>
            </w:r>
          </w:p>
        </w:tc>
        <w:tc>
          <w:tcPr>
            <w:tcW w:w="0" w:type="dxa"/>
            <w:vAlign w:val="bottom"/>
          </w:tcPr>
          <w:p>
            <w:pPr>
              <w:spacing w:after="0"/>
              <w:rPr>
                <w:sz w:val="1"/>
                <w:szCs w:val="1"/>
                <w:color w:val="auto"/>
              </w:rPr>
            </w:pPr>
          </w:p>
        </w:tc>
      </w:tr>
      <w:tr>
        <w:trPr>
          <w:trHeight w:val="20"/>
        </w:trPr>
        <w:tc>
          <w:tcPr>
            <w:tcW w:w="2840" w:type="dxa"/>
            <w:vAlign w:val="bottom"/>
            <w:vMerge w:val="restart"/>
            <w:shd w:val="clear" w:color="auto" w:fill="CCEEFF"/>
          </w:tcPr>
          <w:p>
            <w:pPr>
              <w:jc w:val="center"/>
              <w:ind w:right="8"/>
              <w:spacing w:after="0"/>
              <w:rPr>
                <w:sz w:val="20"/>
                <w:szCs w:val="20"/>
                <w:color w:val="auto"/>
              </w:rPr>
            </w:pPr>
            <w:r>
              <w:rPr>
                <w:rFonts w:ascii="Arial" w:cs="Arial" w:eastAsia="Arial" w:hAnsi="Arial"/>
                <w:sz w:val="14"/>
                <w:szCs w:val="14"/>
                <w:b w:val="1"/>
                <w:bCs w:val="1"/>
                <w:color w:val="auto"/>
                <w:w w:val="93"/>
              </w:rPr>
              <w:t>2Q14</w:t>
            </w: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840" w:type="dxa"/>
            <w:vAlign w:val="bottom"/>
            <w:vMerge w:val="continue"/>
            <w:shd w:val="clear" w:color="auto" w:fill="CCEEFF"/>
          </w:tcPr>
          <w:p>
            <w:pPr>
              <w:spacing w:after="0"/>
              <w:rPr>
                <w:sz w:val="12"/>
                <w:szCs w:val="12"/>
                <w:color w:val="auto"/>
              </w:rPr>
            </w:pPr>
          </w:p>
        </w:tc>
        <w:tc>
          <w:tcPr>
            <w:tcW w:w="128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45.8%</w:t>
            </w:r>
          </w:p>
        </w:tc>
        <w:tc>
          <w:tcPr>
            <w:tcW w:w="96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59.0%</w:t>
            </w:r>
          </w:p>
        </w:tc>
        <w:tc>
          <w:tcPr>
            <w:tcW w:w="100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61.9%</w:t>
            </w:r>
          </w:p>
        </w:tc>
        <w:tc>
          <w:tcPr>
            <w:tcW w:w="960" w:type="dxa"/>
            <w:vAlign w:val="bottom"/>
            <w:tcBorders>
              <w:right w:val="single" w:sz="8" w:color="CCEEFF"/>
            </w:tcBorders>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22.8%</w:t>
            </w:r>
          </w:p>
        </w:tc>
        <w:tc>
          <w:tcPr>
            <w:tcW w:w="116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19.4%</w:t>
            </w:r>
          </w:p>
        </w:tc>
        <w:tc>
          <w:tcPr>
            <w:tcW w:w="100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43.1%</w:t>
            </w:r>
          </w:p>
        </w:tc>
        <w:tc>
          <w:tcPr>
            <w:tcW w:w="132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110.8%</w:t>
            </w:r>
          </w:p>
        </w:tc>
        <w:tc>
          <w:tcPr>
            <w:tcW w:w="9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43.9%</w:t>
            </w:r>
          </w:p>
        </w:tc>
        <w:tc>
          <w:tcPr>
            <w:tcW w:w="0" w:type="dxa"/>
            <w:vAlign w:val="bottom"/>
          </w:tcPr>
          <w:p>
            <w:pPr>
              <w:spacing w:after="0"/>
              <w:rPr>
                <w:sz w:val="1"/>
                <w:szCs w:val="1"/>
                <w:color w:val="auto"/>
              </w:rPr>
            </w:pPr>
          </w:p>
        </w:tc>
      </w:tr>
      <w:tr>
        <w:trPr>
          <w:trHeight w:val="149"/>
        </w:trPr>
        <w:tc>
          <w:tcPr>
            <w:tcW w:w="284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rPr>
              <w:t>1Q15*</w:t>
            </w:r>
          </w:p>
        </w:tc>
        <w:tc>
          <w:tcPr>
            <w:tcW w:w="12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39.7%</w:t>
            </w: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60.2%</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65.3%</w:t>
            </w: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21.7%</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17.5%</w:t>
            </w: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41.9%</w:t>
            </w:r>
          </w:p>
        </w:tc>
        <w:tc>
          <w:tcPr>
            <w:tcW w:w="13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97.9%</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40.8%</w:t>
            </w:r>
          </w:p>
        </w:tc>
        <w:tc>
          <w:tcPr>
            <w:tcW w:w="0" w:type="dxa"/>
            <w:vAlign w:val="bottom"/>
          </w:tcPr>
          <w:p>
            <w:pPr>
              <w:spacing w:after="0"/>
              <w:rPr>
                <w:sz w:val="1"/>
                <w:szCs w:val="1"/>
                <w:color w:val="auto"/>
              </w:rPr>
            </w:pPr>
          </w:p>
        </w:tc>
      </w:tr>
      <w:tr>
        <w:trPr>
          <w:trHeight w:val="162"/>
        </w:trPr>
        <w:tc>
          <w:tcPr>
            <w:tcW w:w="2840" w:type="dxa"/>
            <w:vAlign w:val="bottom"/>
            <w:shd w:val="clear" w:color="auto" w:fill="CCEEFF"/>
          </w:tcPr>
          <w:p>
            <w:pPr>
              <w:jc w:val="center"/>
              <w:ind w:right="8"/>
              <w:spacing w:after="0"/>
              <w:rPr>
                <w:sz w:val="20"/>
                <w:szCs w:val="20"/>
                <w:color w:val="auto"/>
              </w:rPr>
            </w:pPr>
            <w:r>
              <w:rPr>
                <w:rFonts w:ascii="Arial" w:cs="Arial" w:eastAsia="Arial" w:hAnsi="Arial"/>
                <w:sz w:val="14"/>
                <w:szCs w:val="14"/>
                <w:b w:val="1"/>
                <w:bCs w:val="1"/>
                <w:color w:val="auto"/>
                <w:w w:val="93"/>
              </w:rPr>
              <w:t>2Q15</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41.8%</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56.3%</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74.3%</w:t>
            </w:r>
          </w:p>
        </w:tc>
        <w:tc>
          <w:tcPr>
            <w:tcW w:w="9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22.4%</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17.6%</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44.0%</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114.5%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41.6%</w:t>
            </w:r>
          </w:p>
        </w:tc>
        <w:tc>
          <w:tcPr>
            <w:tcW w:w="0" w:type="dxa"/>
            <w:vAlign w:val="bottom"/>
          </w:tcPr>
          <w:p>
            <w:pPr>
              <w:spacing w:after="0"/>
              <w:rPr>
                <w:sz w:val="1"/>
                <w:szCs w:val="1"/>
                <w:color w:val="auto"/>
              </w:rPr>
            </w:pPr>
          </w:p>
        </w:tc>
      </w:tr>
      <w:tr>
        <w:trPr>
          <w:trHeight w:val="142"/>
        </w:trPr>
        <w:tc>
          <w:tcPr>
            <w:tcW w:w="2840" w:type="dxa"/>
            <w:vAlign w:val="bottom"/>
            <w:tcBorders>
              <w:bottom w:val="single" w:sz="8" w:color="CCEEFF"/>
            </w:tcBorders>
          </w:tcPr>
          <w:p>
            <w:pPr>
              <w:jc w:val="center"/>
              <w:ind w:right="8"/>
              <w:spacing w:after="0" w:line="142" w:lineRule="exact"/>
              <w:rPr>
                <w:sz w:val="20"/>
                <w:szCs w:val="20"/>
                <w:color w:val="auto"/>
              </w:rPr>
            </w:pPr>
            <w:r>
              <w:rPr>
                <w:rFonts w:ascii="Arial" w:cs="Arial" w:eastAsia="Arial" w:hAnsi="Arial"/>
                <w:sz w:val="14"/>
                <w:szCs w:val="14"/>
                <w:b w:val="1"/>
                <w:bCs w:val="1"/>
                <w:color w:val="auto"/>
                <w:w w:val="97"/>
              </w:rPr>
              <w:t>Var. YoY</w:t>
            </w:r>
          </w:p>
        </w:tc>
        <w:tc>
          <w:tcPr>
            <w:tcW w:w="10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-400 bps</w:t>
            </w:r>
          </w:p>
        </w:tc>
        <w:tc>
          <w:tcPr>
            <w:tcW w:w="22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-270 bps</w:t>
            </w:r>
          </w:p>
        </w:tc>
        <w:tc>
          <w:tcPr>
            <w:tcW w:w="22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+1,240 bps</w:t>
            </w:r>
          </w:p>
        </w:tc>
        <w:tc>
          <w:tcPr>
            <w:tcW w:w="22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-40 bps</w:t>
            </w:r>
          </w:p>
        </w:tc>
        <w:tc>
          <w:tcPr>
            <w:tcW w:w="22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-180 bps</w:t>
            </w:r>
          </w:p>
        </w:tc>
        <w:tc>
          <w:tcPr>
            <w:tcW w:w="24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+90 bps</w:t>
            </w:r>
          </w:p>
        </w:tc>
        <w:tc>
          <w:tcPr>
            <w:tcW w:w="240" w:type="dxa"/>
            <w:vAlign w:val="bottom"/>
            <w:tcBorders>
              <w:bottom w:val="single" w:sz="8" w:color="CCEEFF"/>
            </w:tcBorders>
          </w:tcPr>
          <w:p>
            <w:pPr>
              <w:spacing w:after="0"/>
              <w:rPr>
                <w:sz w:val="12"/>
                <w:szCs w:val="12"/>
                <w:color w:val="auto"/>
              </w:rPr>
            </w:pPr>
          </w:p>
        </w:tc>
        <w:tc>
          <w:tcPr>
            <w:tcW w:w="1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+370 bps</w:t>
            </w:r>
          </w:p>
        </w:tc>
        <w:tc>
          <w:tcPr>
            <w:tcW w:w="22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-230 bps</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40" w:type="dxa"/>
            <w:vAlign w:val="bottom"/>
            <w:shd w:val="clear" w:color="auto" w:fill="CCEEFF"/>
          </w:tcPr>
          <w:p>
            <w:pPr>
              <w:jc w:val="center"/>
              <w:ind w:right="28"/>
              <w:spacing w:after="0" w:line="142" w:lineRule="exact"/>
              <w:rPr>
                <w:sz w:val="20"/>
                <w:szCs w:val="20"/>
                <w:color w:val="auto"/>
              </w:rPr>
            </w:pPr>
            <w:r>
              <w:rPr>
                <w:rFonts w:ascii="Arial" w:cs="Arial" w:eastAsia="Arial" w:hAnsi="Arial"/>
                <w:sz w:val="14"/>
                <w:szCs w:val="14"/>
                <w:b w:val="1"/>
                <w:bCs w:val="1"/>
                <w:color w:val="auto"/>
                <w:w w:val="95"/>
              </w:rPr>
              <w:t>Var. QoQ</w:t>
            </w:r>
          </w:p>
        </w:tc>
        <w:tc>
          <w:tcPr>
            <w:tcW w:w="10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+210 bps</w:t>
            </w:r>
          </w:p>
        </w:tc>
        <w:tc>
          <w:tcPr>
            <w:tcW w:w="22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-390 bps</w:t>
            </w:r>
          </w:p>
        </w:tc>
        <w:tc>
          <w:tcPr>
            <w:tcW w:w="22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+900 bps</w:t>
            </w:r>
          </w:p>
        </w:tc>
        <w:tc>
          <w:tcPr>
            <w:tcW w:w="22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+70 bps</w:t>
            </w:r>
          </w:p>
        </w:tc>
        <w:tc>
          <w:tcPr>
            <w:tcW w:w="220" w:type="dxa"/>
            <w:vAlign w:val="bottom"/>
            <w:tcBorders>
              <w:right w:val="single" w:sz="8" w:color="CCEEFF"/>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+10 bps</w:t>
            </w:r>
          </w:p>
        </w:tc>
        <w:tc>
          <w:tcPr>
            <w:tcW w:w="240" w:type="dxa"/>
            <w:vAlign w:val="bottom"/>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+210 bps</w:t>
            </w:r>
          </w:p>
        </w:tc>
        <w:tc>
          <w:tcPr>
            <w:tcW w:w="240" w:type="dxa"/>
            <w:vAlign w:val="bottom"/>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+1,660 bps</w:t>
            </w:r>
          </w:p>
        </w:tc>
        <w:tc>
          <w:tcPr>
            <w:tcW w:w="22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+80 bps</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shd w:val="clear" w:color="auto" w:fill="CCEEFF"/>
          </w:tcPr>
          <w:p>
            <w:pPr>
              <w:jc w:val="center"/>
              <w:ind w:right="8"/>
              <w:spacing w:after="0" w:line="149" w:lineRule="exact"/>
              <w:rPr>
                <w:sz w:val="20"/>
                <w:szCs w:val="20"/>
                <w:color w:val="auto"/>
              </w:rPr>
            </w:pPr>
            <w:r>
              <w:rPr>
                <w:rFonts w:ascii="Arial" w:cs="Arial" w:eastAsia="Arial" w:hAnsi="Arial"/>
                <w:sz w:val="14"/>
                <w:szCs w:val="14"/>
                <w:b w:val="1"/>
                <w:bCs w:val="1"/>
                <w:color w:val="auto"/>
                <w:w w:val="95"/>
              </w:rPr>
              <w:t>1H14</w:t>
            </w:r>
          </w:p>
        </w:tc>
        <w:tc>
          <w:tcPr>
            <w:tcW w:w="12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44.8%</w:t>
            </w: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58.2%</w:t>
            </w: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62.1%</w:t>
            </w:r>
          </w:p>
        </w:tc>
        <w:tc>
          <w:tcPr>
            <w:tcW w:w="960" w:type="dxa"/>
            <w:vAlign w:val="bottom"/>
            <w:tcBorders>
              <w:right w:val="single" w:sz="8" w:color="CCEEFF"/>
            </w:tcBorders>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22.1%</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19.8%</w:t>
            </w: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42.3%</w:t>
            </w:r>
          </w:p>
        </w:tc>
        <w:tc>
          <w:tcPr>
            <w:tcW w:w="13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105.0%</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42.4%</w:t>
            </w:r>
          </w:p>
        </w:tc>
        <w:tc>
          <w:tcPr>
            <w:tcW w:w="0" w:type="dxa"/>
            <w:vAlign w:val="bottom"/>
          </w:tcPr>
          <w:p>
            <w:pPr>
              <w:spacing w:after="0"/>
              <w:rPr>
                <w:sz w:val="1"/>
                <w:szCs w:val="1"/>
                <w:color w:val="auto"/>
              </w:rPr>
            </w:pPr>
          </w:p>
        </w:tc>
      </w:tr>
      <w:tr>
        <w:trPr>
          <w:trHeight w:val="162"/>
        </w:trPr>
        <w:tc>
          <w:tcPr>
            <w:tcW w:w="2840" w:type="dxa"/>
            <w:vAlign w:val="bottom"/>
          </w:tcPr>
          <w:p>
            <w:pPr>
              <w:jc w:val="center"/>
              <w:ind w:right="8"/>
              <w:spacing w:after="0"/>
              <w:rPr>
                <w:sz w:val="20"/>
                <w:szCs w:val="20"/>
                <w:color w:val="auto"/>
              </w:rPr>
            </w:pPr>
            <w:r>
              <w:rPr>
                <w:rFonts w:ascii="Arial" w:cs="Arial" w:eastAsia="Arial" w:hAnsi="Arial"/>
                <w:sz w:val="14"/>
                <w:szCs w:val="14"/>
                <w:b w:val="1"/>
                <w:bCs w:val="1"/>
                <w:color w:val="auto"/>
                <w:w w:val="95"/>
              </w:rPr>
              <w:t>1H15</w:t>
            </w:r>
          </w:p>
        </w:tc>
        <w:tc>
          <w:tcPr>
            <w:tcW w:w="1280" w:type="dxa"/>
            <w:vAlign w:val="bottom"/>
            <w:gridSpan w:val="2"/>
          </w:tcPr>
          <w:p>
            <w:pPr>
              <w:jc w:val="right"/>
              <w:ind w:right="100"/>
              <w:spacing w:after="0"/>
              <w:rPr>
                <w:sz w:val="20"/>
                <w:szCs w:val="20"/>
                <w:color w:val="auto"/>
              </w:rPr>
            </w:pPr>
            <w:r>
              <w:rPr>
                <w:rFonts w:ascii="Arial" w:cs="Arial" w:eastAsia="Arial" w:hAnsi="Arial"/>
                <w:sz w:val="14"/>
                <w:szCs w:val="14"/>
                <w:color w:val="auto"/>
              </w:rPr>
              <w:t>40.8%</w:t>
            </w: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58.4%</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69.9%</w:t>
            </w: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22.0%</w:t>
            </w: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17.6%</w:t>
            </w: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42.9%</w:t>
            </w:r>
          </w:p>
        </w:tc>
        <w:tc>
          <w:tcPr>
            <w:tcW w:w="1320" w:type="dxa"/>
            <w:vAlign w:val="bottom"/>
            <w:gridSpan w:val="2"/>
          </w:tcPr>
          <w:p>
            <w:pPr>
              <w:jc w:val="right"/>
              <w:ind w:right="100"/>
              <w:spacing w:after="0"/>
              <w:rPr>
                <w:sz w:val="20"/>
                <w:szCs w:val="20"/>
                <w:color w:val="auto"/>
              </w:rPr>
            </w:pPr>
            <w:r>
              <w:rPr>
                <w:rFonts w:ascii="Arial" w:cs="Arial" w:eastAsia="Arial" w:hAnsi="Arial"/>
                <w:sz w:val="14"/>
                <w:szCs w:val="14"/>
                <w:color w:val="auto"/>
              </w:rPr>
              <w:t>106.8%</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41.2%</w:t>
            </w:r>
          </w:p>
        </w:tc>
        <w:tc>
          <w:tcPr>
            <w:tcW w:w="0" w:type="dxa"/>
            <w:vAlign w:val="bottom"/>
          </w:tcPr>
          <w:p>
            <w:pPr>
              <w:spacing w:after="0"/>
              <w:rPr>
                <w:sz w:val="1"/>
                <w:szCs w:val="1"/>
                <w:color w:val="auto"/>
              </w:rPr>
            </w:pPr>
          </w:p>
        </w:tc>
      </w:tr>
      <w:tr>
        <w:trPr>
          <w:trHeight w:val="142"/>
        </w:trPr>
        <w:tc>
          <w:tcPr>
            <w:tcW w:w="2840" w:type="dxa"/>
            <w:vAlign w:val="bottom"/>
            <w:tcBorders>
              <w:top w:val="single" w:sz="8" w:color="CCEEFF"/>
            </w:tcBorders>
            <w:shd w:val="clear" w:color="auto" w:fill="CCEEFF"/>
          </w:tcPr>
          <w:p>
            <w:pPr>
              <w:jc w:val="center"/>
              <w:ind w:right="8"/>
              <w:spacing w:after="0" w:line="142" w:lineRule="exact"/>
              <w:rPr>
                <w:sz w:val="20"/>
                <w:szCs w:val="20"/>
                <w:color w:val="auto"/>
              </w:rPr>
            </w:pPr>
            <w:r>
              <w:rPr>
                <w:rFonts w:ascii="Arial" w:cs="Arial" w:eastAsia="Arial" w:hAnsi="Arial"/>
                <w:sz w:val="14"/>
                <w:szCs w:val="14"/>
                <w:b w:val="1"/>
                <w:bCs w:val="1"/>
                <w:color w:val="auto"/>
                <w:w w:val="95"/>
              </w:rPr>
              <w:t>Var. 1H15 / 1H14</w:t>
            </w:r>
          </w:p>
        </w:tc>
        <w:tc>
          <w:tcPr>
            <w:tcW w:w="10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-400 bps</w:t>
            </w:r>
          </w:p>
        </w:tc>
        <w:tc>
          <w:tcPr>
            <w:tcW w:w="22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+20 bps</w:t>
            </w:r>
          </w:p>
        </w:tc>
        <w:tc>
          <w:tcPr>
            <w:tcW w:w="2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+780 bps</w:t>
            </w:r>
          </w:p>
        </w:tc>
        <w:tc>
          <w:tcPr>
            <w:tcW w:w="22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-10 bps</w:t>
            </w:r>
          </w:p>
        </w:tc>
        <w:tc>
          <w:tcPr>
            <w:tcW w:w="220" w:type="dxa"/>
            <w:vAlign w:val="bottom"/>
            <w:tcBorders>
              <w:top w:val="single" w:sz="8" w:color="CCEEFF"/>
              <w:right w:val="single" w:sz="8" w:color="CCEEFF"/>
            </w:tcBorders>
            <w:shd w:val="clear" w:color="auto" w:fill="CCEEFF"/>
          </w:tcPr>
          <w:p>
            <w:pPr>
              <w:spacing w:after="0"/>
              <w:rPr>
                <w:sz w:val="12"/>
                <w:szCs w:val="12"/>
                <w:color w:val="auto"/>
              </w:rPr>
            </w:pPr>
          </w:p>
        </w:tc>
        <w:tc>
          <w:tcPr>
            <w:tcW w:w="9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-280 bps</w:t>
            </w:r>
          </w:p>
        </w:tc>
        <w:tc>
          <w:tcPr>
            <w:tcW w:w="24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+60 bps</w:t>
            </w:r>
          </w:p>
        </w:tc>
        <w:tc>
          <w:tcPr>
            <w:tcW w:w="240" w:type="dxa"/>
            <w:vAlign w:val="bottom"/>
            <w:tcBorders>
              <w:top w:val="single" w:sz="8" w:color="CCEEFF"/>
            </w:tcBorders>
            <w:shd w:val="clear" w:color="auto" w:fill="CCEEFF"/>
          </w:tcPr>
          <w:p>
            <w:pPr>
              <w:spacing w:after="0"/>
              <w:rPr>
                <w:sz w:val="12"/>
                <w:szCs w:val="12"/>
                <w:color w:val="auto"/>
              </w:rPr>
            </w:pPr>
          </w:p>
        </w:tc>
        <w:tc>
          <w:tcPr>
            <w:tcW w:w="1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+180 bps</w:t>
            </w:r>
          </w:p>
        </w:tc>
        <w:tc>
          <w:tcPr>
            <w:tcW w:w="2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-120 bps</w:t>
            </w: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ASB, Grupo Pacífico and Credicorp Capital efficiency ratios differ from the previously reported. Consider the data published on this report.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efficiency ratio was situated at 41.6% at the end of 2Q15, which was +80 bps higher than the 40.8% reported in 1Q15 and -230 bps below 2Q14’s level.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evolution was due to:</w:t>
      </w: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8" w:name="page39"/>
    <w:bookmarkEnd w:id="38"/>
    <w:p>
      <w:pPr>
        <w:jc w:val="both"/>
        <w:ind w:left="620" w:hanging="369"/>
        <w:spacing w:after="0" w:line="286" w:lineRule="auto"/>
        <w:tabs>
          <w:tab w:leader="none" w:pos="6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A +210 bps increase QoQ in the efficiency ratio at BCP stand-alone, in line with the seasonal effect discussed earlier, which affected administrative expenses. YoY, the efficiency ratio improved -400 bps. This was due primarily to the implementation of the Efficiency Program at BCP. BCP stand-alone accounts for more than 60% of the income and expenses considered in the calculation of the efficiency ratio; and</w:t>
      </w:r>
    </w:p>
    <w:p>
      <w:pPr>
        <w:spacing w:after="0" w:line="165" w:lineRule="exact"/>
        <w:rPr>
          <w:rFonts w:ascii="Arial" w:cs="Arial" w:eastAsia="Arial" w:hAnsi="Arial"/>
          <w:sz w:val="17"/>
          <w:szCs w:val="17"/>
          <w:color w:val="auto"/>
        </w:rPr>
      </w:pPr>
    </w:p>
    <w:p>
      <w:pPr>
        <w:ind w:left="620" w:hanging="369"/>
        <w:spacing w:after="0" w:line="308" w:lineRule="auto"/>
        <w:tabs>
          <w:tab w:leader="none" w:pos="6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deterioration of BCP Bolivia’s efficiency ratio QoQ (74.3% in 2Q15 vs. 65.3% in 1Q15). This was due to an increase in administrative expenses, which was driven mainly by higher taxes and contributions to cover the tax for the guaranty fund mentioned above.</w:t>
      </w:r>
    </w:p>
    <w:p>
      <w:pPr>
        <w:spacing w:after="0" w:line="14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 of the aforementioned was offset by an improvement in Mibanco’s efficiency ratio of -390 bps QoQ due to one-off expenses in 1Q15 related to the integration of Edyficar and Mibanco.</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accumulated terms, the efficiency ratio at Credicorp fell -120 bps to situate at 41.2% in 1H15. This was due to a -400 bps improvement in BCP stand-alone efficiency ratio, which led this indicator at 40% level.</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r>
              <w:rPr>
                <w:rFonts w:ascii="Arial" w:cs="Arial" w:eastAsia="Arial" w:hAnsi="Arial"/>
                <w:sz w:val="18"/>
                <w:szCs w:val="18"/>
                <w:b w:val="1"/>
                <w:bCs w:val="1"/>
                <w:color w:val="auto"/>
              </w:rPr>
              <w:t>8.</w:t>
            </w:r>
          </w:p>
        </w:tc>
        <w:tc>
          <w:tcPr>
            <w:tcW w:w="3780" w:type="dxa"/>
            <w:vAlign w:val="bottom"/>
            <w:gridSpan w:val="2"/>
          </w:tcPr>
          <w:p>
            <w:pPr>
              <w:ind w:left="360"/>
              <w:spacing w:after="0"/>
              <w:rPr>
                <w:sz w:val="20"/>
                <w:szCs w:val="20"/>
                <w:color w:val="auto"/>
              </w:rPr>
            </w:pPr>
            <w:r>
              <w:rPr>
                <w:rFonts w:ascii="Arial" w:cs="Arial" w:eastAsia="Arial" w:hAnsi="Arial"/>
                <w:sz w:val="18"/>
                <w:szCs w:val="18"/>
                <w:b w:val="1"/>
                <w:bCs w:val="1"/>
                <w:color w:val="auto"/>
              </w:rPr>
              <w:t>Regulatory Capital</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32"/>
        </w:trPr>
        <w:tc>
          <w:tcPr>
            <w:tcW w:w="300" w:type="dxa"/>
            <w:vAlign w:val="bottom"/>
          </w:tcPr>
          <w:p>
            <w:pPr>
              <w:spacing w:after="0"/>
              <w:rPr>
                <w:sz w:val="20"/>
                <w:szCs w:val="20"/>
                <w:color w:val="auto"/>
              </w:rPr>
            </w:pPr>
            <w:r>
              <w:rPr>
                <w:rFonts w:ascii="Arial" w:cs="Arial" w:eastAsia="Arial" w:hAnsi="Arial"/>
                <w:sz w:val="18"/>
                <w:szCs w:val="18"/>
                <w:b w:val="1"/>
                <w:bCs w:val="1"/>
                <w:color w:val="auto"/>
              </w:rPr>
              <w:t>8.1</w:t>
            </w:r>
          </w:p>
        </w:tc>
        <w:tc>
          <w:tcPr>
            <w:tcW w:w="3780" w:type="dxa"/>
            <w:vAlign w:val="bottom"/>
            <w:gridSpan w:val="2"/>
          </w:tcPr>
          <w:p>
            <w:pPr>
              <w:ind w:left="60"/>
              <w:spacing w:after="0"/>
              <w:rPr>
                <w:sz w:val="20"/>
                <w:szCs w:val="20"/>
                <w:color w:val="auto"/>
              </w:rPr>
            </w:pPr>
            <w:r>
              <w:rPr>
                <w:rFonts w:ascii="Arial" w:cs="Arial" w:eastAsia="Arial" w:hAnsi="Arial"/>
                <w:sz w:val="18"/>
                <w:szCs w:val="18"/>
                <w:b w:val="1"/>
                <w:bCs w:val="1"/>
                <w:color w:val="auto"/>
              </w:rPr>
              <w:t>Regulatory Capital –BAP</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18"/>
        </w:trPr>
        <w:tc>
          <w:tcPr>
            <w:tcW w:w="4080" w:type="dxa"/>
            <w:vAlign w:val="bottom"/>
            <w:gridSpan w:val="3"/>
          </w:tcPr>
          <w:p>
            <w:pPr>
              <w:spacing w:after="0"/>
              <w:rPr>
                <w:sz w:val="20"/>
                <w:szCs w:val="20"/>
                <w:color w:val="auto"/>
              </w:rPr>
            </w:pPr>
            <w:r>
              <w:rPr>
                <w:rFonts w:ascii="Arial" w:cs="Arial" w:eastAsia="Arial" w:hAnsi="Arial"/>
                <w:sz w:val="18"/>
                <w:szCs w:val="18"/>
                <w:b w:val="1"/>
                <w:bCs w:val="1"/>
                <w:color w:val="auto"/>
                <w:w w:val="98"/>
              </w:rPr>
              <w:t>Regulatory Capital and Capital Adequacy Ratios</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8"/>
              </w:rPr>
              <w:t>Quarter</w:t>
            </w: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00" w:type="dxa"/>
            <w:vAlign w:val="bottom"/>
            <w:gridSpan w:val="3"/>
          </w:tcPr>
          <w:p>
            <w:pPr>
              <w:ind w:left="1020"/>
              <w:spacing w:after="0"/>
              <w:rPr>
                <w:sz w:val="20"/>
                <w:szCs w:val="20"/>
                <w:color w:val="auto"/>
              </w:rPr>
            </w:pPr>
            <w:r>
              <w:rPr>
                <w:rFonts w:ascii="Arial" w:cs="Arial" w:eastAsia="Arial" w:hAnsi="Arial"/>
                <w:sz w:val="18"/>
                <w:szCs w:val="18"/>
                <w:b w:val="1"/>
                <w:bCs w:val="1"/>
                <w:color w:val="auto"/>
              </w:rPr>
              <w:t>% change</w:t>
            </w: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71"/>
        </w:trPr>
        <w:tc>
          <w:tcPr>
            <w:tcW w:w="4080" w:type="dxa"/>
            <w:vAlign w:val="bottom"/>
            <w:gridSpan w:val="3"/>
          </w:tcPr>
          <w:p>
            <w:pPr>
              <w:spacing w:after="0"/>
              <w:rPr>
                <w:sz w:val="20"/>
                <w:szCs w:val="20"/>
                <w:color w:val="auto"/>
              </w:rPr>
            </w:pPr>
            <w:r>
              <w:rPr>
                <w:rFonts w:ascii="Arial" w:cs="Arial" w:eastAsia="Arial" w:hAnsi="Arial"/>
                <w:sz w:val="18"/>
                <w:szCs w:val="18"/>
                <w:color w:val="auto"/>
              </w:rPr>
              <w:t>S/.000</w:t>
            </w:r>
          </w:p>
        </w:tc>
        <w:tc>
          <w:tcPr>
            <w:tcW w:w="1460" w:type="dxa"/>
            <w:vAlign w:val="bottom"/>
            <w:gridSpan w:val="2"/>
          </w:tcPr>
          <w:p>
            <w:pPr>
              <w:ind w:left="360"/>
              <w:spacing w:after="0"/>
              <w:rPr>
                <w:sz w:val="20"/>
                <w:szCs w:val="20"/>
                <w:color w:val="auto"/>
              </w:rPr>
            </w:pPr>
            <w:r>
              <w:rPr>
                <w:rFonts w:ascii="Arial" w:cs="Arial" w:eastAsia="Arial" w:hAnsi="Arial"/>
                <w:sz w:val="18"/>
                <w:szCs w:val="18"/>
                <w:b w:val="1"/>
                <w:bCs w:val="1"/>
                <w:color w:val="auto"/>
              </w:rPr>
              <w:t>Jun 14</w:t>
            </w:r>
          </w:p>
        </w:tc>
        <w:tc>
          <w:tcPr>
            <w:tcW w:w="1460" w:type="dxa"/>
            <w:vAlign w:val="bottom"/>
            <w:gridSpan w:val="2"/>
          </w:tcPr>
          <w:p>
            <w:pPr>
              <w:jc w:val="center"/>
              <w:ind w:right="240"/>
              <w:spacing w:after="0" w:line="271" w:lineRule="exact"/>
              <w:rPr>
                <w:sz w:val="20"/>
                <w:szCs w:val="20"/>
                <w:color w:val="auto"/>
              </w:rPr>
            </w:pPr>
            <w:r>
              <w:rPr>
                <w:rFonts w:ascii="Arial" w:cs="Arial" w:eastAsia="Arial" w:hAnsi="Arial"/>
                <w:sz w:val="18"/>
                <w:szCs w:val="18"/>
                <w:b w:val="1"/>
                <w:bCs w:val="1"/>
                <w:color w:val="auto"/>
                <w:w w:val="90"/>
              </w:rPr>
              <w:t xml:space="preserve">Mar 15 </w:t>
            </w:r>
            <w:r>
              <w:rPr>
                <w:rFonts w:ascii="Arial" w:cs="Arial" w:eastAsia="Arial" w:hAnsi="Arial"/>
                <w:sz w:val="30"/>
                <w:szCs w:val="30"/>
                <w:b w:val="1"/>
                <w:bCs w:val="1"/>
                <w:color w:val="auto"/>
                <w:w w:val="90"/>
                <w:vertAlign w:val="superscript"/>
              </w:rPr>
              <w:t>(1)</w:t>
            </w:r>
          </w:p>
        </w:tc>
        <w:tc>
          <w:tcPr>
            <w:tcW w:w="1260" w:type="dxa"/>
            <w:vAlign w:val="bottom"/>
            <w:gridSpan w:val="2"/>
          </w:tcPr>
          <w:p>
            <w:pPr>
              <w:ind w:left="360"/>
              <w:spacing w:after="0"/>
              <w:rPr>
                <w:sz w:val="20"/>
                <w:szCs w:val="20"/>
                <w:color w:val="auto"/>
              </w:rPr>
            </w:pPr>
            <w:r>
              <w:rPr>
                <w:rFonts w:ascii="Arial" w:cs="Arial" w:eastAsia="Arial" w:hAnsi="Arial"/>
                <w:sz w:val="18"/>
                <w:szCs w:val="18"/>
                <w:b w:val="1"/>
                <w:bCs w:val="1"/>
                <w:color w:val="auto"/>
              </w:rPr>
              <w:t>Jun 15</w:t>
            </w:r>
          </w:p>
        </w:tc>
        <w:tc>
          <w:tcPr>
            <w:tcW w:w="180" w:type="dxa"/>
            <w:vAlign w:val="bottom"/>
          </w:tcPr>
          <w:p>
            <w:pPr>
              <w:spacing w:after="0"/>
              <w:rPr>
                <w:sz w:val="23"/>
                <w:szCs w:val="23"/>
                <w:color w:val="auto"/>
              </w:rPr>
            </w:pPr>
          </w:p>
        </w:tc>
        <w:tc>
          <w:tcPr>
            <w:tcW w:w="1900" w:type="dxa"/>
            <w:vAlign w:val="bottom"/>
            <w:gridSpan w:val="3"/>
          </w:tcPr>
          <w:p>
            <w:pPr>
              <w:ind w:left="440"/>
              <w:spacing w:after="0"/>
              <w:rPr>
                <w:sz w:val="20"/>
                <w:szCs w:val="20"/>
                <w:color w:val="auto"/>
              </w:rPr>
            </w:pPr>
            <w:r>
              <w:rPr>
                <w:rFonts w:ascii="Arial" w:cs="Arial" w:eastAsia="Arial" w:hAnsi="Arial"/>
                <w:sz w:val="18"/>
                <w:szCs w:val="18"/>
                <w:b w:val="1"/>
                <w:bCs w:val="1"/>
                <w:color w:val="auto"/>
              </w:rPr>
              <w:t>QoQ</w:t>
            </w:r>
          </w:p>
        </w:tc>
        <w:tc>
          <w:tcPr>
            <w:tcW w:w="1080" w:type="dxa"/>
            <w:vAlign w:val="bottom"/>
            <w:gridSpan w:val="2"/>
          </w:tcPr>
          <w:p>
            <w:pPr>
              <w:ind w:left="100"/>
              <w:spacing w:after="0"/>
              <w:rPr>
                <w:sz w:val="20"/>
                <w:szCs w:val="20"/>
                <w:color w:val="auto"/>
              </w:rPr>
            </w:pPr>
            <w:r>
              <w:rPr>
                <w:rFonts w:ascii="Arial" w:cs="Arial" w:eastAsia="Arial" w:hAnsi="Arial"/>
                <w:sz w:val="18"/>
                <w:szCs w:val="18"/>
                <w:b w:val="1"/>
                <w:bCs w:val="1"/>
                <w:color w:val="auto"/>
              </w:rPr>
              <w:t>YoY</w:t>
            </w:r>
          </w:p>
        </w:tc>
      </w:tr>
      <w:tr>
        <w:trPr>
          <w:trHeight w:val="223"/>
        </w:trPr>
        <w:tc>
          <w:tcPr>
            <w:tcW w:w="39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Reglulatory Capital (A)</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15,481,651</w:t>
            </w:r>
          </w:p>
        </w:tc>
        <w:tc>
          <w:tcPr>
            <w:tcW w:w="2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17,822,559</w:t>
            </w:r>
          </w:p>
        </w:tc>
        <w:tc>
          <w:tcPr>
            <w:tcW w:w="2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17,937,578</w:t>
            </w: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ind w:left="1020"/>
              <w:spacing w:after="0"/>
              <w:rPr>
                <w:sz w:val="20"/>
                <w:szCs w:val="20"/>
                <w:color w:val="auto"/>
              </w:rPr>
            </w:pPr>
            <w:r>
              <w:rPr>
                <w:rFonts w:ascii="Arial" w:cs="Arial" w:eastAsia="Arial" w:hAnsi="Arial"/>
                <w:sz w:val="18"/>
                <w:szCs w:val="18"/>
                <w:b w:val="1"/>
                <w:bCs w:val="1"/>
                <w:color w:val="auto"/>
                <w:w w:val="87"/>
              </w:rPr>
              <w:t>0.6</w:t>
            </w:r>
          </w:p>
        </w:tc>
        <w:tc>
          <w:tcPr>
            <w:tcW w:w="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ind w:left="580"/>
              <w:spacing w:after="0"/>
              <w:rPr>
                <w:sz w:val="20"/>
                <w:szCs w:val="20"/>
                <w:color w:val="auto"/>
              </w:rPr>
            </w:pPr>
            <w:r>
              <w:rPr>
                <w:rFonts w:ascii="Arial" w:cs="Arial" w:eastAsia="Arial" w:hAnsi="Arial"/>
                <w:sz w:val="18"/>
                <w:szCs w:val="18"/>
                <w:b w:val="1"/>
                <w:bCs w:val="1"/>
                <w:color w:val="auto"/>
                <w:w w:val="85"/>
              </w:rPr>
              <w:t>15.9</w:t>
            </w:r>
          </w:p>
        </w:tc>
        <w:tc>
          <w:tcPr>
            <w:tcW w:w="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r>
      <w:tr>
        <w:trPr>
          <w:trHeight w:val="237"/>
        </w:trPr>
        <w:tc>
          <w:tcPr>
            <w:tcW w:w="4080" w:type="dxa"/>
            <w:vAlign w:val="bottom"/>
            <w:gridSpan w:val="3"/>
          </w:tcPr>
          <w:p>
            <w:pPr>
              <w:spacing w:after="0" w:line="236" w:lineRule="exact"/>
              <w:rPr>
                <w:sz w:val="20"/>
                <w:szCs w:val="20"/>
                <w:color w:val="auto"/>
              </w:rPr>
            </w:pPr>
            <w:r>
              <w:rPr>
                <w:rFonts w:ascii="Arial" w:cs="Arial" w:eastAsia="Arial" w:hAnsi="Arial"/>
                <w:sz w:val="17"/>
                <w:szCs w:val="17"/>
                <w:color w:val="auto"/>
              </w:rPr>
              <w:t xml:space="preserve">Tier I </w:t>
            </w:r>
            <w:r>
              <w:rPr>
                <w:rFonts w:ascii="Arial" w:cs="Arial" w:eastAsia="Arial" w:hAnsi="Arial"/>
                <w:sz w:val="27"/>
                <w:szCs w:val="27"/>
                <w:color w:val="auto"/>
                <w:vertAlign w:val="superscript"/>
              </w:rPr>
              <w:t>(2)</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9,197,001</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10,609,098</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10,671,098</w:t>
            </w:r>
          </w:p>
        </w:tc>
        <w:tc>
          <w:tcPr>
            <w:tcW w:w="1720" w:type="dxa"/>
            <w:vAlign w:val="bottom"/>
            <w:gridSpan w:val="3"/>
          </w:tcPr>
          <w:p>
            <w:pPr>
              <w:ind w:left="1200"/>
              <w:spacing w:after="0"/>
              <w:rPr>
                <w:sz w:val="20"/>
                <w:szCs w:val="20"/>
                <w:color w:val="auto"/>
              </w:rPr>
            </w:pPr>
            <w:r>
              <w:rPr>
                <w:rFonts w:ascii="Arial" w:cs="Arial" w:eastAsia="Arial" w:hAnsi="Arial"/>
                <w:sz w:val="18"/>
                <w:szCs w:val="18"/>
                <w:color w:val="auto"/>
              </w:rPr>
              <w:t>0.6%</w:t>
            </w:r>
          </w:p>
        </w:tc>
        <w:tc>
          <w:tcPr>
            <w:tcW w:w="360" w:type="dxa"/>
            <w:vAlign w:val="bottom"/>
          </w:tcPr>
          <w:p>
            <w:pPr>
              <w:spacing w:after="0"/>
              <w:rPr>
                <w:sz w:val="20"/>
                <w:szCs w:val="20"/>
                <w:color w:val="auto"/>
              </w:rPr>
            </w:pPr>
          </w:p>
        </w:tc>
        <w:tc>
          <w:tcPr>
            <w:tcW w:w="1080" w:type="dxa"/>
            <w:vAlign w:val="bottom"/>
            <w:gridSpan w:val="2"/>
          </w:tcPr>
          <w:p>
            <w:pPr>
              <w:ind w:left="580"/>
              <w:spacing w:after="0"/>
              <w:rPr>
                <w:sz w:val="20"/>
                <w:szCs w:val="20"/>
                <w:color w:val="auto"/>
              </w:rPr>
            </w:pPr>
            <w:r>
              <w:rPr>
                <w:rFonts w:ascii="Arial" w:cs="Arial" w:eastAsia="Arial" w:hAnsi="Arial"/>
                <w:sz w:val="18"/>
                <w:szCs w:val="18"/>
                <w:color w:val="auto"/>
                <w:w w:val="93"/>
              </w:rPr>
              <w:t>16.0%</w:t>
            </w:r>
          </w:p>
        </w:tc>
      </w:tr>
      <w:tr>
        <w:trPr>
          <w:trHeight w:val="270"/>
        </w:trPr>
        <w:tc>
          <w:tcPr>
            <w:tcW w:w="4080" w:type="dxa"/>
            <w:vAlign w:val="bottom"/>
            <w:gridSpan w:val="3"/>
            <w:shd w:val="clear" w:color="auto" w:fill="CCEEFF"/>
          </w:tcPr>
          <w:p>
            <w:pPr>
              <w:spacing w:after="0" w:line="269" w:lineRule="exact"/>
              <w:rPr>
                <w:sz w:val="20"/>
                <w:szCs w:val="20"/>
                <w:color w:val="auto"/>
              </w:rPr>
            </w:pPr>
            <w:r>
              <w:rPr>
                <w:rFonts w:ascii="Arial" w:cs="Arial" w:eastAsia="Arial" w:hAnsi="Arial"/>
                <w:sz w:val="18"/>
                <w:szCs w:val="18"/>
                <w:color w:val="auto"/>
              </w:rPr>
              <w:t xml:space="preserve">Tier II </w:t>
            </w:r>
            <w:r>
              <w:rPr>
                <w:rFonts w:ascii="Arial" w:cs="Arial" w:eastAsia="Arial" w:hAnsi="Arial"/>
                <w:sz w:val="30"/>
                <w:szCs w:val="30"/>
                <w:color w:val="auto"/>
                <w:vertAlign w:val="superscript"/>
              </w:rPr>
              <w:t>(3)</w:t>
            </w:r>
            <w:r>
              <w:rPr>
                <w:rFonts w:ascii="Arial" w:cs="Arial" w:eastAsia="Arial" w:hAnsi="Arial"/>
                <w:sz w:val="18"/>
                <w:szCs w:val="18"/>
                <w:color w:val="auto"/>
              </w:rPr>
              <w:t xml:space="preserve"> + Tier III </w:t>
            </w:r>
            <w:r>
              <w:rPr>
                <w:rFonts w:ascii="Arial" w:cs="Arial" w:eastAsia="Arial" w:hAnsi="Arial"/>
                <w:sz w:val="30"/>
                <w:szCs w:val="30"/>
                <w:color w:val="auto"/>
                <w:vertAlign w:val="superscript"/>
              </w:rPr>
              <w:t>(4)</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6,284,650</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7,213,461</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7,266,480</w:t>
            </w:r>
          </w:p>
        </w:tc>
        <w:tc>
          <w:tcPr>
            <w:tcW w:w="1720" w:type="dxa"/>
            <w:vAlign w:val="bottom"/>
            <w:gridSpan w:val="3"/>
            <w:shd w:val="clear" w:color="auto" w:fill="CCEEFF"/>
          </w:tcPr>
          <w:p>
            <w:pPr>
              <w:ind w:left="1200"/>
              <w:spacing w:after="0"/>
              <w:rPr>
                <w:sz w:val="20"/>
                <w:szCs w:val="20"/>
                <w:color w:val="auto"/>
              </w:rPr>
            </w:pPr>
            <w:r>
              <w:rPr>
                <w:rFonts w:ascii="Arial" w:cs="Arial" w:eastAsia="Arial" w:hAnsi="Arial"/>
                <w:sz w:val="18"/>
                <w:szCs w:val="18"/>
                <w:color w:val="auto"/>
              </w:rPr>
              <w:t>0.7%</w:t>
            </w:r>
          </w:p>
        </w:tc>
        <w:tc>
          <w:tcPr>
            <w:tcW w:w="36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93"/>
              </w:rPr>
              <w:t>15.6%</w:t>
            </w:r>
          </w:p>
        </w:tc>
      </w:tr>
      <w:tr>
        <w:trPr>
          <w:trHeight w:val="210"/>
        </w:trPr>
        <w:tc>
          <w:tcPr>
            <w:tcW w:w="408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b w:val="1"/>
                <w:bCs w:val="1"/>
                <w:color w:val="auto"/>
              </w:rPr>
              <w:t>Total Regulatory Capital Requirements (B)</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12,583,170</w:t>
            </w:r>
          </w:p>
        </w:tc>
        <w:tc>
          <w:tcPr>
            <w:tcW w:w="2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14,966,441</w:t>
            </w:r>
          </w:p>
        </w:tc>
        <w:tc>
          <w:tcPr>
            <w:tcW w:w="2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15,026,987</w:t>
            </w: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ind w:left="1020"/>
              <w:spacing w:after="0"/>
              <w:rPr>
                <w:sz w:val="20"/>
                <w:szCs w:val="20"/>
                <w:color w:val="auto"/>
              </w:rPr>
            </w:pPr>
            <w:r>
              <w:rPr>
                <w:rFonts w:ascii="Arial" w:cs="Arial" w:eastAsia="Arial" w:hAnsi="Arial"/>
                <w:sz w:val="18"/>
                <w:szCs w:val="18"/>
                <w:b w:val="1"/>
                <w:bCs w:val="1"/>
                <w:color w:val="auto"/>
                <w:w w:val="87"/>
              </w:rPr>
              <w:t>0.4</w:t>
            </w:r>
          </w:p>
        </w:tc>
        <w:tc>
          <w:tcPr>
            <w:tcW w:w="2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w:t>
            </w:r>
          </w:p>
        </w:tc>
        <w:tc>
          <w:tcPr>
            <w:tcW w:w="3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8"/>
                <w:szCs w:val="18"/>
                <w:b w:val="1"/>
                <w:bCs w:val="1"/>
                <w:color w:val="auto"/>
                <w:w w:val="85"/>
              </w:rPr>
              <w:t>19.4</w:t>
            </w:r>
          </w:p>
        </w:tc>
        <w:tc>
          <w:tcPr>
            <w:tcW w:w="1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w w:val="99"/>
              </w:rPr>
              <w:t>%</w:t>
            </w:r>
          </w:p>
        </w:tc>
      </w:tr>
      <w:tr>
        <w:trPr>
          <w:trHeight w:val="223"/>
        </w:trPr>
        <w:tc>
          <w:tcPr>
            <w:tcW w:w="40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Regulatory Capital Ratio (A) / (B)</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1.23</w:t>
            </w:r>
          </w:p>
        </w:tc>
        <w:tc>
          <w:tcPr>
            <w:tcW w:w="22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1.19</w:t>
            </w:r>
          </w:p>
        </w:tc>
        <w:tc>
          <w:tcPr>
            <w:tcW w:w="22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1.19</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r>
      <w:tr>
        <w:trPr>
          <w:trHeight w:val="250"/>
        </w:trPr>
        <w:tc>
          <w:tcPr>
            <w:tcW w:w="4080" w:type="dxa"/>
            <w:vAlign w:val="bottom"/>
            <w:gridSpan w:val="3"/>
          </w:tcPr>
          <w:p>
            <w:pPr>
              <w:spacing w:after="0" w:line="250" w:lineRule="exact"/>
              <w:rPr>
                <w:sz w:val="20"/>
                <w:szCs w:val="20"/>
                <w:color w:val="auto"/>
              </w:rPr>
            </w:pPr>
            <w:r>
              <w:rPr>
                <w:rFonts w:ascii="Arial" w:cs="Arial" w:eastAsia="Arial" w:hAnsi="Arial"/>
                <w:sz w:val="17"/>
                <w:szCs w:val="17"/>
                <w:b w:val="1"/>
                <w:bCs w:val="1"/>
                <w:color w:val="auto"/>
              </w:rPr>
              <w:t xml:space="preserve">Required Regulatory Capital Ratio </w:t>
            </w:r>
            <w:r>
              <w:rPr>
                <w:rFonts w:ascii="Arial" w:cs="Arial" w:eastAsia="Arial" w:hAnsi="Arial"/>
                <w:sz w:val="28"/>
                <w:szCs w:val="28"/>
                <w:b w:val="1"/>
                <w:bCs w:val="1"/>
                <w:color w:val="auto"/>
                <w:vertAlign w:val="superscript"/>
              </w:rPr>
              <w:t>(5)</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220" w:type="dxa"/>
            <w:vAlign w:val="bottom"/>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220" w:type="dxa"/>
            <w:vAlign w:val="bottom"/>
          </w:tcPr>
          <w:p>
            <w:pPr>
              <w:spacing w:after="0"/>
              <w:rPr>
                <w:sz w:val="21"/>
                <w:szCs w:val="21"/>
                <w:color w:val="auto"/>
              </w:rPr>
            </w:pPr>
          </w:p>
        </w:tc>
        <w:tc>
          <w:tcPr>
            <w:tcW w:w="12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1.00</w:t>
            </w: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r>
    </w:tbl>
    <w:p>
      <w:pPr>
        <w:spacing w:after="0" w:line="202" w:lineRule="exact"/>
        <w:rPr>
          <w:sz w:val="20"/>
          <w:szCs w:val="20"/>
          <w:color w:val="auto"/>
        </w:rPr>
      </w:pPr>
    </w:p>
    <w:p>
      <w:pPr>
        <w:ind w:left="260" w:hanging="252"/>
        <w:spacing w:after="0"/>
        <w:tabs>
          <w:tab w:leader="none" w:pos="2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March 2015 figures differ from those previously reported given the latter were preliminary.</w:t>
      </w:r>
    </w:p>
    <w:p>
      <w:pPr>
        <w:spacing w:after="0" w:line="23" w:lineRule="exact"/>
        <w:rPr>
          <w:rFonts w:ascii="Arial" w:cs="Arial" w:eastAsia="Arial" w:hAnsi="Arial"/>
          <w:sz w:val="18"/>
          <w:szCs w:val="18"/>
          <w:color w:val="auto"/>
        </w:rPr>
      </w:pPr>
    </w:p>
    <w:p>
      <w:pPr>
        <w:ind w:firstLine="8"/>
        <w:spacing w:after="0" w:line="250" w:lineRule="auto"/>
        <w:tabs>
          <w:tab w:leader="none" w:pos="275" w:val="left"/>
        </w:tabs>
        <w:numPr>
          <w:ilvl w:val="0"/>
          <w:numId w:val="56"/>
        </w:numPr>
        <w:rPr>
          <w:rFonts w:ascii="Arial" w:cs="Arial" w:eastAsia="Arial" w:hAnsi="Arial"/>
          <w:sz w:val="18"/>
          <w:szCs w:val="18"/>
          <w:color w:val="auto"/>
        </w:rPr>
      </w:pPr>
      <w:r>
        <w:rPr>
          <w:rFonts w:ascii="Arial" w:cs="Arial" w:eastAsia="Arial" w:hAnsi="Arial"/>
          <w:sz w:val="18"/>
          <w:szCs w:val="18"/>
          <w:color w:val="auto"/>
        </w:rPr>
        <w:t>Tier I = capital + restricted capital reserves + Tier I minority interest - goodwill - (0.5 x investment in equity and subordinated debt of financial and insurance companies) + perpetual subordinated debt.</w:t>
      </w:r>
    </w:p>
    <w:p>
      <w:pPr>
        <w:ind w:firstLine="8"/>
        <w:spacing w:after="0" w:line="250" w:lineRule="auto"/>
        <w:tabs>
          <w:tab w:leader="none" w:pos="2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Tier II = subordinated debt + Tier II minority interest tier + loan loss reserves - (0.5 x investment in equity and subordinated debt of financial and insurance companies).</w:t>
      </w:r>
    </w:p>
    <w:p>
      <w:pPr>
        <w:ind w:left="260" w:hanging="252"/>
        <w:spacing w:after="0"/>
        <w:tabs>
          <w:tab w:leader="none" w:pos="2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Tier III = Subordinated debt covering market risk only.</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Regulatory Capital / Total Regulatory Capital Requirements (legal minimum = 1.00).</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general terms Credicorp has maintained a comfortable capitalization level that is equivalent to 1.19 times the capital required by the Peruvian regulator. This ratio situates at a similar level than the figure reported at the end of 1Q15, mainly because regulatory capital grew at a higher rate (+0.6% QoQ) than regulatory capital requirements (+0.4% QoQ). The increase QoQ in regulatory capital resulted primarily from a higher level of Subordinated Debt in line with the devaluation of the Nuevo Sol against the US Dollar this quarter.</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YoY analysis shows a reduction in the regulatory capital ratio (1.23 in 2Q15 vs.1.19 in 1Q15) as a result of higher increase in capital requirements (+ 19.4% YoY) than in regulatory capital (+15.9% YoY). The increase in the former came from the Financial Consolidated Group, and it is mainly explained by higher risk weighted assets (RWAs) from credit risk at BCP stand-alone, which in turn are related to loan growth of +15.7% YoY (measured in year-end balances and based on results in Peru GAAP).</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It is also important to note that Tier 1 represents 59.8% of Credicorp’s total regulatory capital (similar to 59.4% in 2Q14).</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Additionally, the majority of the capital requirement (94.1%) is associated with its financial business, and in particular more than 75% of the group’s total regulatory capital requirement is concentrated in BCP.</w:t>
      </w:r>
    </w:p>
    <w:p>
      <w:pPr>
        <w:spacing w:after="0" w:line="379" w:lineRule="exact"/>
        <w:rPr>
          <w:sz w:val="20"/>
          <w:szCs w:val="20"/>
          <w:color w:val="auto"/>
        </w:rPr>
      </w:pPr>
    </w:p>
    <w:p>
      <w:pPr>
        <w:ind w:left="11200"/>
        <w:spacing w:after="0"/>
        <w:rPr>
          <w:sz w:val="20"/>
          <w:szCs w:val="20"/>
          <w:color w:val="auto"/>
        </w:rPr>
      </w:pPr>
      <w:r>
        <w:rPr>
          <w:rFonts w:ascii="Arial" w:cs="Arial" w:eastAsia="Arial" w:hAnsi="Arial"/>
          <w:sz w:val="19"/>
          <w:szCs w:val="19"/>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34"/>
        </w:trPr>
        <w:tc>
          <w:tcPr>
            <w:tcW w:w="5960" w:type="dxa"/>
            <w:vAlign w:val="bottom"/>
            <w:gridSpan w:val="5"/>
          </w:tcPr>
          <w:p>
            <w:pPr>
              <w:spacing w:after="0"/>
              <w:rPr>
                <w:sz w:val="20"/>
                <w:szCs w:val="20"/>
                <w:color w:val="auto"/>
              </w:rPr>
            </w:pPr>
            <w:r>
              <w:rPr>
                <w:rFonts w:ascii="Arial" w:cs="Arial" w:eastAsia="Arial" w:hAnsi="Arial"/>
                <w:sz w:val="18"/>
                <w:szCs w:val="18"/>
                <w:b w:val="1"/>
                <w:bCs w:val="1"/>
                <w:color w:val="auto"/>
              </w:rPr>
              <w:t>8.2  Regulatory Capital –BCP Stand-alone based on Peru GAAP</w:t>
            </w: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4580" w:type="dxa"/>
            <w:vAlign w:val="bottom"/>
            <w:gridSpan w:val="3"/>
          </w:tcPr>
          <w:p>
            <w:pPr>
              <w:spacing w:after="0"/>
              <w:rPr>
                <w:sz w:val="20"/>
                <w:szCs w:val="20"/>
                <w:color w:val="auto"/>
              </w:rPr>
            </w:pPr>
            <w:r>
              <w:rPr>
                <w:rFonts w:ascii="Arial" w:cs="Arial" w:eastAsia="Arial" w:hAnsi="Arial"/>
                <w:sz w:val="18"/>
                <w:szCs w:val="18"/>
                <w:b w:val="1"/>
                <w:bCs w:val="1"/>
                <w:color w:val="auto"/>
              </w:rPr>
              <w:t>Regulatory Capital and Capital Adequacy Ratios</w:t>
            </w: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Quarter</w:t>
            </w: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gridSpan w:val="3"/>
          </w:tcPr>
          <w:p>
            <w:pPr>
              <w:ind w:left="860"/>
              <w:spacing w:after="0"/>
              <w:rPr>
                <w:sz w:val="20"/>
                <w:szCs w:val="20"/>
                <w:color w:val="auto"/>
              </w:rPr>
            </w:pPr>
            <w:r>
              <w:rPr>
                <w:rFonts w:ascii="Arial" w:cs="Arial" w:eastAsia="Arial" w:hAnsi="Arial"/>
                <w:sz w:val="18"/>
                <w:szCs w:val="18"/>
                <w:b w:val="1"/>
                <w:bCs w:val="1"/>
                <w:color w:val="auto"/>
                <w:w w:val="97"/>
              </w:rPr>
              <w:t>% change</w:t>
            </w: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580" w:type="dxa"/>
            <w:vAlign w:val="bottom"/>
            <w:gridSpan w:val="3"/>
          </w:tcPr>
          <w:p>
            <w:pPr>
              <w:spacing w:after="0"/>
              <w:rPr>
                <w:sz w:val="20"/>
                <w:szCs w:val="20"/>
                <w:color w:val="auto"/>
              </w:rPr>
            </w:pPr>
            <w:r>
              <w:rPr>
                <w:rFonts w:ascii="Arial" w:cs="Arial" w:eastAsia="Arial" w:hAnsi="Arial"/>
                <w:sz w:val="18"/>
                <w:szCs w:val="18"/>
                <w:color w:val="auto"/>
              </w:rPr>
              <w:t>S/. 000</w:t>
            </w:r>
          </w:p>
        </w:tc>
        <w:tc>
          <w:tcPr>
            <w:tcW w:w="13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2Q14</w:t>
            </w:r>
          </w:p>
        </w:tc>
        <w:tc>
          <w:tcPr>
            <w:tcW w:w="140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1Q15</w:t>
            </w:r>
          </w:p>
        </w:tc>
        <w:tc>
          <w:tcPr>
            <w:tcW w:w="13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2Q15</w:t>
            </w:r>
          </w:p>
        </w:tc>
        <w:tc>
          <w:tcPr>
            <w:tcW w:w="1700" w:type="dxa"/>
            <w:vAlign w:val="bottom"/>
            <w:gridSpan w:val="3"/>
          </w:tcPr>
          <w:p>
            <w:pPr>
              <w:ind w:left="360"/>
              <w:spacing w:after="0"/>
              <w:rPr>
                <w:sz w:val="20"/>
                <w:szCs w:val="20"/>
                <w:color w:val="auto"/>
              </w:rPr>
            </w:pPr>
            <w:r>
              <w:rPr>
                <w:rFonts w:ascii="Arial" w:cs="Arial" w:eastAsia="Arial" w:hAnsi="Arial"/>
                <w:sz w:val="18"/>
                <w:szCs w:val="18"/>
                <w:b w:val="1"/>
                <w:bCs w:val="1"/>
                <w:color w:val="auto"/>
              </w:rPr>
              <w:t>QoQ</w:t>
            </w:r>
          </w:p>
        </w:tc>
        <w:tc>
          <w:tcPr>
            <w:tcW w:w="9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YoY</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stock</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4,722,752</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5,854,051</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5,854,051</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Legal and other capital reserves</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2,761,777</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3,157,732</w:t>
            </w:r>
          </w:p>
        </w:tc>
        <w:tc>
          <w:tcPr>
            <w:tcW w:w="1120" w:type="dxa"/>
            <w:vAlign w:val="bottom"/>
          </w:tcPr>
          <w:p>
            <w:pPr>
              <w:jc w:val="right"/>
              <w:spacing w:after="0"/>
              <w:rPr>
                <w:sz w:val="20"/>
                <w:szCs w:val="20"/>
                <w:color w:val="auto"/>
              </w:rPr>
            </w:pPr>
            <w:r>
              <w:rPr>
                <w:rFonts w:ascii="Arial" w:cs="Arial" w:eastAsia="Arial" w:hAnsi="Arial"/>
                <w:sz w:val="18"/>
                <w:szCs w:val="18"/>
                <w:color w:val="auto"/>
              </w:rPr>
              <w:t>3,157,900</w:t>
            </w:r>
          </w:p>
        </w:tc>
        <w:tc>
          <w:tcPr>
            <w:tcW w:w="26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0.0%</w:t>
            </w:r>
          </w:p>
        </w:tc>
        <w:tc>
          <w:tcPr>
            <w:tcW w:w="3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earnings with capitalization agreement</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6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Loan loss reserves </w:t>
            </w:r>
            <w:r>
              <w:rPr>
                <w:rFonts w:ascii="Arial" w:cs="Arial" w:eastAsia="Arial" w:hAnsi="Arial"/>
                <w:sz w:val="29"/>
                <w:szCs w:val="29"/>
                <w:color w:val="auto"/>
                <w:vertAlign w:val="superscript"/>
              </w:rPr>
              <w:t>(1)</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907,049</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1,040,271</w:t>
            </w:r>
          </w:p>
        </w:tc>
        <w:tc>
          <w:tcPr>
            <w:tcW w:w="1120" w:type="dxa"/>
            <w:vAlign w:val="bottom"/>
          </w:tcPr>
          <w:p>
            <w:pPr>
              <w:jc w:val="right"/>
              <w:spacing w:after="0"/>
              <w:rPr>
                <w:sz w:val="20"/>
                <w:szCs w:val="20"/>
                <w:color w:val="auto"/>
              </w:rPr>
            </w:pPr>
            <w:r>
              <w:rPr>
                <w:rFonts w:ascii="Arial" w:cs="Arial" w:eastAsia="Arial" w:hAnsi="Arial"/>
                <w:sz w:val="18"/>
                <w:szCs w:val="18"/>
                <w:color w:val="auto"/>
              </w:rPr>
              <w:t>1,055,082</w:t>
            </w:r>
          </w:p>
        </w:tc>
        <w:tc>
          <w:tcPr>
            <w:tcW w:w="260" w:type="dxa"/>
            <w:vAlign w:val="bottom"/>
          </w:tcPr>
          <w:p>
            <w:pPr>
              <w:spacing w:after="0"/>
              <w:rPr>
                <w:sz w:val="22"/>
                <w:szCs w:val="22"/>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22"/>
                <w:szCs w:val="22"/>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Perpetual subordinated debt</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699,000</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774,000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794,250</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Subordinated debt</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3,914,557</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4,240,862</w:t>
            </w:r>
          </w:p>
        </w:tc>
        <w:tc>
          <w:tcPr>
            <w:tcW w:w="1120" w:type="dxa"/>
            <w:vAlign w:val="bottom"/>
          </w:tcPr>
          <w:p>
            <w:pPr>
              <w:jc w:val="right"/>
              <w:spacing w:after="0"/>
              <w:rPr>
                <w:sz w:val="20"/>
                <w:szCs w:val="20"/>
                <w:color w:val="auto"/>
              </w:rPr>
            </w:pPr>
            <w:r>
              <w:rPr>
                <w:rFonts w:ascii="Arial" w:cs="Arial" w:eastAsia="Arial" w:hAnsi="Arial"/>
                <w:sz w:val="18"/>
                <w:szCs w:val="18"/>
                <w:color w:val="auto"/>
              </w:rPr>
              <w:t>4,307,757</w:t>
            </w:r>
          </w:p>
        </w:tc>
        <w:tc>
          <w:tcPr>
            <w:tcW w:w="26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Unrealized profit (loss)</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gridSpan w:val="2"/>
          </w:tcPr>
          <w:p>
            <w:pPr>
              <w:spacing w:after="0" w:line="201" w:lineRule="exact"/>
              <w:rPr>
                <w:sz w:val="20"/>
                <w:szCs w:val="20"/>
                <w:color w:val="auto"/>
              </w:rPr>
            </w:pPr>
            <w:r>
              <w:rPr>
                <w:rFonts w:ascii="Arial" w:cs="Arial" w:eastAsia="Arial" w:hAnsi="Arial"/>
                <w:sz w:val="18"/>
                <w:szCs w:val="18"/>
                <w:color w:val="auto"/>
                <w:w w:val="93"/>
              </w:rPr>
              <w:t>Investment in subsidiaries and others, net of unrealized profit</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80" w:type="dxa"/>
            <w:vAlign w:val="bottom"/>
            <w:gridSpan w:val="3"/>
          </w:tcPr>
          <w:p>
            <w:pPr>
              <w:spacing w:after="0"/>
              <w:rPr>
                <w:sz w:val="20"/>
                <w:szCs w:val="20"/>
                <w:color w:val="auto"/>
              </w:rPr>
            </w:pPr>
            <w:r>
              <w:rPr>
                <w:rFonts w:ascii="Arial" w:cs="Arial" w:eastAsia="Arial" w:hAnsi="Arial"/>
                <w:sz w:val="18"/>
                <w:szCs w:val="18"/>
                <w:color w:val="auto"/>
              </w:rPr>
              <w:t>and net income</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(1,410,894)</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(1,691,429)</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(1,692,746)</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c>
          <w:tcPr>
            <w:tcW w:w="30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Investment in subsidiaries and others</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1,994,593</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1,823,790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1,889,914</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ind w:left="160"/>
              <w:spacing w:after="0"/>
              <w:rPr>
                <w:sz w:val="20"/>
                <w:szCs w:val="20"/>
                <w:color w:val="auto"/>
              </w:rPr>
            </w:pPr>
            <w:r>
              <w:rPr>
                <w:rFonts w:ascii="Arial" w:cs="Arial" w:eastAsia="Arial" w:hAnsi="Arial"/>
                <w:sz w:val="18"/>
                <w:szCs w:val="18"/>
                <w:color w:val="auto"/>
              </w:rPr>
              <w:t>Unrealized profit and net income in subsidiaries</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583,699</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132,361</w:t>
            </w:r>
          </w:p>
        </w:tc>
        <w:tc>
          <w:tcPr>
            <w:tcW w:w="1120" w:type="dxa"/>
            <w:vAlign w:val="bottom"/>
          </w:tcPr>
          <w:p>
            <w:pPr>
              <w:jc w:val="right"/>
              <w:spacing w:after="0"/>
              <w:rPr>
                <w:sz w:val="20"/>
                <w:szCs w:val="20"/>
                <w:color w:val="auto"/>
              </w:rPr>
            </w:pPr>
            <w:r>
              <w:rPr>
                <w:rFonts w:ascii="Arial" w:cs="Arial" w:eastAsia="Arial" w:hAnsi="Arial"/>
                <w:sz w:val="18"/>
                <w:szCs w:val="18"/>
                <w:color w:val="auto"/>
              </w:rPr>
              <w:t>197,168</w:t>
            </w:r>
          </w:p>
        </w:tc>
        <w:tc>
          <w:tcPr>
            <w:tcW w:w="26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49.0%</w:t>
            </w:r>
          </w:p>
        </w:tc>
        <w:tc>
          <w:tcPr>
            <w:tcW w:w="3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(122,083)</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(122,083)</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(122,083)</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Total Regulatory Capital</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11,472,158</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13,253,404</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13,354,210</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0.8%</w:t>
            </w:r>
          </w:p>
        </w:tc>
        <w:tc>
          <w:tcPr>
            <w:tcW w:w="30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rPr>
              <w:t>16.4%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Off-balance sheet</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23,409,297</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28,124,349</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29,044,483</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3.3%</w:t>
            </w:r>
          </w:p>
        </w:tc>
        <w:tc>
          <w:tcPr>
            <w:tcW w:w="30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56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Tier 1 </w:t>
            </w:r>
            <w:r>
              <w:rPr>
                <w:rFonts w:ascii="Arial" w:cs="Arial" w:eastAsia="Arial" w:hAnsi="Arial"/>
                <w:sz w:val="29"/>
                <w:szCs w:val="29"/>
                <w:color w:val="auto"/>
                <w:vertAlign w:val="superscript"/>
              </w:rPr>
              <w:t>(2)</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7,647,849</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8,884,166</w:t>
            </w:r>
          </w:p>
        </w:tc>
        <w:tc>
          <w:tcPr>
            <w:tcW w:w="1120" w:type="dxa"/>
            <w:vAlign w:val="bottom"/>
          </w:tcPr>
          <w:p>
            <w:pPr>
              <w:jc w:val="right"/>
              <w:spacing w:after="0"/>
              <w:rPr>
                <w:sz w:val="20"/>
                <w:szCs w:val="20"/>
                <w:color w:val="auto"/>
              </w:rPr>
            </w:pPr>
            <w:r>
              <w:rPr>
                <w:rFonts w:ascii="Arial" w:cs="Arial" w:eastAsia="Arial" w:hAnsi="Arial"/>
                <w:sz w:val="18"/>
                <w:szCs w:val="18"/>
                <w:color w:val="auto"/>
              </w:rPr>
              <w:t>8,936,328</w:t>
            </w:r>
          </w:p>
        </w:tc>
        <w:tc>
          <w:tcPr>
            <w:tcW w:w="260" w:type="dxa"/>
            <w:vAlign w:val="bottom"/>
          </w:tcPr>
          <w:p>
            <w:pPr>
              <w:spacing w:after="0"/>
              <w:rPr>
                <w:sz w:val="22"/>
                <w:szCs w:val="22"/>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0.6%</w:t>
            </w:r>
          </w:p>
        </w:tc>
        <w:tc>
          <w:tcPr>
            <w:tcW w:w="300" w:type="dxa"/>
            <w:vAlign w:val="bottom"/>
          </w:tcPr>
          <w:p>
            <w:pPr>
              <w:spacing w:after="0"/>
              <w:rPr>
                <w:sz w:val="22"/>
                <w:szCs w:val="22"/>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560" w:type="dxa"/>
            <w:vAlign w:val="bottom"/>
            <w:gridSpan w:val="2"/>
            <w:shd w:val="clear" w:color="auto" w:fill="CCEEFF"/>
          </w:tcPr>
          <w:p>
            <w:pPr>
              <w:spacing w:after="0" w:line="269" w:lineRule="exact"/>
              <w:rPr>
                <w:sz w:val="20"/>
                <w:szCs w:val="20"/>
                <w:color w:val="auto"/>
              </w:rPr>
            </w:pPr>
            <w:r>
              <w:rPr>
                <w:rFonts w:ascii="Arial" w:cs="Arial" w:eastAsia="Arial" w:hAnsi="Arial"/>
                <w:sz w:val="18"/>
                <w:szCs w:val="18"/>
                <w:color w:val="auto"/>
              </w:rPr>
              <w:t xml:space="preserve">Tier 2 </w:t>
            </w:r>
            <w:r>
              <w:rPr>
                <w:rFonts w:ascii="Arial" w:cs="Arial" w:eastAsia="Arial" w:hAnsi="Arial"/>
                <w:sz w:val="30"/>
                <w:szCs w:val="30"/>
                <w:color w:val="auto"/>
                <w:vertAlign w:val="superscript"/>
              </w:rPr>
              <w:t>(3)</w:t>
            </w:r>
            <w:r>
              <w:rPr>
                <w:rFonts w:ascii="Arial" w:cs="Arial" w:eastAsia="Arial" w:hAnsi="Arial"/>
                <w:sz w:val="18"/>
                <w:szCs w:val="18"/>
                <w:color w:val="auto"/>
              </w:rPr>
              <w:t xml:space="preserve"> + Tier 3 </w:t>
            </w:r>
            <w:r>
              <w:rPr>
                <w:rFonts w:ascii="Arial" w:cs="Arial" w:eastAsia="Arial" w:hAnsi="Arial"/>
                <w:sz w:val="30"/>
                <w:szCs w:val="30"/>
                <w:color w:val="auto"/>
                <w:vertAlign w:val="superscript"/>
              </w:rPr>
              <w:t>(4)</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3,824,310</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4,369,238</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4,417,882</w:t>
            </w:r>
          </w:p>
        </w:tc>
        <w:tc>
          <w:tcPr>
            <w:tcW w:w="26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risk-weighted assets</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78,708,390</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91,100,741</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92,873,376</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1.9%</w:t>
            </w:r>
          </w:p>
        </w:tc>
        <w:tc>
          <w:tcPr>
            <w:tcW w:w="3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18.0%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56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Market risk-weighted assets </w:t>
            </w:r>
            <w:r>
              <w:rPr>
                <w:rFonts w:ascii="Arial" w:cs="Arial" w:eastAsia="Arial" w:hAnsi="Arial"/>
                <w:sz w:val="29"/>
                <w:szCs w:val="29"/>
                <w:color w:val="auto"/>
                <w:vertAlign w:val="superscript"/>
              </w:rPr>
              <w:t>(5)</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928,060</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1,414,538</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1,734,216</w:t>
            </w:r>
          </w:p>
        </w:tc>
        <w:tc>
          <w:tcPr>
            <w:tcW w:w="26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22.6%</w:t>
            </w:r>
          </w:p>
        </w:tc>
        <w:tc>
          <w:tcPr>
            <w:tcW w:w="30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Credit risk-weighted assets</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72,563,938</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83,221,663</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84,406,557</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Operational risk-weighted assets</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5,216,391</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6,464,540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6,732,602</w:t>
            </w:r>
          </w:p>
        </w:tc>
        <w:tc>
          <w:tcPr>
            <w:tcW w:w="2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w:t>
            </w:r>
          </w:p>
        </w:tc>
        <w:tc>
          <w:tcPr>
            <w:tcW w:w="3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capital requirement</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9,132,609</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10,866,089</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11,076,962</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1.9%</w:t>
            </w:r>
          </w:p>
        </w:tc>
        <w:tc>
          <w:tcPr>
            <w:tcW w:w="3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21.3%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56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Market risk capital requirement </w:t>
            </w:r>
            <w:r>
              <w:rPr>
                <w:rFonts w:ascii="Arial" w:cs="Arial" w:eastAsia="Arial" w:hAnsi="Arial"/>
                <w:sz w:val="29"/>
                <w:szCs w:val="29"/>
                <w:color w:val="auto"/>
                <w:vertAlign w:val="superscript"/>
              </w:rPr>
              <w:t>(5)</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92,806</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141,454</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173,422</w:t>
            </w:r>
          </w:p>
        </w:tc>
        <w:tc>
          <w:tcPr>
            <w:tcW w:w="26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22.6%</w:t>
            </w:r>
          </w:p>
        </w:tc>
        <w:tc>
          <w:tcPr>
            <w:tcW w:w="30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Credit risk capital requirement</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7,256,394</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8,322,166</w:t>
            </w:r>
          </w:p>
        </w:tc>
        <w:tc>
          <w:tcPr>
            <w:tcW w:w="1120" w:type="dxa"/>
            <w:vAlign w:val="bottom"/>
          </w:tcPr>
          <w:p>
            <w:pPr>
              <w:jc w:val="right"/>
              <w:spacing w:after="0"/>
              <w:rPr>
                <w:sz w:val="20"/>
                <w:szCs w:val="20"/>
                <w:color w:val="auto"/>
              </w:rPr>
            </w:pPr>
            <w:r>
              <w:rPr>
                <w:rFonts w:ascii="Arial" w:cs="Arial" w:eastAsia="Arial" w:hAnsi="Arial"/>
                <w:sz w:val="18"/>
                <w:szCs w:val="18"/>
                <w:color w:val="auto"/>
              </w:rPr>
              <w:t>8,440,656</w:t>
            </w:r>
          </w:p>
        </w:tc>
        <w:tc>
          <w:tcPr>
            <w:tcW w:w="26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Operational risk capital requirement</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521,639</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646,454</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673,260</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Additional capital requirements</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1,261,770</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1,756,015</w:t>
            </w:r>
          </w:p>
        </w:tc>
        <w:tc>
          <w:tcPr>
            <w:tcW w:w="1120" w:type="dxa"/>
            <w:vAlign w:val="bottom"/>
          </w:tcPr>
          <w:p>
            <w:pPr>
              <w:jc w:val="right"/>
              <w:spacing w:after="0"/>
              <w:rPr>
                <w:sz w:val="20"/>
                <w:szCs w:val="20"/>
                <w:color w:val="auto"/>
              </w:rPr>
            </w:pPr>
            <w:r>
              <w:rPr>
                <w:rFonts w:ascii="Arial" w:cs="Arial" w:eastAsia="Arial" w:hAnsi="Arial"/>
                <w:sz w:val="18"/>
                <w:szCs w:val="18"/>
                <w:color w:val="auto"/>
              </w:rPr>
              <w:t>1,789,625</w:t>
            </w:r>
          </w:p>
        </w:tc>
        <w:tc>
          <w:tcPr>
            <w:tcW w:w="26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c>
          <w:tcPr>
            <w:tcW w:w="30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Capital ratios</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56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Tier 1 ratio </w:t>
            </w:r>
            <w:r>
              <w:rPr>
                <w:rFonts w:ascii="Arial" w:cs="Arial" w:eastAsia="Arial" w:hAnsi="Arial"/>
                <w:sz w:val="29"/>
                <w:szCs w:val="29"/>
                <w:color w:val="auto"/>
                <w:vertAlign w:val="superscript"/>
              </w:rPr>
              <w:t>(6)</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9.72%</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9.75%</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9.62%</w:t>
            </w:r>
          </w:p>
        </w:tc>
        <w:tc>
          <w:tcPr>
            <w:tcW w:w="1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6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Common equity tier 1 ratio </w:t>
            </w:r>
            <w:r>
              <w:rPr>
                <w:rFonts w:ascii="Arial" w:cs="Arial" w:eastAsia="Arial" w:hAnsi="Arial"/>
                <w:sz w:val="29"/>
                <w:szCs w:val="29"/>
                <w:color w:val="auto"/>
                <w:vertAlign w:val="superscript"/>
              </w:rPr>
              <w:t>(7)</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7.18%</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7.87%</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8.38%</w:t>
            </w:r>
          </w:p>
        </w:tc>
        <w:tc>
          <w:tcPr>
            <w:tcW w:w="1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6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BIS ratio </w:t>
            </w:r>
            <w:r>
              <w:rPr>
                <w:rFonts w:ascii="Arial" w:cs="Arial" w:eastAsia="Arial" w:hAnsi="Arial"/>
                <w:sz w:val="29"/>
                <w:szCs w:val="29"/>
                <w:color w:val="auto"/>
                <w:vertAlign w:val="superscript"/>
              </w:rPr>
              <w:t>(8)</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14.58%</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14.55%</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14.38%</w:t>
            </w:r>
          </w:p>
        </w:tc>
        <w:tc>
          <w:tcPr>
            <w:tcW w:w="1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560" w:type="dxa"/>
            <w:vAlign w:val="bottom"/>
            <w:gridSpan w:val="2"/>
            <w:shd w:val="clear" w:color="auto" w:fill="CCEEFF"/>
          </w:tcPr>
          <w:p>
            <w:pPr>
              <w:spacing w:after="0" w:line="269" w:lineRule="exact"/>
              <w:rPr>
                <w:sz w:val="20"/>
                <w:szCs w:val="20"/>
                <w:color w:val="auto"/>
              </w:rPr>
            </w:pPr>
            <w:r>
              <w:rPr>
                <w:rFonts w:ascii="Arial" w:cs="Arial" w:eastAsia="Arial" w:hAnsi="Arial"/>
                <w:sz w:val="18"/>
                <w:szCs w:val="18"/>
                <w:color w:val="auto"/>
              </w:rPr>
              <w:t xml:space="preserve">Risk-weighted assets / Regulatory capital </w:t>
            </w:r>
            <w:r>
              <w:rPr>
                <w:rFonts w:ascii="Arial" w:cs="Arial" w:eastAsia="Arial" w:hAnsi="Arial"/>
                <w:sz w:val="30"/>
                <w:szCs w:val="30"/>
                <w:color w:val="auto"/>
                <w:vertAlign w:val="superscript"/>
              </w:rPr>
              <w:t>(9)</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26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6.87</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6.95</w:t>
            </w:r>
          </w:p>
        </w:tc>
        <w:tc>
          <w:tcPr>
            <w:tcW w:w="1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Up to 1.25% of total risk-weighted assets.</w:t>
      </w:r>
    </w:p>
    <w:p>
      <w:pPr>
        <w:spacing w:after="0" w:line="23" w:lineRule="exact"/>
        <w:rPr>
          <w:rFonts w:ascii="Arial" w:cs="Arial" w:eastAsia="Arial" w:hAnsi="Arial"/>
          <w:sz w:val="18"/>
          <w:szCs w:val="18"/>
          <w:color w:val="auto"/>
        </w:rPr>
      </w:pPr>
    </w:p>
    <w:p>
      <w:pPr>
        <w:jc w:val="both"/>
        <w:ind w:firstLine="8"/>
        <w:spacing w:after="0" w:line="265" w:lineRule="auto"/>
        <w:tabs>
          <w:tab w:leader="none" w:pos="29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Tier 1 = Capital + Legal and other capital reserves + Accumulated earnings with capitalization agreement + Unrealized profit and net income in subsidiaries - Goodwill - (0.5 x Investment in subsidiaries) + Perpetual subordinated debt (maximum amount that can be included is 17.65% of Capital + Reserves + Accumulated earnings with capitalization agreement + Unrealized profit and net income in subsidiaries - Goodwill).</w:t>
      </w:r>
    </w:p>
    <w:p>
      <w:pPr>
        <w:ind w:left="260" w:hanging="252"/>
        <w:spacing w:after="0"/>
        <w:tabs>
          <w:tab w:leader="none" w:pos="2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Tier 2 = Subordinated debt + Loan loss reserves - (0.5 x Investment in subsidiaries).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Tier 3 = Subordinated debt covering market risk only. Tier 3 exists since 1Q10.</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It includes capital requirement to cover price and rate risk.</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Tier 1 / Risk-weighted assets</w:t>
      </w:r>
    </w:p>
    <w:p>
      <w:pPr>
        <w:spacing w:after="0" w:line="9" w:lineRule="exact"/>
        <w:rPr>
          <w:rFonts w:ascii="Arial" w:cs="Arial" w:eastAsia="Arial" w:hAnsi="Arial"/>
          <w:sz w:val="18"/>
          <w:szCs w:val="18"/>
          <w:color w:val="auto"/>
        </w:rPr>
      </w:pPr>
    </w:p>
    <w:p>
      <w:pPr>
        <w:ind w:firstLine="8"/>
        <w:spacing w:after="0" w:line="250" w:lineRule="auto"/>
        <w:tabs>
          <w:tab w:leader="none" w:pos="268"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Common Equity Tier I = Capital + Reserves – 100% of applicable deductions (investment in subsidiaries, goodwill, intangibles and deferred tax assets that rely on future profitability) + retained earnings + unrealized gains.</w:t>
      </w:r>
    </w:p>
    <w:p>
      <w:pPr>
        <w:ind w:left="260" w:hanging="252"/>
        <w:spacing w:after="0"/>
        <w:tabs>
          <w:tab w:leader="none" w:pos="2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Regulatory Capital / Risk-weighted assets (legal minimum = 10% since July 2011)</w:t>
      </w:r>
    </w:p>
    <w:p>
      <w:pPr>
        <w:spacing w:after="0" w:line="9" w:lineRule="exact"/>
        <w:rPr>
          <w:rFonts w:ascii="Arial" w:cs="Arial" w:eastAsia="Arial" w:hAnsi="Arial"/>
          <w:sz w:val="18"/>
          <w:szCs w:val="18"/>
          <w:color w:val="auto"/>
        </w:rPr>
      </w:pPr>
    </w:p>
    <w:p>
      <w:pPr>
        <w:ind w:firstLine="8"/>
        <w:spacing w:after="0" w:line="261" w:lineRule="auto"/>
        <w:tabs>
          <w:tab w:leader="none" w:pos="256" w:val="left"/>
        </w:tabs>
        <w:numPr>
          <w:ilvl w:val="0"/>
          <w:numId w:val="57"/>
        </w:numPr>
        <w:rPr>
          <w:rFonts w:ascii="Arial" w:cs="Arial" w:eastAsia="Arial" w:hAnsi="Arial"/>
          <w:sz w:val="18"/>
          <w:szCs w:val="18"/>
          <w:color w:val="auto"/>
        </w:rPr>
      </w:pPr>
      <w:r>
        <w:rPr>
          <w:rFonts w:ascii="Arial" w:cs="Arial" w:eastAsia="Arial" w:hAnsi="Arial"/>
          <w:sz w:val="18"/>
          <w:szCs w:val="18"/>
          <w:color w:val="auto"/>
        </w:rPr>
        <w:t>Since July 2012, Risk-weighted assets = Credit risk-weighted assets * 1.00 + Capital requirement to cover market risk * 10 + Capital requirement to cover operational risk * 10 * 0.8 (since July 2013)</w:t>
      </w:r>
    </w:p>
    <w:p>
      <w:pPr>
        <w:spacing w:after="0" w:line="18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At the end of 2Q15, the BIS ratio was situated at 14.38%, which fell below the figure reported at the end of 1Q15 (14.55%). This was due primarily to a +0.8% QoQ increase in Regulatory Capital, which fell below the increase posted in Risk weighted assets- RWA (+1.9% QoQ). It is important to note that the increase in Regulatory capital was due to a higher level of Subordinated debt this quarter. Growth in RWAs was due primarily to assets associated with Credit risk (+1.4% QoQ), which was in line with a +2.3% expansion in BCP loans (measured in quarter-end balances and based on Peru GAAP results).</w:t>
      </w:r>
    </w:p>
    <w:p>
      <w:pPr>
        <w:spacing w:after="0" w:line="363" w:lineRule="exact"/>
        <w:rPr>
          <w:sz w:val="20"/>
          <w:szCs w:val="20"/>
          <w:color w:val="auto"/>
        </w:rPr>
      </w:pPr>
    </w:p>
    <w:p>
      <w:pPr>
        <w:jc w:val="right"/>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682"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The Tier 1 ratio fell, going from 9.75% in 1Q15 to 9.62% in 2Q15 due to the evolution of RWAs vs. the evolution of Tier 1 (+0.6% QoQ).</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Common Equity Tier1 ratio- which is the most rigorous way of measuring capitalization levels- registered a significant QoQ improvement, increasing from 7.87% in 1Q15 to 8.38% in 2Q15. This was mainly attributable to growth in retained earnings due to income generation this period.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Equity Tier 1 ratio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142875</wp:posOffset>
            </wp:positionV>
            <wp:extent cx="5831840" cy="16122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831840" cy="1612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1960" w:type="dxa"/>
        <w:tblCellMar>
          <w:top w:w="0" w:type="dxa"/>
          <w:left w:w="0" w:type="dxa"/>
          <w:bottom w:w="0" w:type="dxa"/>
          <w:right w:w="0" w:type="dxa"/>
        </w:tblCellMar>
      </w:tblPr>
      <w:tr>
        <w:trPr>
          <w:trHeight w:val="234"/>
        </w:trPr>
        <w:tc>
          <w:tcPr>
            <w:tcW w:w="5780" w:type="dxa"/>
            <w:vAlign w:val="bottom"/>
            <w:gridSpan w:val="2"/>
          </w:tcPr>
          <w:p>
            <w:pPr>
              <w:spacing w:after="0"/>
              <w:rPr>
                <w:sz w:val="20"/>
                <w:szCs w:val="20"/>
                <w:color w:val="auto"/>
              </w:rPr>
            </w:pPr>
            <w:r>
              <w:rPr>
                <w:rFonts w:ascii="Arial" w:cs="Arial" w:eastAsia="Arial" w:hAnsi="Arial"/>
                <w:sz w:val="18"/>
                <w:szCs w:val="18"/>
                <w:b w:val="1"/>
                <w:bCs w:val="1"/>
                <w:color w:val="auto"/>
              </w:rPr>
              <w:t>Common Equity Tier 1</w:t>
            </w:r>
          </w:p>
        </w:tc>
        <w:tc>
          <w:tcPr>
            <w:tcW w:w="1060" w:type="dxa"/>
            <w:vAlign w:val="bottom"/>
            <w:gridSpan w:val="2"/>
            <w:vMerge w:val="restart"/>
          </w:tcPr>
          <w:p>
            <w:pPr>
              <w:jc w:val="right"/>
              <w:ind w:right="380"/>
              <w:spacing w:after="0"/>
              <w:rPr>
                <w:sz w:val="20"/>
                <w:szCs w:val="20"/>
                <w:color w:val="auto"/>
              </w:rPr>
            </w:pPr>
            <w:r>
              <w:rPr>
                <w:rFonts w:ascii="Arial" w:cs="Arial" w:eastAsia="Arial" w:hAnsi="Arial"/>
                <w:sz w:val="18"/>
                <w:szCs w:val="18"/>
                <w:b w:val="1"/>
                <w:bCs w:val="1"/>
                <w:color w:val="auto"/>
              </w:rPr>
              <w:t>Jun 15</w:t>
            </w:r>
          </w:p>
        </w:tc>
        <w:tc>
          <w:tcPr>
            <w:tcW w:w="0" w:type="dxa"/>
            <w:vAlign w:val="bottom"/>
          </w:tcPr>
          <w:p>
            <w:pPr>
              <w:spacing w:after="0"/>
              <w:rPr>
                <w:sz w:val="1"/>
                <w:szCs w:val="1"/>
                <w:color w:val="auto"/>
              </w:rPr>
            </w:pPr>
          </w:p>
        </w:tc>
      </w:tr>
      <w:tr>
        <w:trPr>
          <w:trHeight w:val="230"/>
        </w:trPr>
        <w:tc>
          <w:tcPr>
            <w:tcW w:w="5780" w:type="dxa"/>
            <w:vAlign w:val="bottom"/>
            <w:gridSpan w:val="2"/>
          </w:tcPr>
          <w:p>
            <w:pPr>
              <w:spacing w:after="0"/>
              <w:rPr>
                <w:sz w:val="20"/>
                <w:szCs w:val="20"/>
                <w:color w:val="auto"/>
              </w:rPr>
            </w:pPr>
            <w:r>
              <w:rPr>
                <w:rFonts w:ascii="Arial" w:cs="Arial" w:eastAsia="Arial" w:hAnsi="Arial"/>
                <w:sz w:val="18"/>
                <w:szCs w:val="18"/>
                <w:color w:val="auto"/>
              </w:rPr>
              <w:t>(S/. million)</w:t>
            </w:r>
          </w:p>
        </w:tc>
        <w:tc>
          <w:tcPr>
            <w:tcW w:w="10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Capital and reserves</w:t>
            </w:r>
          </w:p>
        </w:tc>
        <w:tc>
          <w:tcPr>
            <w:tcW w:w="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9,012</w:t>
            </w: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tcPr>
          <w:p>
            <w:pPr>
              <w:spacing w:after="0"/>
              <w:rPr>
                <w:sz w:val="20"/>
                <w:szCs w:val="20"/>
                <w:color w:val="auto"/>
              </w:rPr>
            </w:pPr>
            <w:r>
              <w:rPr>
                <w:rFonts w:ascii="Arial" w:cs="Arial" w:eastAsia="Arial" w:hAnsi="Arial"/>
                <w:sz w:val="18"/>
                <w:szCs w:val="18"/>
                <w:color w:val="auto"/>
              </w:rPr>
              <w:t>Retained earnings</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1,479</w:t>
            </w: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Unrealized gains (losses)</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5780" w:type="dxa"/>
            <w:vAlign w:val="bottom"/>
            <w:gridSpan w:val="2"/>
          </w:tcPr>
          <w:p>
            <w:pPr>
              <w:spacing w:after="0"/>
              <w:rPr>
                <w:sz w:val="20"/>
                <w:szCs w:val="20"/>
                <w:color w:val="auto"/>
              </w:rPr>
            </w:pPr>
            <w:r>
              <w:rPr>
                <w:rFonts w:ascii="Arial" w:cs="Arial" w:eastAsia="Arial" w:hAnsi="Arial"/>
                <w:sz w:val="18"/>
                <w:szCs w:val="18"/>
                <w:color w:val="auto"/>
              </w:rPr>
              <w:t>Goodwill and intangibles</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credit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30"/>
        </w:trPr>
        <w:tc>
          <w:tcPr>
            <w:tcW w:w="5780" w:type="dxa"/>
            <w:vAlign w:val="bottom"/>
            <w:gridSpan w:val="2"/>
          </w:tcPr>
          <w:p>
            <w:pPr>
              <w:spacing w:after="0"/>
              <w:rPr>
                <w:sz w:val="20"/>
                <w:szCs w:val="20"/>
                <w:color w:val="auto"/>
              </w:rPr>
            </w:pPr>
            <w:r>
              <w:rPr>
                <w:rFonts w:ascii="Arial" w:cs="Arial" w:eastAsia="Arial" w:hAnsi="Arial"/>
                <w:sz w:val="18"/>
                <w:szCs w:val="18"/>
                <w:color w:val="auto"/>
              </w:rPr>
              <w:t>Investments in subsidiaries (1)</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(1,890)</w:t>
            </w:r>
          </w:p>
        </w:tc>
        <w:tc>
          <w:tcPr>
            <w:tcW w:w="0" w:type="dxa"/>
            <w:vAlign w:val="bottom"/>
          </w:tcPr>
          <w:p>
            <w:pPr>
              <w:spacing w:after="0"/>
              <w:rPr>
                <w:sz w:val="1"/>
                <w:szCs w:val="1"/>
                <w:color w:val="auto"/>
              </w:rPr>
            </w:pPr>
          </w:p>
        </w:tc>
      </w:tr>
      <w:tr>
        <w:trPr>
          <w:trHeight w:val="210"/>
        </w:trPr>
        <w:tc>
          <w:tcPr>
            <w:tcW w:w="57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CET1</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7,779</w:t>
            </w: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CET1 ratio</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8.38%</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200" w:hanging="247"/>
        <w:spacing w:after="0"/>
        <w:tabs>
          <w:tab w:leader="none" w:pos="22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Includes investments in Mibanco and other subsidiaries.</w:t>
      </w:r>
    </w:p>
    <w:p>
      <w:pPr>
        <w:spacing w:after="0" w:line="206" w:lineRule="exact"/>
        <w:rPr>
          <w:rFonts w:ascii="Arial" w:cs="Arial" w:eastAsia="Arial" w:hAnsi="Arial"/>
          <w:sz w:val="18"/>
          <w:szCs w:val="18"/>
          <w:color w:val="auto"/>
        </w:rPr>
      </w:pPr>
    </w:p>
    <w:p>
      <w:pPr>
        <w:ind w:left="660" w:hanging="652"/>
        <w:spacing w:after="0"/>
        <w:tabs>
          <w:tab w:leader="none" w:pos="66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Distribution channels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distribution channels at BCP, Mibanco and BCP Bolivia combined totaled 8,309 points of access at the end of 2Q15, which represented an increase of +2.2% QoQ.</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BCP offered a total of 7,624 points of access at the end of 2Q15, which represented slight growth of +2.3%% QoQ. This expansion was attributable to an increase in Agentes BCP (+3.0% QoQ), ATMs (+1.1% TaT) and Branches (+0.9% QoQ).</w:t>
      </w:r>
    </w:p>
    <w:p>
      <w:pPr>
        <w:spacing w:after="0" w:line="37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1" w:name="page42"/>
    <w:bookmarkEnd w:id="41"/>
    <w:p>
      <w:pPr>
        <w:jc w:val="both"/>
        <w:spacing w:after="0" w:line="277" w:lineRule="auto"/>
        <w:rPr>
          <w:sz w:val="20"/>
          <w:szCs w:val="20"/>
          <w:color w:val="auto"/>
        </w:rPr>
      </w:pPr>
      <w:r>
        <w:rPr>
          <w:rFonts w:ascii="Arial" w:cs="Arial" w:eastAsia="Arial" w:hAnsi="Arial"/>
          <w:sz w:val="18"/>
          <w:szCs w:val="18"/>
          <w:color w:val="auto"/>
        </w:rPr>
        <w:t>The main increase in Agentes BCP took place in Lima, where 96 Agentes BCP were inaugurated. Nevertheless, it is important to note that 45% of our total network of points of access is located in the provinces, which is in line with our banking penetration strategy.</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Mibanco reduced its number of branches by a small margin, going from 327 in 1Q15 to 326 in 2Q15. In the case of Mibanco, the YoY reduction in ATMs and in Agentes is due primarily to the fact that the contract agreements in place until 2014 for Agentes Mibanco expired, and to the decision to shut down Mibanco ATMs. This reflects the synergies that have been created by consolidation efforts, which have given Mibanco access to BCP’s distribution channels.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BCP Bolivia posted a +1.4% increase in channels QoQ that was mainly due to Agentes BCP Bolivia (+2.0% QoQ) and Branches (+2.2% QoQ).</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YoY analysis of BCP indicates that ATMs increased +4.7% YoY while branches grew +8.9 YoY. Mibanco reported an increase of +3.5% YoY at the branch level while BCP Bolivia posted growth of +5.3% YoY for the same component. These growth levels are in line with our banking penetration strategy and national expansion plan.</w:t>
      </w:r>
    </w:p>
    <w:p>
      <w:pPr>
        <w:spacing w:after="0" w:line="177" w:lineRule="exact"/>
        <w:rPr>
          <w:sz w:val="20"/>
          <w:szCs w:val="20"/>
          <w:color w:val="auto"/>
        </w:rPr>
      </w:pPr>
    </w:p>
    <w:tbl>
      <w:tblPr>
        <w:tblLayout w:type="fixed"/>
        <w:tblInd w:w="1300" w:type="dxa"/>
        <w:tblCellMar>
          <w:top w:w="0" w:type="dxa"/>
          <w:left w:w="0" w:type="dxa"/>
          <w:bottom w:w="0" w:type="dxa"/>
          <w:right w:w="0" w:type="dxa"/>
        </w:tblCellMar>
      </w:tblPr>
      <w:tr>
        <w:trPr>
          <w:trHeight w:val="230"/>
        </w:trPr>
        <w:tc>
          <w:tcPr>
            <w:tcW w:w="3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ind w:left="180"/>
              <w:spacing w:after="0"/>
              <w:rPr>
                <w:sz w:val="20"/>
                <w:szCs w:val="20"/>
                <w:color w:val="auto"/>
              </w:rPr>
            </w:pPr>
            <w:r>
              <w:rPr>
                <w:rFonts w:ascii="Arial" w:cs="Arial" w:eastAsia="Arial" w:hAnsi="Arial"/>
                <w:sz w:val="18"/>
                <w:szCs w:val="18"/>
                <w:b w:val="1"/>
                <w:bCs w:val="1"/>
                <w:color w:val="auto"/>
              </w:rPr>
              <w:t>Quarter</w:t>
            </w: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ind w:left="40"/>
              <w:spacing w:after="0"/>
              <w:rPr>
                <w:sz w:val="20"/>
                <w:szCs w:val="20"/>
                <w:color w:val="auto"/>
              </w:rPr>
            </w:pPr>
            <w:r>
              <w:rPr>
                <w:rFonts w:ascii="Arial" w:cs="Arial" w:eastAsia="Arial" w:hAnsi="Arial"/>
                <w:sz w:val="18"/>
                <w:szCs w:val="18"/>
                <w:b w:val="1"/>
                <w:bCs w:val="1"/>
                <w:color w:val="auto"/>
                <w:w w:val="92"/>
              </w:rPr>
              <w:t>% change</w:t>
            </w: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4"/>
        </w:trPr>
        <w:tc>
          <w:tcPr>
            <w:tcW w:w="326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2Q14</w:t>
            </w:r>
          </w:p>
        </w:tc>
        <w:tc>
          <w:tcPr>
            <w:tcW w:w="16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1Q15</w:t>
            </w:r>
          </w:p>
        </w:tc>
        <w:tc>
          <w:tcPr>
            <w:tcW w:w="16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2Q15</w:t>
            </w:r>
          </w:p>
        </w:tc>
        <w:tc>
          <w:tcPr>
            <w:tcW w:w="160" w:type="dxa"/>
            <w:vAlign w:val="bottom"/>
            <w:tcBorders>
              <w:bottom w:val="single" w:sz="8" w:color="CCEEFF"/>
            </w:tcBorders>
          </w:tcPr>
          <w:p>
            <w:pPr>
              <w:spacing w:after="0"/>
              <w:rPr>
                <w:sz w:val="20"/>
                <w:szCs w:val="20"/>
                <w:color w:val="auto"/>
              </w:rPr>
            </w:pPr>
          </w:p>
        </w:tc>
        <w:tc>
          <w:tcPr>
            <w:tcW w:w="70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w w:val="92"/>
              </w:rPr>
              <w:t>QoQ</w:t>
            </w:r>
          </w:p>
        </w:tc>
        <w:tc>
          <w:tcPr>
            <w:tcW w:w="280" w:type="dxa"/>
            <w:vAlign w:val="bottom"/>
            <w:tcBorders>
              <w:bottom w:val="single" w:sz="8" w:color="auto"/>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YoY</w:t>
            </w:r>
          </w:p>
        </w:tc>
        <w:tc>
          <w:tcPr>
            <w:tcW w:w="200" w:type="dxa"/>
            <w:vAlign w:val="bottom"/>
            <w:tcBorders>
              <w:bottom w:val="single" w:sz="8" w:color="CCEEFF"/>
            </w:tcBorders>
          </w:tcPr>
          <w:p>
            <w:pPr>
              <w:spacing w:after="0"/>
              <w:rPr>
                <w:sz w:val="20"/>
                <w:szCs w:val="20"/>
                <w:color w:val="auto"/>
              </w:rPr>
            </w:pPr>
          </w:p>
        </w:tc>
      </w:tr>
      <w:tr>
        <w:trPr>
          <w:trHeight w:val="210"/>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Branches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0.9%</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ATMs</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2,153</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2,229</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2,254</w:t>
            </w:r>
          </w:p>
        </w:tc>
        <w:tc>
          <w:tcPr>
            <w:tcW w:w="700" w:type="dxa"/>
            <w:vAlign w:val="bottom"/>
          </w:tcPr>
          <w:p>
            <w:pPr>
              <w:spacing w:after="0"/>
              <w:rPr>
                <w:sz w:val="18"/>
                <w:szCs w:val="18"/>
                <w:color w:val="auto"/>
              </w:rPr>
            </w:pPr>
          </w:p>
        </w:tc>
        <w:tc>
          <w:tcPr>
            <w:tcW w:w="560" w:type="dxa"/>
            <w:vAlign w:val="bottom"/>
            <w:gridSpan w:val="2"/>
          </w:tcPr>
          <w:p>
            <w:pPr>
              <w:ind w:left="60"/>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4.7%</w:t>
            </w:r>
          </w:p>
        </w:tc>
      </w:tr>
      <w:tr>
        <w:trPr>
          <w:trHeight w:val="230"/>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Agentes BCP</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5,653</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4,774</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4,918</w:t>
            </w:r>
          </w:p>
        </w:tc>
        <w:tc>
          <w:tcPr>
            <w:tcW w:w="7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3.0%</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w:t>
            </w:r>
          </w:p>
        </w:tc>
      </w:tr>
      <w:tr>
        <w:trPr>
          <w:trHeight w:val="210"/>
        </w:trPr>
        <w:tc>
          <w:tcPr>
            <w:tcW w:w="32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BCP’s Network</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8,221</w:t>
            </w:r>
          </w:p>
        </w:tc>
        <w:tc>
          <w:tcPr>
            <w:tcW w:w="16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7,451</w:t>
            </w:r>
          </w:p>
        </w:tc>
        <w:tc>
          <w:tcPr>
            <w:tcW w:w="16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7,624</w:t>
            </w:r>
          </w:p>
        </w:tc>
        <w:tc>
          <w:tcPr>
            <w:tcW w:w="160" w:type="dxa"/>
            <w:vAlign w:val="bottom"/>
            <w:tcBorders>
              <w:bottom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b w:val="1"/>
                <w:bCs w:val="1"/>
                <w:color w:val="auto"/>
                <w:w w:val="79"/>
              </w:rPr>
              <w:t>2.3</w:t>
            </w:r>
          </w:p>
        </w:tc>
        <w:tc>
          <w:tcPr>
            <w:tcW w:w="28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2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w:t>
            </w:r>
          </w:p>
        </w:tc>
        <w:tc>
          <w:tcPr>
            <w:tcW w:w="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w w:val="99"/>
              </w:rPr>
              <w:t>%</w:t>
            </w:r>
          </w:p>
        </w:tc>
      </w:tr>
      <w:tr>
        <w:trPr>
          <w:trHeight w:val="237"/>
        </w:trPr>
        <w:tc>
          <w:tcPr>
            <w:tcW w:w="3260" w:type="dxa"/>
            <w:vAlign w:val="bottom"/>
            <w:shd w:val="clear" w:color="auto" w:fill="CCEEFF"/>
          </w:tcPr>
          <w:p>
            <w:pPr>
              <w:spacing w:after="0" w:line="236" w:lineRule="exact"/>
              <w:rPr>
                <w:sz w:val="20"/>
                <w:szCs w:val="20"/>
                <w:color w:val="auto"/>
              </w:rPr>
            </w:pPr>
            <w:r>
              <w:rPr>
                <w:rFonts w:ascii="Arial" w:cs="Arial" w:eastAsia="Arial" w:hAnsi="Arial"/>
                <w:sz w:val="17"/>
                <w:szCs w:val="17"/>
                <w:color w:val="auto"/>
              </w:rPr>
              <w:t xml:space="preserve">Branches </w:t>
            </w:r>
            <w:r>
              <w:rPr>
                <w:rFonts w:ascii="Arial" w:cs="Arial" w:eastAsia="Arial" w:hAnsi="Arial"/>
                <w:sz w:val="27"/>
                <w:szCs w:val="27"/>
                <w:color w:val="auto"/>
                <w:vertAlign w:val="superscript"/>
              </w:rPr>
              <w:t>(1)</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315</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327</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326</w:t>
            </w:r>
          </w:p>
        </w:tc>
        <w:tc>
          <w:tcPr>
            <w:tcW w:w="700" w:type="dxa"/>
            <w:vAlign w:val="bottom"/>
            <w:shd w:val="clear" w:color="auto" w:fill="CCEEFF"/>
          </w:tcPr>
          <w:p>
            <w:pPr>
              <w:spacing w:after="0"/>
              <w:rPr>
                <w:sz w:val="20"/>
                <w:szCs w:val="20"/>
                <w:color w:val="auto"/>
              </w:rPr>
            </w:pPr>
          </w:p>
        </w:tc>
        <w:tc>
          <w:tcPr>
            <w:tcW w:w="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-0.3%</w:t>
            </w:r>
          </w:p>
        </w:tc>
        <w:tc>
          <w:tcPr>
            <w:tcW w:w="2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ATMs</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87</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ind w:left="220"/>
              <w:spacing w:after="0"/>
              <w:rPr>
                <w:sz w:val="20"/>
                <w:szCs w:val="20"/>
                <w:color w:val="auto"/>
              </w:rPr>
            </w:pPr>
            <w:r>
              <w:rPr>
                <w:rFonts w:ascii="Arial" w:cs="Arial" w:eastAsia="Arial" w:hAnsi="Arial"/>
                <w:sz w:val="16"/>
                <w:szCs w:val="16"/>
                <w:color w:val="auto"/>
                <w:w w:val="74"/>
              </w:rPr>
              <w:t>-</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30"/>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Agentes Mibanco</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2,450</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80" w:type="dxa"/>
            <w:vAlign w:val="bottom"/>
            <w:shd w:val="clear" w:color="auto" w:fill="CCEEFF"/>
          </w:tcPr>
          <w:p>
            <w:pPr>
              <w:ind w:left="220"/>
              <w:spacing w:after="0"/>
              <w:rPr>
                <w:sz w:val="20"/>
                <w:szCs w:val="20"/>
                <w:color w:val="auto"/>
              </w:rPr>
            </w:pPr>
            <w:r>
              <w:rPr>
                <w:rFonts w:ascii="Arial" w:cs="Arial" w:eastAsia="Arial" w:hAnsi="Arial"/>
                <w:sz w:val="16"/>
                <w:szCs w:val="16"/>
                <w:color w:val="auto"/>
                <w:w w:val="74"/>
              </w:rPr>
              <w:t>-</w:t>
            </w: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r>
      <w:tr>
        <w:trPr>
          <w:trHeight w:val="210"/>
        </w:trPr>
        <w:tc>
          <w:tcPr>
            <w:tcW w:w="32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Mibanco’s Network</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2,852</w:t>
            </w:r>
          </w:p>
        </w:tc>
        <w:tc>
          <w:tcPr>
            <w:tcW w:w="16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327</w:t>
            </w:r>
          </w:p>
        </w:tc>
        <w:tc>
          <w:tcPr>
            <w:tcW w:w="16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326</w:t>
            </w:r>
          </w:p>
        </w:tc>
        <w:tc>
          <w:tcPr>
            <w:tcW w:w="160" w:type="dxa"/>
            <w:vAlign w:val="bottom"/>
            <w:tcBorders>
              <w:bottom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83"/>
              </w:rPr>
              <w:t>-0.3</w:t>
            </w:r>
          </w:p>
        </w:tc>
        <w:tc>
          <w:tcPr>
            <w:tcW w:w="28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2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tcPr>
          <w:p>
            <w:pPr>
              <w:spacing w:after="0"/>
              <w:rPr>
                <w:sz w:val="18"/>
                <w:szCs w:val="18"/>
                <w:color w:val="auto"/>
              </w:rPr>
            </w:pPr>
          </w:p>
        </w:tc>
      </w:tr>
      <w:tr>
        <w:trPr>
          <w:trHeight w:val="210"/>
        </w:trPr>
        <w:tc>
          <w:tcPr>
            <w:tcW w:w="3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Peru’s Network</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11,073</w:t>
            </w:r>
          </w:p>
        </w:tc>
        <w:tc>
          <w:tcPr>
            <w:tcW w:w="16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7,778</w:t>
            </w:r>
          </w:p>
        </w:tc>
        <w:tc>
          <w:tcPr>
            <w:tcW w:w="16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7,950</w:t>
            </w:r>
          </w:p>
        </w:tc>
        <w:tc>
          <w:tcPr>
            <w:tcW w:w="16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b w:val="1"/>
                <w:bCs w:val="1"/>
                <w:color w:val="auto"/>
                <w:w w:val="79"/>
              </w:rPr>
              <w:t>2.2</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2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r>
      <w:tr>
        <w:trPr>
          <w:trHeight w:val="210"/>
        </w:trPr>
        <w:tc>
          <w:tcPr>
            <w:tcW w:w="3260" w:type="dxa"/>
            <w:vAlign w:val="bottom"/>
          </w:tcPr>
          <w:p>
            <w:pPr>
              <w:spacing w:after="0"/>
              <w:rPr>
                <w:sz w:val="20"/>
                <w:szCs w:val="20"/>
                <w:color w:val="auto"/>
              </w:rPr>
            </w:pPr>
            <w:r>
              <w:rPr>
                <w:rFonts w:ascii="Arial" w:cs="Arial" w:eastAsia="Arial" w:hAnsi="Arial"/>
                <w:sz w:val="18"/>
                <w:szCs w:val="18"/>
                <w:color w:val="auto"/>
              </w:rPr>
              <w:t>Branches</w:t>
            </w:r>
          </w:p>
        </w:tc>
        <w:tc>
          <w:tcPr>
            <w:tcW w:w="980" w:type="dxa"/>
            <w:vAlign w:val="bottom"/>
          </w:tcPr>
          <w:p>
            <w:pPr>
              <w:jc w:val="right"/>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gridSpan w:val="2"/>
          </w:tcPr>
          <w:p>
            <w:pPr>
              <w:ind w:left="60"/>
              <w:spacing w:after="0"/>
              <w:rPr>
                <w:sz w:val="20"/>
                <w:szCs w:val="20"/>
                <w:color w:val="auto"/>
              </w:rPr>
            </w:pPr>
            <w:r>
              <w:rPr>
                <w:rFonts w:ascii="Arial" w:cs="Arial" w:eastAsia="Arial" w:hAnsi="Arial"/>
                <w:sz w:val="18"/>
                <w:szCs w:val="18"/>
                <w:color w:val="auto"/>
              </w:rPr>
              <w:t>2.2%</w:t>
            </w:r>
          </w:p>
        </w:tc>
        <w:tc>
          <w:tcPr>
            <w:tcW w:w="2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ATMs</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-1.6%</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30"/>
        </w:trPr>
        <w:tc>
          <w:tcPr>
            <w:tcW w:w="3260" w:type="dxa"/>
            <w:vAlign w:val="bottom"/>
          </w:tcPr>
          <w:p>
            <w:pPr>
              <w:spacing w:after="0"/>
              <w:rPr>
                <w:sz w:val="20"/>
                <w:szCs w:val="20"/>
                <w:color w:val="auto"/>
              </w:rPr>
            </w:pPr>
            <w:r>
              <w:rPr>
                <w:rFonts w:ascii="Arial" w:cs="Arial" w:eastAsia="Arial" w:hAnsi="Arial"/>
                <w:sz w:val="18"/>
                <w:szCs w:val="18"/>
                <w:color w:val="auto"/>
              </w:rPr>
              <w:t>Agentes BCP Bolivia</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245</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247</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252</w:t>
            </w:r>
          </w:p>
        </w:tc>
        <w:tc>
          <w:tcPr>
            <w:tcW w:w="700" w:type="dxa"/>
            <w:vAlign w:val="bottom"/>
          </w:tcPr>
          <w:p>
            <w:pPr>
              <w:spacing w:after="0"/>
              <w:rPr>
                <w:sz w:val="19"/>
                <w:szCs w:val="19"/>
                <w:color w:val="auto"/>
              </w:rPr>
            </w:pPr>
          </w:p>
        </w:tc>
        <w:tc>
          <w:tcPr>
            <w:tcW w:w="560" w:type="dxa"/>
            <w:vAlign w:val="bottom"/>
            <w:gridSpan w:val="2"/>
          </w:tcPr>
          <w:p>
            <w:pPr>
              <w:ind w:left="60"/>
              <w:spacing w:after="0"/>
              <w:rPr>
                <w:sz w:val="20"/>
                <w:szCs w:val="20"/>
                <w:color w:val="auto"/>
              </w:rPr>
            </w:pPr>
            <w:r>
              <w:rPr>
                <w:rFonts w:ascii="Arial" w:cs="Arial" w:eastAsia="Arial" w:hAnsi="Arial"/>
                <w:sz w:val="18"/>
                <w:szCs w:val="18"/>
                <w:color w:val="auto"/>
              </w:rPr>
              <w:t>2.0%</w:t>
            </w:r>
          </w:p>
        </w:tc>
        <w:tc>
          <w:tcPr>
            <w:tcW w:w="2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2.9%</w:t>
            </w:r>
          </w:p>
        </w:tc>
      </w:tr>
      <w:tr>
        <w:trPr>
          <w:trHeight w:val="210"/>
        </w:trPr>
        <w:tc>
          <w:tcPr>
            <w:tcW w:w="3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Bolivia’s Network</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341</w:t>
            </w:r>
          </w:p>
        </w:tc>
        <w:tc>
          <w:tcPr>
            <w:tcW w:w="1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354</w:t>
            </w:r>
          </w:p>
        </w:tc>
        <w:tc>
          <w:tcPr>
            <w:tcW w:w="1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359</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b w:val="1"/>
                <w:bCs w:val="1"/>
                <w:color w:val="auto"/>
                <w:w w:val="79"/>
              </w:rPr>
              <w:t>1.4</w:t>
            </w:r>
          </w:p>
        </w:tc>
        <w:tc>
          <w:tcPr>
            <w:tcW w:w="28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r>
      <w:tr>
        <w:trPr>
          <w:trHeight w:val="225"/>
        </w:trPr>
        <w:tc>
          <w:tcPr>
            <w:tcW w:w="3260" w:type="dxa"/>
            <w:vAlign w:val="bottom"/>
          </w:tcPr>
          <w:p>
            <w:pPr>
              <w:spacing w:after="0"/>
              <w:rPr>
                <w:sz w:val="20"/>
                <w:szCs w:val="20"/>
                <w:color w:val="auto"/>
              </w:rPr>
            </w:pPr>
            <w:r>
              <w:rPr>
                <w:rFonts w:ascii="Arial" w:cs="Arial" w:eastAsia="Arial" w:hAnsi="Arial"/>
                <w:sz w:val="18"/>
                <w:szCs w:val="18"/>
                <w:b w:val="1"/>
                <w:bCs w:val="1"/>
                <w:color w:val="auto"/>
              </w:rPr>
              <w:t>Total BCP Consolidated’s Network</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11,414</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8,132</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8,309</w:t>
            </w: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ind w:left="60"/>
              <w:spacing w:after="0"/>
              <w:rPr>
                <w:sz w:val="20"/>
                <w:szCs w:val="20"/>
                <w:color w:val="auto"/>
              </w:rPr>
            </w:pPr>
            <w:r>
              <w:rPr>
                <w:rFonts w:ascii="Arial" w:cs="Arial" w:eastAsia="Arial" w:hAnsi="Arial"/>
                <w:sz w:val="18"/>
                <w:szCs w:val="18"/>
                <w:b w:val="1"/>
                <w:bCs w:val="1"/>
                <w:color w:val="auto"/>
                <w:w w:val="79"/>
              </w:rPr>
              <w:t>2.2</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-27.2</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-8890</wp:posOffset>
            </wp:positionV>
            <wp:extent cx="361061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ind w:left="1300" w:right="7020" w:firstLine="5"/>
        <w:spacing w:after="0" w:line="259" w:lineRule="auto"/>
        <w:tabs>
          <w:tab w:leader="none" w:pos="1555"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Includes Edyficar’s branches for 2Q14. Source: BCP.</w:t>
      </w:r>
    </w:p>
    <w:p>
      <w:pPr>
        <w:spacing w:after="0" w:line="39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34"/>
        </w:trPr>
        <w:tc>
          <w:tcPr>
            <w:tcW w:w="3080" w:type="dxa"/>
            <w:vAlign w:val="bottom"/>
            <w:gridSpan w:val="2"/>
          </w:tcPr>
          <w:p>
            <w:pPr>
              <w:spacing w:after="0"/>
              <w:rPr>
                <w:sz w:val="20"/>
                <w:szCs w:val="20"/>
                <w:color w:val="auto"/>
              </w:rPr>
            </w:pPr>
            <w:r>
              <w:rPr>
                <w:rFonts w:ascii="Arial" w:cs="Arial" w:eastAsia="Arial" w:hAnsi="Arial"/>
                <w:sz w:val="18"/>
                <w:szCs w:val="18"/>
                <w:b w:val="1"/>
                <w:bCs w:val="1"/>
                <w:color w:val="auto"/>
              </w:rPr>
              <w:t>Transactions by Channel</w:t>
            </w: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27"/>
        </w:trPr>
        <w:tc>
          <w:tcPr>
            <w:tcW w:w="3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20" w:type="dxa"/>
            <w:vAlign w:val="bottom"/>
            <w:gridSpan w:val="7"/>
          </w:tcPr>
          <w:p>
            <w:pPr>
              <w:ind w:left="680"/>
              <w:spacing w:after="0"/>
              <w:rPr>
                <w:sz w:val="20"/>
                <w:szCs w:val="20"/>
                <w:color w:val="auto"/>
              </w:rPr>
            </w:pPr>
            <w:r>
              <w:rPr>
                <w:rFonts w:ascii="Arial" w:cs="Arial" w:eastAsia="Arial" w:hAnsi="Arial"/>
                <w:sz w:val="18"/>
                <w:szCs w:val="18"/>
                <w:b w:val="1"/>
                <w:bCs w:val="1"/>
                <w:color w:val="auto"/>
                <w:w w:val="91"/>
              </w:rPr>
              <w:t>Monthly average in each quarter</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6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 change</w:t>
            </w:r>
          </w:p>
        </w:tc>
      </w:tr>
      <w:tr>
        <w:trPr>
          <w:trHeight w:val="234"/>
        </w:trPr>
        <w:tc>
          <w:tcPr>
            <w:tcW w:w="3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 of Transactions per channel</w:t>
            </w:r>
          </w:p>
        </w:tc>
        <w:tc>
          <w:tcPr>
            <w:tcW w:w="8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2Q14</w:t>
            </w:r>
          </w:p>
        </w:tc>
        <w:tc>
          <w:tcPr>
            <w:tcW w:w="180" w:type="dxa"/>
            <w:vAlign w:val="bottom"/>
            <w:tcBorders>
              <w:bottom w:val="single" w:sz="8" w:color="CCEEFF"/>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1Q15</w:t>
            </w:r>
          </w:p>
        </w:tc>
        <w:tc>
          <w:tcPr>
            <w:tcW w:w="200" w:type="dxa"/>
            <w:vAlign w:val="bottom"/>
            <w:tcBorders>
              <w:bottom w:val="single" w:sz="8" w:color="CCEEFF"/>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2Q15</w:t>
            </w:r>
          </w:p>
        </w:tc>
        <w:tc>
          <w:tcPr>
            <w:tcW w:w="220" w:type="dxa"/>
            <w:vAlign w:val="bottom"/>
            <w:tcBorders>
              <w:bottom w:val="single" w:sz="8" w:color="CCEEFF"/>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QoQ</w:t>
            </w:r>
          </w:p>
        </w:tc>
        <w:tc>
          <w:tcPr>
            <w:tcW w:w="28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EEFF"/>
            </w:tcBorders>
          </w:tcPr>
          <w:p>
            <w:pPr>
              <w:spacing w:after="0"/>
              <w:rPr>
                <w:sz w:val="20"/>
                <w:szCs w:val="20"/>
                <w:color w:val="auto"/>
              </w:rPr>
            </w:pPr>
          </w:p>
        </w:tc>
      </w:tr>
      <w:tr>
        <w:trPr>
          <w:trHeight w:val="210"/>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Teller</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9,278,615</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11.2%</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9,363,737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9,265,849</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10.5%</w:t>
            </w:r>
          </w:p>
        </w:tc>
        <w:tc>
          <w:tcPr>
            <w:tcW w:w="10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ATMs</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15,437,837</w:t>
            </w:r>
          </w:p>
        </w:tc>
        <w:tc>
          <w:tcPr>
            <w:tcW w:w="980" w:type="dxa"/>
            <w:vAlign w:val="bottom"/>
            <w:gridSpan w:val="2"/>
          </w:tcPr>
          <w:p>
            <w:pPr>
              <w:jc w:val="right"/>
              <w:ind w:right="30"/>
              <w:spacing w:after="0"/>
              <w:rPr>
                <w:sz w:val="20"/>
                <w:szCs w:val="20"/>
                <w:color w:val="auto"/>
              </w:rPr>
            </w:pPr>
            <w:r>
              <w:rPr>
                <w:rFonts w:ascii="Arial" w:cs="Arial" w:eastAsia="Arial" w:hAnsi="Arial"/>
                <w:sz w:val="18"/>
                <w:szCs w:val="18"/>
                <w:color w:val="auto"/>
              </w:rPr>
              <w:t>18.7%</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17,054,721</w:t>
            </w:r>
          </w:p>
        </w:tc>
        <w:tc>
          <w:tcPr>
            <w:tcW w:w="1020" w:type="dxa"/>
            <w:vAlign w:val="bottom"/>
            <w:gridSpan w:val="2"/>
          </w:tcPr>
          <w:p>
            <w:pPr>
              <w:jc w:val="right"/>
              <w:ind w:right="50"/>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17,903,189</w:t>
            </w:r>
          </w:p>
        </w:tc>
        <w:tc>
          <w:tcPr>
            <w:tcW w:w="1020" w:type="dxa"/>
            <w:vAlign w:val="bottom"/>
            <w:gridSpan w:val="2"/>
          </w:tcPr>
          <w:p>
            <w:pPr>
              <w:jc w:val="right"/>
              <w:ind w:right="50"/>
              <w:spacing w:after="0"/>
              <w:rPr>
                <w:sz w:val="20"/>
                <w:szCs w:val="20"/>
                <w:color w:val="auto"/>
              </w:rPr>
            </w:pPr>
            <w:r>
              <w:rPr>
                <w:rFonts w:ascii="Arial" w:cs="Arial" w:eastAsia="Arial" w:hAnsi="Arial"/>
                <w:sz w:val="18"/>
                <w:szCs w:val="18"/>
                <w:color w:val="auto"/>
              </w:rPr>
              <w:t>20.3%</w:t>
            </w:r>
          </w:p>
        </w:tc>
        <w:tc>
          <w:tcPr>
            <w:tcW w:w="1020" w:type="dxa"/>
            <w:vAlign w:val="bottom"/>
            <w:gridSpan w:val="2"/>
          </w:tcPr>
          <w:p>
            <w:pPr>
              <w:jc w:val="right"/>
              <w:ind w:right="50"/>
              <w:spacing w:after="0"/>
              <w:rPr>
                <w:sz w:val="20"/>
                <w:szCs w:val="20"/>
                <w:color w:val="auto"/>
              </w:rPr>
            </w:pPr>
            <w:r>
              <w:rPr>
                <w:rFonts w:ascii="Arial" w:cs="Arial" w:eastAsia="Arial" w:hAnsi="Arial"/>
                <w:sz w:val="18"/>
                <w:szCs w:val="18"/>
                <w:color w:val="auto"/>
              </w:rPr>
              <w:t>5.0%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16.0%</w:t>
            </w:r>
          </w:p>
        </w:tc>
      </w:tr>
      <w:tr>
        <w:trPr>
          <w:trHeight w:val="216"/>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inquiries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3,877,297</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4.7%</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3,059,237</w:t>
            </w:r>
          </w:p>
        </w:tc>
        <w:tc>
          <w:tcPr>
            <w:tcW w:w="10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2,880,307</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3.3%</w:t>
            </w:r>
          </w:p>
        </w:tc>
        <w:tc>
          <w:tcPr>
            <w:tcW w:w="10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-5.8%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-25.7%</w:t>
            </w: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Telephone banking</w:t>
            </w:r>
          </w:p>
        </w:tc>
        <w:tc>
          <w:tcPr>
            <w:tcW w:w="920" w:type="dxa"/>
            <w:vAlign w:val="bottom"/>
          </w:tcPr>
          <w:p>
            <w:pPr>
              <w:jc w:val="right"/>
              <w:spacing w:after="0"/>
              <w:rPr>
                <w:sz w:val="20"/>
                <w:szCs w:val="20"/>
                <w:color w:val="auto"/>
              </w:rPr>
            </w:pPr>
            <w:r>
              <w:rPr>
                <w:rFonts w:ascii="Arial" w:cs="Arial" w:eastAsia="Arial" w:hAnsi="Arial"/>
                <w:sz w:val="18"/>
                <w:szCs w:val="18"/>
                <w:color w:val="auto"/>
              </w:rPr>
              <w:t>1,335,568</w:t>
            </w:r>
          </w:p>
        </w:tc>
        <w:tc>
          <w:tcPr>
            <w:tcW w:w="180" w:type="dxa"/>
            <w:vAlign w:val="bottom"/>
          </w:tcPr>
          <w:p>
            <w:pPr>
              <w:spacing w:after="0"/>
              <w:rPr>
                <w:sz w:val="18"/>
                <w:szCs w:val="18"/>
                <w:color w:val="auto"/>
              </w:rPr>
            </w:pPr>
          </w:p>
        </w:tc>
        <w:tc>
          <w:tcPr>
            <w:tcW w:w="980" w:type="dxa"/>
            <w:vAlign w:val="bottom"/>
            <w:gridSpan w:val="2"/>
          </w:tcPr>
          <w:p>
            <w:pPr>
              <w:jc w:val="right"/>
              <w:ind w:right="30"/>
              <w:spacing w:after="0"/>
              <w:rPr>
                <w:sz w:val="20"/>
                <w:szCs w:val="20"/>
                <w:color w:val="auto"/>
              </w:rPr>
            </w:pPr>
            <w:r>
              <w:rPr>
                <w:rFonts w:ascii="Arial" w:cs="Arial" w:eastAsia="Arial" w:hAnsi="Arial"/>
                <w:sz w:val="18"/>
                <w:szCs w:val="18"/>
                <w:color w:val="auto"/>
              </w:rPr>
              <w:t>1.6%</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2,530,935</w:t>
            </w:r>
          </w:p>
        </w:tc>
        <w:tc>
          <w:tcPr>
            <w:tcW w:w="1020" w:type="dxa"/>
            <w:vAlign w:val="bottom"/>
            <w:gridSpan w:val="2"/>
          </w:tcPr>
          <w:p>
            <w:pPr>
              <w:jc w:val="right"/>
              <w:ind w:right="5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2,544,960</w:t>
            </w:r>
          </w:p>
        </w:tc>
        <w:tc>
          <w:tcPr>
            <w:tcW w:w="220" w:type="dxa"/>
            <w:vAlign w:val="bottom"/>
          </w:tcPr>
          <w:p>
            <w:pPr>
              <w:spacing w:after="0"/>
              <w:rPr>
                <w:sz w:val="18"/>
                <w:szCs w:val="18"/>
                <w:color w:val="auto"/>
              </w:rPr>
            </w:pPr>
          </w:p>
        </w:tc>
        <w:tc>
          <w:tcPr>
            <w:tcW w:w="1020" w:type="dxa"/>
            <w:vAlign w:val="bottom"/>
            <w:gridSpan w:val="2"/>
          </w:tcPr>
          <w:p>
            <w:pPr>
              <w:jc w:val="right"/>
              <w:ind w:right="50"/>
              <w:spacing w:after="0"/>
              <w:rPr>
                <w:sz w:val="20"/>
                <w:szCs w:val="20"/>
                <w:color w:val="auto"/>
              </w:rPr>
            </w:pPr>
            <w:r>
              <w:rPr>
                <w:rFonts w:ascii="Arial" w:cs="Arial" w:eastAsia="Arial" w:hAnsi="Arial"/>
                <w:sz w:val="18"/>
                <w:szCs w:val="18"/>
                <w:color w:val="auto"/>
              </w:rPr>
              <w:t>2.9%</w:t>
            </w:r>
          </w:p>
        </w:tc>
        <w:tc>
          <w:tcPr>
            <w:tcW w:w="1020" w:type="dxa"/>
            <w:vAlign w:val="bottom"/>
            <w:gridSpan w:val="2"/>
          </w:tcPr>
          <w:p>
            <w:pPr>
              <w:jc w:val="right"/>
              <w:ind w:right="50"/>
              <w:spacing w:after="0"/>
              <w:rPr>
                <w:sz w:val="20"/>
                <w:szCs w:val="20"/>
                <w:color w:val="auto"/>
              </w:rPr>
            </w:pPr>
            <w:r>
              <w:rPr>
                <w:rFonts w:ascii="Arial" w:cs="Arial" w:eastAsia="Arial" w:hAnsi="Arial"/>
                <w:sz w:val="18"/>
                <w:szCs w:val="18"/>
                <w:color w:val="auto"/>
              </w:rPr>
              <w:t>0.6%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90.6%</w:t>
            </w:r>
          </w:p>
        </w:tc>
      </w:tr>
      <w:tr>
        <w:trPr>
          <w:trHeight w:val="216"/>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Internet banking Via BCP</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18,576,046</w:t>
            </w:r>
          </w:p>
        </w:tc>
        <w:tc>
          <w:tcPr>
            <w:tcW w:w="9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22.5%</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18,685,412</w:t>
            </w:r>
          </w:p>
        </w:tc>
        <w:tc>
          <w:tcPr>
            <w:tcW w:w="10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19,200,181</w:t>
            </w:r>
          </w:p>
        </w:tc>
        <w:tc>
          <w:tcPr>
            <w:tcW w:w="10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21.8%</w:t>
            </w:r>
          </w:p>
        </w:tc>
        <w:tc>
          <w:tcPr>
            <w:tcW w:w="10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Agente BCP</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15,096,261</w:t>
            </w:r>
          </w:p>
        </w:tc>
        <w:tc>
          <w:tcPr>
            <w:tcW w:w="980" w:type="dxa"/>
            <w:vAlign w:val="bottom"/>
            <w:gridSpan w:val="2"/>
          </w:tcPr>
          <w:p>
            <w:pPr>
              <w:jc w:val="right"/>
              <w:ind w:right="30"/>
              <w:spacing w:after="0"/>
              <w:rPr>
                <w:sz w:val="20"/>
                <w:szCs w:val="20"/>
                <w:color w:val="auto"/>
              </w:rPr>
            </w:pPr>
            <w:r>
              <w:rPr>
                <w:rFonts w:ascii="Arial" w:cs="Arial" w:eastAsia="Arial" w:hAnsi="Arial"/>
                <w:sz w:val="18"/>
                <w:szCs w:val="18"/>
                <w:color w:val="auto"/>
              </w:rPr>
              <w:t>18.3%</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13,348,690</w:t>
            </w:r>
          </w:p>
        </w:tc>
        <w:tc>
          <w:tcPr>
            <w:tcW w:w="1020" w:type="dxa"/>
            <w:vAlign w:val="bottom"/>
            <w:gridSpan w:val="2"/>
          </w:tcPr>
          <w:p>
            <w:pPr>
              <w:jc w:val="right"/>
              <w:ind w:right="50"/>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13,256,954</w:t>
            </w:r>
          </w:p>
        </w:tc>
        <w:tc>
          <w:tcPr>
            <w:tcW w:w="1020" w:type="dxa"/>
            <w:vAlign w:val="bottom"/>
            <w:gridSpan w:val="2"/>
          </w:tcPr>
          <w:p>
            <w:pPr>
              <w:jc w:val="right"/>
              <w:ind w:right="50"/>
              <w:spacing w:after="0"/>
              <w:rPr>
                <w:sz w:val="20"/>
                <w:szCs w:val="20"/>
                <w:color w:val="auto"/>
              </w:rPr>
            </w:pPr>
            <w:r>
              <w:rPr>
                <w:rFonts w:ascii="Arial" w:cs="Arial" w:eastAsia="Arial" w:hAnsi="Arial"/>
                <w:sz w:val="18"/>
                <w:szCs w:val="18"/>
                <w:color w:val="auto"/>
              </w:rPr>
              <w:t>15.0%</w:t>
            </w:r>
          </w:p>
        </w:tc>
        <w:tc>
          <w:tcPr>
            <w:tcW w:w="1020" w:type="dxa"/>
            <w:vAlign w:val="bottom"/>
            <w:gridSpan w:val="2"/>
          </w:tcPr>
          <w:p>
            <w:pPr>
              <w:jc w:val="right"/>
              <w:ind w:right="50"/>
              <w:spacing w:after="0"/>
              <w:rPr>
                <w:sz w:val="20"/>
                <w:szCs w:val="20"/>
                <w:color w:val="auto"/>
              </w:rPr>
            </w:pPr>
            <w:r>
              <w:rPr>
                <w:rFonts w:ascii="Arial" w:cs="Arial" w:eastAsia="Arial" w:hAnsi="Arial"/>
                <w:sz w:val="18"/>
                <w:szCs w:val="18"/>
                <w:color w:val="auto"/>
              </w:rPr>
              <w:t>-0.7%</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-12.2%</w:t>
            </w:r>
          </w:p>
        </w:tc>
      </w:tr>
      <w:tr>
        <w:trPr>
          <w:trHeight w:val="216"/>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Telecrédito</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7,505,336</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9.1%</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7,664,287</w:t>
            </w:r>
          </w:p>
        </w:tc>
        <w:tc>
          <w:tcPr>
            <w:tcW w:w="10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8,041,782</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9.1%</w:t>
            </w:r>
          </w:p>
        </w:tc>
        <w:tc>
          <w:tcPr>
            <w:tcW w:w="10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Mobile banking</w:t>
            </w:r>
          </w:p>
        </w:tc>
        <w:tc>
          <w:tcPr>
            <w:tcW w:w="920" w:type="dxa"/>
            <w:vAlign w:val="bottom"/>
          </w:tcPr>
          <w:p>
            <w:pPr>
              <w:jc w:val="right"/>
              <w:spacing w:after="0"/>
              <w:rPr>
                <w:sz w:val="20"/>
                <w:szCs w:val="20"/>
                <w:color w:val="auto"/>
              </w:rPr>
            </w:pPr>
            <w:r>
              <w:rPr>
                <w:rFonts w:ascii="Arial" w:cs="Arial" w:eastAsia="Arial" w:hAnsi="Arial"/>
                <w:sz w:val="18"/>
                <w:szCs w:val="18"/>
                <w:color w:val="auto"/>
              </w:rPr>
              <w:t>2,832,566</w:t>
            </w:r>
          </w:p>
        </w:tc>
        <w:tc>
          <w:tcPr>
            <w:tcW w:w="180" w:type="dxa"/>
            <w:vAlign w:val="bottom"/>
          </w:tcPr>
          <w:p>
            <w:pPr>
              <w:spacing w:after="0"/>
              <w:rPr>
                <w:sz w:val="18"/>
                <w:szCs w:val="18"/>
                <w:color w:val="auto"/>
              </w:rPr>
            </w:pPr>
          </w:p>
        </w:tc>
        <w:tc>
          <w:tcPr>
            <w:tcW w:w="980" w:type="dxa"/>
            <w:vAlign w:val="bottom"/>
            <w:gridSpan w:val="2"/>
          </w:tcPr>
          <w:p>
            <w:pPr>
              <w:jc w:val="right"/>
              <w:ind w:right="30"/>
              <w:spacing w:after="0"/>
              <w:rPr>
                <w:sz w:val="20"/>
                <w:szCs w:val="20"/>
                <w:color w:val="auto"/>
              </w:rPr>
            </w:pPr>
            <w:r>
              <w:rPr>
                <w:rFonts w:ascii="Arial" w:cs="Arial" w:eastAsia="Arial" w:hAnsi="Arial"/>
                <w:sz w:val="18"/>
                <w:szCs w:val="18"/>
                <w:color w:val="auto"/>
              </w:rPr>
              <w:t>3.4%</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5,215,085</w:t>
            </w:r>
          </w:p>
        </w:tc>
        <w:tc>
          <w:tcPr>
            <w:tcW w:w="1020" w:type="dxa"/>
            <w:vAlign w:val="bottom"/>
            <w:gridSpan w:val="2"/>
          </w:tcPr>
          <w:p>
            <w:pPr>
              <w:jc w:val="right"/>
              <w:ind w:right="5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5,954,819</w:t>
            </w:r>
          </w:p>
        </w:tc>
        <w:tc>
          <w:tcPr>
            <w:tcW w:w="220" w:type="dxa"/>
            <w:vAlign w:val="bottom"/>
          </w:tcPr>
          <w:p>
            <w:pPr>
              <w:spacing w:after="0"/>
              <w:rPr>
                <w:sz w:val="18"/>
                <w:szCs w:val="18"/>
                <w:color w:val="auto"/>
              </w:rPr>
            </w:pPr>
          </w:p>
        </w:tc>
        <w:tc>
          <w:tcPr>
            <w:tcW w:w="1020" w:type="dxa"/>
            <w:vAlign w:val="bottom"/>
            <w:gridSpan w:val="2"/>
          </w:tcPr>
          <w:p>
            <w:pPr>
              <w:jc w:val="right"/>
              <w:ind w:right="50"/>
              <w:spacing w:after="0"/>
              <w:rPr>
                <w:sz w:val="20"/>
                <w:szCs w:val="20"/>
                <w:color w:val="auto"/>
              </w:rPr>
            </w:pPr>
            <w:r>
              <w:rPr>
                <w:rFonts w:ascii="Arial" w:cs="Arial" w:eastAsia="Arial" w:hAnsi="Arial"/>
                <w:sz w:val="18"/>
                <w:szCs w:val="18"/>
                <w:color w:val="auto"/>
              </w:rPr>
              <w:t>6.7%</w:t>
            </w:r>
          </w:p>
        </w:tc>
        <w:tc>
          <w:tcPr>
            <w:tcW w:w="1020" w:type="dxa"/>
            <w:vAlign w:val="bottom"/>
            <w:gridSpan w:val="2"/>
          </w:tcPr>
          <w:p>
            <w:pPr>
              <w:jc w:val="right"/>
              <w:ind w:right="50"/>
              <w:spacing w:after="0"/>
              <w:rPr>
                <w:sz w:val="20"/>
                <w:szCs w:val="20"/>
                <w:color w:val="auto"/>
              </w:rPr>
            </w:pPr>
            <w:r>
              <w:rPr>
                <w:rFonts w:ascii="Arial" w:cs="Arial" w:eastAsia="Arial" w:hAnsi="Arial"/>
                <w:sz w:val="18"/>
                <w:szCs w:val="18"/>
                <w:color w:val="auto"/>
              </w:rPr>
              <w:t>14.2%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110.2%</w:t>
            </w:r>
          </w:p>
        </w:tc>
      </w:tr>
      <w:tr>
        <w:trPr>
          <w:trHeight w:val="216"/>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 debit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770,361</w:t>
            </w:r>
          </w:p>
        </w:tc>
        <w:tc>
          <w:tcPr>
            <w:tcW w:w="9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0.9%</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716,838</w:t>
            </w:r>
          </w:p>
        </w:tc>
        <w:tc>
          <w:tcPr>
            <w:tcW w:w="10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757,648</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0.9%</w:t>
            </w:r>
          </w:p>
        </w:tc>
        <w:tc>
          <w:tcPr>
            <w:tcW w:w="10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5.7%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Points of sale P.O.S.</w:t>
            </w:r>
          </w:p>
        </w:tc>
        <w:tc>
          <w:tcPr>
            <w:tcW w:w="920" w:type="dxa"/>
            <w:vAlign w:val="bottom"/>
          </w:tcPr>
          <w:p>
            <w:pPr>
              <w:jc w:val="right"/>
              <w:spacing w:after="0"/>
              <w:rPr>
                <w:sz w:val="20"/>
                <w:szCs w:val="20"/>
                <w:color w:val="auto"/>
              </w:rPr>
            </w:pPr>
            <w:r>
              <w:rPr>
                <w:rFonts w:ascii="Arial" w:cs="Arial" w:eastAsia="Arial" w:hAnsi="Arial"/>
                <w:sz w:val="18"/>
                <w:szCs w:val="18"/>
                <w:color w:val="auto"/>
              </w:rPr>
              <w:t>7,634,793</w:t>
            </w:r>
          </w:p>
        </w:tc>
        <w:tc>
          <w:tcPr>
            <w:tcW w:w="180" w:type="dxa"/>
            <w:vAlign w:val="bottom"/>
          </w:tcPr>
          <w:p>
            <w:pPr>
              <w:spacing w:after="0"/>
              <w:rPr>
                <w:sz w:val="18"/>
                <w:szCs w:val="18"/>
                <w:color w:val="auto"/>
              </w:rPr>
            </w:pPr>
          </w:p>
        </w:tc>
        <w:tc>
          <w:tcPr>
            <w:tcW w:w="980" w:type="dxa"/>
            <w:vAlign w:val="bottom"/>
            <w:gridSpan w:val="2"/>
          </w:tcPr>
          <w:p>
            <w:pPr>
              <w:jc w:val="right"/>
              <w:ind w:right="30"/>
              <w:spacing w:after="0"/>
              <w:rPr>
                <w:sz w:val="20"/>
                <w:szCs w:val="20"/>
                <w:color w:val="auto"/>
              </w:rPr>
            </w:pPr>
            <w:r>
              <w:rPr>
                <w:rFonts w:ascii="Arial" w:cs="Arial" w:eastAsia="Arial" w:hAnsi="Arial"/>
                <w:sz w:val="18"/>
                <w:szCs w:val="18"/>
                <w:color w:val="auto"/>
              </w:rPr>
              <w:t>9.2%</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8,027,100</w:t>
            </w:r>
          </w:p>
        </w:tc>
        <w:tc>
          <w:tcPr>
            <w:tcW w:w="1020" w:type="dxa"/>
            <w:vAlign w:val="bottom"/>
            <w:gridSpan w:val="2"/>
          </w:tcPr>
          <w:p>
            <w:pPr>
              <w:jc w:val="right"/>
              <w:ind w:right="50"/>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8,231,483</w:t>
            </w:r>
          </w:p>
        </w:tc>
        <w:tc>
          <w:tcPr>
            <w:tcW w:w="220" w:type="dxa"/>
            <w:vAlign w:val="bottom"/>
          </w:tcPr>
          <w:p>
            <w:pPr>
              <w:spacing w:after="0"/>
              <w:rPr>
                <w:sz w:val="18"/>
                <w:szCs w:val="18"/>
                <w:color w:val="auto"/>
              </w:rPr>
            </w:pPr>
          </w:p>
        </w:tc>
        <w:tc>
          <w:tcPr>
            <w:tcW w:w="1020" w:type="dxa"/>
            <w:vAlign w:val="bottom"/>
            <w:gridSpan w:val="2"/>
          </w:tcPr>
          <w:p>
            <w:pPr>
              <w:jc w:val="right"/>
              <w:ind w:right="50"/>
              <w:spacing w:after="0"/>
              <w:rPr>
                <w:sz w:val="20"/>
                <w:szCs w:val="20"/>
                <w:color w:val="auto"/>
              </w:rPr>
            </w:pPr>
            <w:r>
              <w:rPr>
                <w:rFonts w:ascii="Arial" w:cs="Arial" w:eastAsia="Arial" w:hAnsi="Arial"/>
                <w:sz w:val="18"/>
                <w:szCs w:val="18"/>
                <w:color w:val="auto"/>
              </w:rPr>
              <w:t>9.3%</w:t>
            </w:r>
          </w:p>
        </w:tc>
        <w:tc>
          <w:tcPr>
            <w:tcW w:w="1020" w:type="dxa"/>
            <w:vAlign w:val="bottom"/>
            <w:gridSpan w:val="2"/>
          </w:tcPr>
          <w:p>
            <w:pPr>
              <w:jc w:val="right"/>
              <w:ind w:right="50"/>
              <w:spacing w:after="0"/>
              <w:rPr>
                <w:sz w:val="20"/>
                <w:szCs w:val="20"/>
                <w:color w:val="auto"/>
              </w:rPr>
            </w:pPr>
            <w:r>
              <w:rPr>
                <w:rFonts w:ascii="Arial" w:cs="Arial" w:eastAsia="Arial" w:hAnsi="Arial"/>
                <w:sz w:val="18"/>
                <w:szCs w:val="18"/>
                <w:color w:val="auto"/>
              </w:rPr>
              <w:t>2.5%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7.8%</w:t>
            </w:r>
          </w:p>
        </w:tc>
      </w:tr>
      <w:tr>
        <w:trPr>
          <w:trHeight w:val="230"/>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ATMs network</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238,506</w:t>
            </w:r>
          </w:p>
        </w:tc>
        <w:tc>
          <w:tcPr>
            <w:tcW w:w="9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219,435</w:t>
            </w:r>
          </w:p>
        </w:tc>
        <w:tc>
          <w:tcPr>
            <w:tcW w:w="10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218,502</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0.2%</w:t>
            </w:r>
          </w:p>
        </w:tc>
        <w:tc>
          <w:tcPr>
            <w:tcW w:w="10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25"/>
        </w:trPr>
        <w:tc>
          <w:tcPr>
            <w:tcW w:w="3080" w:type="dxa"/>
            <w:vAlign w:val="bottom"/>
            <w:gridSpan w:val="2"/>
          </w:tcPr>
          <w:p>
            <w:pPr>
              <w:spacing w:after="0"/>
              <w:rPr>
                <w:sz w:val="20"/>
                <w:szCs w:val="20"/>
                <w:color w:val="auto"/>
              </w:rPr>
            </w:pPr>
            <w:r>
              <w:rPr>
                <w:rFonts w:ascii="Arial" w:cs="Arial" w:eastAsia="Arial" w:hAnsi="Arial"/>
                <w:sz w:val="18"/>
                <w:szCs w:val="18"/>
                <w:b w:val="1"/>
                <w:bCs w:val="1"/>
                <w:color w:val="auto"/>
              </w:rPr>
              <w:t>Total transactions</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9"/>
              </w:rPr>
              <w:t>82,583,186</w:t>
            </w:r>
          </w:p>
        </w:tc>
        <w:tc>
          <w:tcPr>
            <w:tcW w:w="18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9"/>
              </w:rPr>
              <w:t>85,885,477</w:t>
            </w:r>
          </w:p>
        </w:tc>
        <w:tc>
          <w:tcPr>
            <w:tcW w:w="20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30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8"/>
              </w:rPr>
              <w:t>88,255,676</w:t>
            </w:r>
          </w:p>
        </w:tc>
        <w:tc>
          <w:tcPr>
            <w:tcW w:w="22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30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2.8</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6.9</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5356225</wp:posOffset>
            </wp:positionH>
            <wp:positionV relativeFrom="paragraph">
              <wp:posOffset>-8890</wp:posOffset>
            </wp:positionV>
            <wp:extent cx="177546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775460" cy="8890"/>
                    </a:xfrm>
                    <a:prstGeom prst="rect">
                      <a:avLst/>
                    </a:prstGeom>
                    <a:noFill/>
                  </pic:spPr>
                </pic:pic>
              </a:graphicData>
            </a:graphic>
          </wp:anchor>
        </w:drawing>
        <w:drawing>
          <wp:anchor simplePos="0" relativeHeight="251657728" behindDoc="1" locked="0" layoutInCell="0" allowOverlap="1">
            <wp:simplePos x="0" y="0"/>
            <wp:positionH relativeFrom="column">
              <wp:posOffset>3983990</wp:posOffset>
            </wp:positionH>
            <wp:positionV relativeFrom="paragraph">
              <wp:posOffset>-8890</wp:posOffset>
            </wp:positionV>
            <wp:extent cx="46291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62915" cy="8890"/>
                    </a:xfrm>
                    <a:prstGeom prst="rect">
                      <a:avLst/>
                    </a:prstGeom>
                    <a:noFill/>
                  </pic:spPr>
                </pic:pic>
              </a:graphicData>
            </a:graphic>
          </wp:anchor>
        </w:drawing>
        <w:drawing>
          <wp:anchor simplePos="0" relativeHeight="251657728" behindDoc="1" locked="0" layoutInCell="0" allowOverlap="1">
            <wp:simplePos x="0" y="0"/>
            <wp:positionH relativeFrom="column">
              <wp:posOffset>2654935</wp:posOffset>
            </wp:positionH>
            <wp:positionV relativeFrom="paragraph">
              <wp:posOffset>-8890</wp:posOffset>
            </wp:positionV>
            <wp:extent cx="44577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Source: BCP.</w:t>
      </w:r>
    </w:p>
    <w:p>
      <w:pPr>
        <w:spacing w:after="0" w:line="20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monthly average of transactions increased +2.8% QoQ, which was due mainly to a QoQ increase in transactions through channels that are cost efficient, such as: (i) ATMs (+5.0% QoQ), which was in line with the installation of 25 ATMs throughout the country; (ii) Mobile Banking (+14.2% QoQ), which continued to increase its share of total transactions through its mobile applications (“BCP Mobile Banking” and “Your BCP Benefits”); and (iii) Internet Banking (+2.8% QoQ) due to improvements in ViaBCP’s web page and to different campaigns (“Go to BCP without going to BCP”) to promote the use of our alternative channels. On the other hand, the channels that reported a decrease in the number of transactions were: i) Balance Inquiries (-5.8% QoQ), ii) Tellers (-1.0% QoQ), and (iii) Agentes BCP (-0.7% QoQ).</w:t>
      </w:r>
    </w:p>
    <w:p>
      <w:pPr>
        <w:spacing w:after="0" w:line="19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the YoY analysis, the monthly average of transactions increased +3.0% YoY, which was due primarily to an increase in the transactions volumes registered in: Mobile Banking (+110.2% YoY), Telephone Banking (+90.6% YoY), and ATMs (16.0% YoY) while a drop was posted in the use of Balance Inquiries (-25.7% YoY) and Agentes BCP (-12.2% AaA), which is proof that the efforts to encourage clients to migrate to cost-efficient channels are bearing fruit.</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3" w:name="page44"/>
    <w:bookmarkEnd w:id="43"/>
    <w:p>
      <w:pPr>
        <w:ind w:right="9380" w:firstLine="8"/>
        <w:spacing w:after="0" w:line="566" w:lineRule="auto"/>
        <w:tabs>
          <w:tab w:leader="none" w:pos="648" w:val="left"/>
        </w:tabs>
        <w:numPr>
          <w:ilvl w:val="0"/>
          <w:numId w:val="61"/>
        </w:numPr>
        <w:rPr>
          <w:rFonts w:ascii="Arial" w:cs="Arial" w:eastAsia="Arial" w:hAnsi="Arial"/>
          <w:sz w:val="16"/>
          <w:szCs w:val="16"/>
          <w:b w:val="1"/>
          <w:bCs w:val="1"/>
          <w:color w:val="auto"/>
        </w:rPr>
      </w:pPr>
      <w:r>
        <w:rPr>
          <w:rFonts w:ascii="Arial" w:cs="Arial" w:eastAsia="Arial" w:hAnsi="Arial"/>
          <w:sz w:val="16"/>
          <w:szCs w:val="16"/>
          <w:b w:val="1"/>
          <w:bCs w:val="1"/>
          <w:color w:val="auto"/>
        </w:rPr>
        <w:t>Economic outlook Economic activity</w:t>
      </w:r>
    </w:p>
    <w:p>
      <w:pPr>
        <w:spacing w:after="0" w:line="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revised our growth forecast for this year downward from 3.5% to a range between 2.5% and 3.0% due to a decline in private investment. This variable more than likely decreased around 7% YoY in 2Q15 (its lowest point since 2Q09: -16.2%) while business confidence dropped to its lowest level since 2011.</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1S15, household consumption grew almost 3.6% (4Q14: 3.6%). It appears that further deceleration in consumption expenditure was headed-off by: fiscal policies to reduce income-tax rates; maintain deduction exemptions for bonuses; permit on-going access to CTS reserves (unemployment insurance) as well as an increase in consumer credit.</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2Q15, private investment more than likely fell around 7% YoY; while, between April and May capital goods imports pulled back 15%, this represents the worst decline since 2Q09. In the other hand, public investment fell around 9.8% YoY. The decline in public investment pushed GDP growth down by 1% in 1Q15 and will continue to have a negative impact on economic growth in 2Q15 although the pace of the decline is expected to slow. It will not be until 4Q15 that investment will post a positive contribution to growth.</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speed of the recovery in the second semester, and in 4Q15 in particular, will depend on factors that remain highly uncertain: (i) the duration and intensity of the El Niño Phenomenon, (ii) the recovery of public investment, and (iii) the political environment and its impact on business confidence. If these factors generate a larger negative impact, the economy will grow less than 3.0% this year.</w:t>
      </w:r>
    </w:p>
    <w:p>
      <w:pPr>
        <w:spacing w:after="0" w:line="177" w:lineRule="exact"/>
        <w:rPr>
          <w:sz w:val="20"/>
          <w:szCs w:val="20"/>
          <w:color w:val="auto"/>
        </w:rPr>
      </w:pPr>
    </w:p>
    <w:p>
      <w:pPr>
        <w:ind w:left="1960"/>
        <w:spacing w:after="0"/>
        <w:tabs>
          <w:tab w:leader="none" w:pos="7760" w:val="left"/>
        </w:tabs>
        <w:rPr>
          <w:sz w:val="20"/>
          <w:szCs w:val="20"/>
          <w:color w:val="auto"/>
        </w:rPr>
      </w:pPr>
      <w:r>
        <w:rPr>
          <w:rFonts w:ascii="Arial" w:cs="Arial" w:eastAsia="Arial" w:hAnsi="Arial"/>
          <w:sz w:val="18"/>
          <w:szCs w:val="18"/>
          <w:b w:val="1"/>
          <w:bCs w:val="1"/>
          <w:color w:val="auto"/>
        </w:rPr>
        <w:t>GDP (% change YoY)</w:t>
      </w:r>
      <w:r>
        <w:rPr>
          <w:sz w:val="20"/>
          <w:szCs w:val="20"/>
          <w:color w:val="auto"/>
        </w:rPr>
        <w:tab/>
      </w:r>
      <w:r>
        <w:rPr>
          <w:rFonts w:ascii="Arial" w:cs="Arial" w:eastAsia="Arial" w:hAnsi="Arial"/>
          <w:sz w:val="16"/>
          <w:szCs w:val="16"/>
          <w:b w:val="1"/>
          <w:bCs w:val="1"/>
          <w:color w:val="auto"/>
        </w:rPr>
        <w:t>GDP (% change YoY)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154940</wp:posOffset>
            </wp:positionV>
            <wp:extent cx="6449060" cy="15862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449060" cy="1586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Primary and non-primary sectors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Primary sectors lead the recovery but El Niño Phenomenon poses a risk in 4Q15.</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Economic activity in May barely grew 1.2% YoY, second lowest print of the year after February (1.0% YoY). The result was lower than the market consensus (2.5% YoY) and our expectation (2.0% YoY). The economy accumulated an expansion of 2.1% in the year and 1.6% YoY in the last twelve months. The result is explained by the weakening of non–primary sectors (0.7% YoY, apr-15: 1.9%), which reached its lowest print since 2009 (with Construction falling 13.6% and Commerce and Services decelerating), and a temporal shock on the NG industry.</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Jun-15, different meteorological agencies indicated that conditions associated with the El Niño Phenomenon (ENP) would be moderate to strong in coming months. If the ENP is strong in the last few months of the year, the second fishing season will be at risk. Yet, the Government announced the beginning of the second fishing season in the south zone, with a quota of 450 thousand metric tons; this could improve the results of the primary sector in 3Q15 and partially reduce the impact of the ENP in the fishing sector figures in 2015.</w:t>
      </w:r>
    </w:p>
    <w:p>
      <w:pPr>
        <w:spacing w:after="0" w:line="39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4" w:name="page45"/>
    <w:bookmarkEnd w:id="44"/>
    <w:p>
      <w:pPr>
        <w:jc w:val="both"/>
        <w:spacing w:after="0" w:line="259" w:lineRule="auto"/>
        <w:rPr>
          <w:sz w:val="20"/>
          <w:szCs w:val="20"/>
          <w:color w:val="auto"/>
        </w:rPr>
      </w:pPr>
      <w:r>
        <w:rPr>
          <w:rFonts w:ascii="Arial" w:cs="Arial" w:eastAsia="Arial" w:hAnsi="Arial"/>
          <w:sz w:val="18"/>
          <w:szCs w:val="18"/>
          <w:color w:val="auto"/>
        </w:rPr>
        <w:t>In 2S15, a gradual recovery is expected in the non-primary sector with regard to 1S15 (1.9%). This will mainly be attributable to improvements in the construction sector due to the beginning of large scale infrastructure projects and the fact that the non-primary manufacturing is expected to post less of a decline. Yet, the risk of further slowdown in private consumption maintains due to the deterioration of the labor market. In this scenario, growth in 2015 will be around 2.5%, which falls below the figure posted in 2014 (3.6%).</w:t>
      </w:r>
    </w:p>
    <w:p>
      <w:pPr>
        <w:spacing w:after="0" w:line="183" w:lineRule="exact"/>
        <w:rPr>
          <w:sz w:val="20"/>
          <w:szCs w:val="20"/>
          <w:color w:val="auto"/>
        </w:rPr>
      </w:pPr>
    </w:p>
    <w:p>
      <w:pPr>
        <w:ind w:left="1360"/>
        <w:spacing w:after="0"/>
        <w:tabs>
          <w:tab w:leader="none" w:pos="6820" w:val="left"/>
        </w:tabs>
        <w:rPr>
          <w:sz w:val="20"/>
          <w:szCs w:val="20"/>
          <w:color w:val="auto"/>
        </w:rPr>
      </w:pPr>
      <w:r>
        <w:rPr>
          <w:rFonts w:ascii="Arial" w:cs="Arial" w:eastAsia="Arial" w:hAnsi="Arial"/>
          <w:sz w:val="18"/>
          <w:szCs w:val="18"/>
          <w:b w:val="1"/>
          <w:bCs w:val="1"/>
          <w:color w:val="auto"/>
        </w:rPr>
        <w:t>Non-primary sectors (% change YoY)</w:t>
      </w:r>
      <w:r>
        <w:rPr>
          <w:sz w:val="20"/>
          <w:szCs w:val="20"/>
          <w:color w:val="auto"/>
        </w:rPr>
        <w:tab/>
      </w:r>
      <w:r>
        <w:rPr>
          <w:rFonts w:ascii="Arial" w:cs="Arial" w:eastAsia="Arial" w:hAnsi="Arial"/>
          <w:sz w:val="16"/>
          <w:szCs w:val="16"/>
          <w:b w:val="1"/>
          <w:bCs w:val="1"/>
          <w:color w:val="auto"/>
        </w:rPr>
        <w:t>Total GDP and Primary GDP (% change YoY)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154940</wp:posOffset>
            </wp:positionV>
            <wp:extent cx="6380480" cy="15951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380480" cy="1595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Inflation to June</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Inflation at year-end is expected to situate at around 3.5%, which is above the Central Bank´s target (2.0% +/- 1.0%). During the first semester, price variations accumulated an increase of 2.55%, due to exogenous shocks in food supply and exchange rate depreciation. Non tradable goods inflation is growing above the general inflation rate, accumulating an increase of 2.83%, mainly due to public service tariff adjustments in 2Q15. During the second semester upward pressures will moderate, partly because inflation tends to be higher in the first half of the year due to seasonal factors. However, this will not be sufficient to return to the Central Bank’s target (2.0 % +/- 1.0 %) in a context in which the increase in the exchange rate of around 6.4% (12.4 % YoY) more than likely had a higher-than-expected pass-through effect on inflation.</w:t>
      </w:r>
    </w:p>
    <w:p>
      <w:pPr>
        <w:spacing w:after="0" w:line="189" w:lineRule="exact"/>
        <w:rPr>
          <w:sz w:val="20"/>
          <w:szCs w:val="20"/>
          <w:color w:val="auto"/>
        </w:rPr>
      </w:pPr>
    </w:p>
    <w:p>
      <w:pPr>
        <w:ind w:left="1580"/>
        <w:spacing w:after="0"/>
        <w:tabs>
          <w:tab w:leader="none" w:pos="8100" w:val="left"/>
        </w:tabs>
        <w:rPr>
          <w:sz w:val="20"/>
          <w:szCs w:val="20"/>
          <w:color w:val="auto"/>
        </w:rPr>
      </w:pPr>
      <w:r>
        <w:rPr>
          <w:rFonts w:ascii="Arial" w:cs="Arial" w:eastAsia="Arial" w:hAnsi="Arial"/>
          <w:sz w:val="18"/>
          <w:szCs w:val="18"/>
          <w:b w:val="1"/>
          <w:bCs w:val="1"/>
          <w:color w:val="auto"/>
        </w:rPr>
        <w:t>Semiannual Inflation (acum. %)</w:t>
      </w:r>
      <w:r>
        <w:rPr>
          <w:sz w:val="20"/>
          <w:szCs w:val="20"/>
          <w:color w:val="auto"/>
        </w:rPr>
        <w:tab/>
      </w:r>
      <w:r>
        <w:rPr>
          <w:rFonts w:ascii="Arial" w:cs="Arial" w:eastAsia="Arial" w:hAnsi="Arial"/>
          <w:sz w:val="17"/>
          <w:szCs w:val="17"/>
          <w:b w:val="1"/>
          <w:bCs w:val="1"/>
          <w:color w:val="auto"/>
        </w:rPr>
        <w:t>Inflation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154940</wp:posOffset>
            </wp:positionV>
            <wp:extent cx="6320155" cy="15862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320155" cy="1586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right"/>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Monetary policy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BCRP will more than likely maintain its reference rate at 3.25% during the rest of the year; yet, the BCRP statement in July had changes from that of June, pointing out that BCRP may adjust its neutral policy stance in the upcoming months. The changes suggest that BCRP has taken into account the slight uptick in inflation’s path and expectations.</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However, BCRP will continue to actively intervene in FX markets through different instruments and will impose further limits on FX derivatives (starting in August, the limit for calculating additional reserve requirements on FX derivatives will decrease from 90% to 80% of equity). Finally, BCRP will continue its dedollarization program, which requires financial institutions to reduce the dollarization of their loan portfolio by 5% by June and 10% by December of this year (with regard to September 2013 levels). By April, the banking sector had already complied with the measured required by the regulatory entity.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accounts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expect the fiscal deficit to be at around 2.0% of GDP by the end of the year. As of June, the accumulated fiscal deficit for the last twelve months reached 1.1% of GDP, as a result of a 7.2% pullback in fiscal income and an increase in non-financial expenses, which grew 2.1%. Within this last category, public investment more than likely pulled back around 20% YoY in real terms during the first semester (including June), mainly due to lower execution at the sub national level (regional and local governments).</w:t>
      </w:r>
    </w:p>
    <w:p>
      <w:pPr>
        <w:spacing w:after="0" w:line="183" w:lineRule="exact"/>
        <w:rPr>
          <w:sz w:val="20"/>
          <w:szCs w:val="20"/>
          <w:color w:val="auto"/>
        </w:rPr>
      </w:pPr>
    </w:p>
    <w:p>
      <w:pPr>
        <w:ind w:left="1040"/>
        <w:spacing w:after="0"/>
        <w:tabs>
          <w:tab w:leader="none" w:pos="7900" w:val="left"/>
        </w:tabs>
        <w:rPr>
          <w:sz w:val="20"/>
          <w:szCs w:val="20"/>
          <w:color w:val="auto"/>
        </w:rPr>
      </w:pPr>
      <w:r>
        <w:rPr>
          <w:rFonts w:ascii="Arial" w:cs="Arial" w:eastAsia="Arial" w:hAnsi="Arial"/>
          <w:sz w:val="18"/>
          <w:szCs w:val="18"/>
          <w:b w:val="1"/>
          <w:bCs w:val="1"/>
          <w:color w:val="auto"/>
        </w:rPr>
        <w:t>Fiscal balance, last twelve months (% of GDP)</w:t>
      </w:r>
      <w:r>
        <w:rPr>
          <w:sz w:val="20"/>
          <w:szCs w:val="20"/>
          <w:color w:val="auto"/>
        </w:rPr>
        <w:tab/>
      </w:r>
      <w:r>
        <w:rPr>
          <w:rFonts w:ascii="Arial" w:cs="Arial" w:eastAsia="Arial" w:hAnsi="Arial"/>
          <w:sz w:val="16"/>
          <w:szCs w:val="16"/>
          <w:b w:val="1"/>
          <w:bCs w:val="1"/>
          <w:color w:val="auto"/>
        </w:rPr>
        <w:t>Public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154940</wp:posOffset>
            </wp:positionV>
            <wp:extent cx="6457315" cy="174117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457315" cy="1741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External accounts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expect the current account deficit to situate around 4.2% of GDP by the end of the year and a trade balance deficit to hover around USD 2,080 MM, which represents an increase with regard to 2014’s figure (US$ 1,276 million). In 1Q15, the current account deficit was 5.7% of GDP (the highest since 2Q98) while the trade deficit between January and May accounted for US$ 1,988 million, which is US$ 711 million higher than the figure reported for all of 2014. In 2S15 we will observe a gradual reduction in the trade deficit that will be driven by an improvement in export volumes of traditional goods such as mining and fishing products. However, non-traditional exports will contract in 2015, mainly due to lower shipments of textile products.</w:t>
      </w:r>
    </w:p>
    <w:p>
      <w:pPr>
        <w:spacing w:after="0" w:line="38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6" w:name="page47"/>
    <w:bookmarkEnd w:id="46"/>
    <w:p>
      <w:pPr>
        <w:ind w:left="1740"/>
        <w:spacing w:after="0"/>
        <w:tabs>
          <w:tab w:leader="none" w:pos="6980" w:val="left"/>
        </w:tabs>
        <w:rPr>
          <w:sz w:val="20"/>
          <w:szCs w:val="20"/>
          <w:color w:val="auto"/>
        </w:rPr>
      </w:pPr>
      <w:r>
        <w:rPr>
          <w:rFonts w:ascii="Arial" w:cs="Arial" w:eastAsia="Arial" w:hAnsi="Arial"/>
          <w:sz w:val="18"/>
          <w:szCs w:val="18"/>
          <w:b w:val="1"/>
          <w:bCs w:val="1"/>
          <w:color w:val="auto"/>
        </w:rPr>
        <w:t>Current account (% of GDP)</w:t>
      </w:r>
      <w:r>
        <w:rPr>
          <w:sz w:val="20"/>
          <w:szCs w:val="20"/>
          <w:color w:val="auto"/>
        </w:rPr>
        <w:tab/>
      </w:r>
      <w:r>
        <w:rPr>
          <w:rFonts w:ascii="Arial" w:cs="Arial" w:eastAsia="Arial" w:hAnsi="Arial"/>
          <w:sz w:val="16"/>
          <w:szCs w:val="16"/>
          <w:b w:val="1"/>
          <w:bCs w:val="1"/>
          <w:color w:val="auto"/>
        </w:rPr>
        <w:t>Current account projections (% of GDP)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154940</wp:posOffset>
            </wp:positionV>
            <wp:extent cx="6285865" cy="16376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285865" cy="1637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rate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expect the exchange rate at the end of 2015 to be around US$/S/.3.25-3.30. It is important to note that the multilateral real exchange rate remains 4.0% below the average for the last decade. This is due to the fact that despite a depreciation of around 25% since the end of 2012, PEN is the only currency in the region whose level is below that posted prior to the boom in commodity prices.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the close of last week the exchange rate was US$ 3.1825, which represents an accumulated depreciation of 12.4% over the last twelve months (YTD: 6.4%). In the first semester, the Central Bank has intervened through FX sales in the spot market for US$ 5,325 million (topping the level for accumulated FX sales 2014: US$ 4,208 million). In this context, international net reserves fell below US$ 60 billion for the first time in two years but still represent 30% of GDP and 19 months of imports, above other countries in the region. In addition, the net balance of FX swaps fell at the closing of last week to S/. 22,089 million after peaking at S/. 26,785 million in May-15.</w:t>
      </w:r>
    </w:p>
    <w:p>
      <w:pPr>
        <w:spacing w:after="0" w:line="18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Higher international rates, lower commodity prices and the need to correct external imbalances have caused the Latam FX market to deteriorate further. This represents the most significant depreciation seen since 2013, when B. Bernake, former Chairman of the Federal Reserve, announced a tapering program.</w:t>
      </w:r>
    </w:p>
    <w:p>
      <w:pPr>
        <w:spacing w:after="0" w:line="120" w:lineRule="exact"/>
        <w:rPr>
          <w:sz w:val="20"/>
          <w:szCs w:val="20"/>
          <w:color w:val="auto"/>
        </w:rPr>
      </w:pPr>
    </w:p>
    <w:p>
      <w:pPr>
        <w:ind w:left="1300"/>
        <w:spacing w:after="0"/>
        <w:tabs>
          <w:tab w:leader="none" w:pos="7200" w:val="left"/>
        </w:tabs>
        <w:rPr>
          <w:sz w:val="20"/>
          <w:szCs w:val="20"/>
          <w:color w:val="auto"/>
        </w:rPr>
      </w:pPr>
      <w:r>
        <w:rPr>
          <w:rFonts w:ascii="Arial" w:cs="Arial" w:eastAsia="Arial" w:hAnsi="Arial"/>
          <w:sz w:val="18"/>
          <w:szCs w:val="18"/>
          <w:b w:val="1"/>
          <w:bCs w:val="1"/>
          <w:color w:val="212121"/>
        </w:rPr>
        <w:t>Exchange rate and DXY (US$/S/., index)</w:t>
      </w:r>
      <w:r>
        <w:rPr>
          <w:sz w:val="20"/>
          <w:szCs w:val="20"/>
          <w:color w:val="auto"/>
        </w:rPr>
        <w:tab/>
      </w:r>
      <w:r>
        <w:rPr>
          <w:rFonts w:ascii="Arial" w:cs="Arial" w:eastAsia="Arial" w:hAnsi="Arial"/>
          <w:sz w:val="16"/>
          <w:szCs w:val="16"/>
          <w:b w:val="1"/>
          <w:bCs w:val="1"/>
          <w:color w:val="212121"/>
        </w:rPr>
        <w:t>Latam exchange rate (Dec04 =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154305</wp:posOffset>
            </wp:positionV>
            <wp:extent cx="6071870" cy="14662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71870" cy="1466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47" w:name="page48"/>
    <w:bookmarkEnd w:id="47"/>
    <w:tbl>
      <w:tblPr>
        <w:tblLayout w:type="fixed"/>
        <w:tblInd w:w="2300" w:type="dxa"/>
        <w:tblCellMar>
          <w:top w:w="0" w:type="dxa"/>
          <w:left w:w="0" w:type="dxa"/>
          <w:bottom w:w="0" w:type="dxa"/>
          <w:right w:w="0" w:type="dxa"/>
        </w:tblCellMar>
      </w:tblPr>
      <w:tr>
        <w:trPr>
          <w:trHeight w:val="234"/>
        </w:trPr>
        <w:tc>
          <w:tcPr>
            <w:tcW w:w="1840" w:type="dxa"/>
            <w:vAlign w:val="bottom"/>
          </w:tcPr>
          <w:p>
            <w:pPr>
              <w:spacing w:after="0"/>
              <w:rPr>
                <w:sz w:val="20"/>
                <w:szCs w:val="20"/>
                <w:color w:val="auto"/>
              </w:rPr>
            </w:pPr>
          </w:p>
        </w:tc>
        <w:tc>
          <w:tcPr>
            <w:tcW w:w="3640" w:type="dxa"/>
            <w:vAlign w:val="bottom"/>
            <w:gridSpan w:val="6"/>
          </w:tcPr>
          <w:p>
            <w:pPr>
              <w:ind w:left="320"/>
              <w:spacing w:after="0"/>
              <w:rPr>
                <w:sz w:val="20"/>
                <w:szCs w:val="20"/>
                <w:color w:val="auto"/>
              </w:rPr>
            </w:pPr>
            <w:r>
              <w:rPr>
                <w:rFonts w:ascii="Arial" w:cs="Arial" w:eastAsia="Arial" w:hAnsi="Arial"/>
                <w:sz w:val="18"/>
                <w:szCs w:val="18"/>
                <w:b w:val="1"/>
                <w:bCs w:val="1"/>
                <w:color w:val="auto"/>
              </w:rPr>
              <w:t>International reserves indicators</w:t>
            </w:r>
          </w:p>
        </w:tc>
        <w:tc>
          <w:tcPr>
            <w:tcW w:w="13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18"/>
        </w:trPr>
        <w:tc>
          <w:tcPr>
            <w:tcW w:w="1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ind w:left="260"/>
              <w:spacing w:after="0"/>
              <w:rPr>
                <w:sz w:val="20"/>
                <w:szCs w:val="20"/>
                <w:color w:val="auto"/>
              </w:rPr>
            </w:pPr>
            <w:r>
              <w:rPr>
                <w:rFonts w:ascii="Arial" w:cs="Arial" w:eastAsia="Arial" w:hAnsi="Arial"/>
                <w:sz w:val="18"/>
                <w:szCs w:val="18"/>
                <w:color w:val="auto"/>
              </w:rPr>
              <w:t>Short term</w:t>
            </w: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gridSpan w:val="2"/>
          </w:tcPr>
          <w:p>
            <w:pPr>
              <w:jc w:val="center"/>
              <w:ind w:right="80"/>
              <w:spacing w:after="0"/>
              <w:rPr>
                <w:sz w:val="20"/>
                <w:szCs w:val="20"/>
                <w:color w:val="auto"/>
              </w:rPr>
            </w:pPr>
            <w:r>
              <w:rPr>
                <w:rFonts w:ascii="Arial" w:cs="Arial" w:eastAsia="Arial" w:hAnsi="Arial"/>
                <w:sz w:val="18"/>
                <w:szCs w:val="18"/>
                <w:color w:val="auto"/>
                <w:w w:val="96"/>
              </w:rPr>
              <w:t>Months of</w:t>
            </w:r>
          </w:p>
        </w:tc>
      </w:tr>
      <w:tr>
        <w:trPr>
          <w:trHeight w:val="230"/>
        </w:trPr>
        <w:tc>
          <w:tcPr>
            <w:tcW w:w="1840" w:type="dxa"/>
            <w:vAlign w:val="bottom"/>
          </w:tcPr>
          <w:p>
            <w:pPr>
              <w:ind w:left="940"/>
              <w:spacing w:after="0"/>
              <w:rPr>
                <w:sz w:val="20"/>
                <w:szCs w:val="20"/>
                <w:color w:val="auto"/>
              </w:rPr>
            </w:pPr>
            <w:r>
              <w:rPr>
                <w:rFonts w:ascii="Arial" w:cs="Arial" w:eastAsia="Arial" w:hAnsi="Arial"/>
                <w:sz w:val="18"/>
                <w:szCs w:val="18"/>
                <w:color w:val="auto"/>
              </w:rPr>
              <w:t>Country</w:t>
            </w: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ind w:left="260"/>
              <w:spacing w:after="0"/>
              <w:rPr>
                <w:sz w:val="20"/>
                <w:szCs w:val="20"/>
                <w:color w:val="auto"/>
              </w:rPr>
            </w:pPr>
            <w:r>
              <w:rPr>
                <w:rFonts w:ascii="Arial" w:cs="Arial" w:eastAsia="Arial" w:hAnsi="Arial"/>
                <w:sz w:val="18"/>
                <w:szCs w:val="18"/>
                <w:color w:val="auto"/>
              </w:rPr>
              <w:t>debt / NIR</w:t>
            </w:r>
          </w:p>
        </w:tc>
        <w:tc>
          <w:tcPr>
            <w:tcW w:w="1440" w:type="dxa"/>
            <w:vAlign w:val="bottom"/>
            <w:gridSpan w:val="2"/>
          </w:tcPr>
          <w:p>
            <w:pPr>
              <w:ind w:left="300"/>
              <w:spacing w:after="0"/>
              <w:rPr>
                <w:sz w:val="20"/>
                <w:szCs w:val="20"/>
                <w:color w:val="auto"/>
              </w:rPr>
            </w:pPr>
            <w:r>
              <w:rPr>
                <w:rFonts w:ascii="Arial" w:cs="Arial" w:eastAsia="Arial" w:hAnsi="Arial"/>
                <w:sz w:val="18"/>
                <w:szCs w:val="18"/>
                <w:color w:val="auto"/>
              </w:rPr>
              <w:t>NIR/GDP</w:t>
            </w:r>
          </w:p>
        </w:tc>
        <w:tc>
          <w:tcPr>
            <w:tcW w:w="1360" w:type="dxa"/>
            <w:vAlign w:val="bottom"/>
            <w:gridSpan w:val="2"/>
          </w:tcPr>
          <w:p>
            <w:pPr>
              <w:jc w:val="center"/>
              <w:ind w:right="80"/>
              <w:spacing w:after="0"/>
              <w:rPr>
                <w:sz w:val="20"/>
                <w:szCs w:val="20"/>
                <w:color w:val="auto"/>
              </w:rPr>
            </w:pPr>
            <w:r>
              <w:rPr>
                <w:rFonts w:ascii="Arial" w:cs="Arial" w:eastAsia="Arial" w:hAnsi="Arial"/>
                <w:sz w:val="18"/>
                <w:szCs w:val="18"/>
                <w:color w:val="auto"/>
                <w:w w:val="95"/>
              </w:rPr>
              <w:t>import</w:t>
            </w:r>
          </w:p>
        </w:tc>
      </w:tr>
      <w:tr>
        <w:trPr>
          <w:trHeight w:val="210"/>
        </w:trPr>
        <w:tc>
          <w:tcPr>
            <w:tcW w:w="18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Peru</w:t>
            </w: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w w:val="79"/>
              </w:rPr>
              <w:t>12.0</w:t>
            </w:r>
          </w:p>
        </w:tc>
        <w:tc>
          <w:tcPr>
            <w:tcW w:w="1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1840" w:type="dxa"/>
            <w:vAlign w:val="bottom"/>
          </w:tcPr>
          <w:p>
            <w:pPr>
              <w:ind w:left="20"/>
              <w:spacing w:after="0"/>
              <w:rPr>
                <w:sz w:val="20"/>
                <w:szCs w:val="20"/>
                <w:color w:val="auto"/>
              </w:rPr>
            </w:pPr>
            <w:r>
              <w:rPr>
                <w:rFonts w:ascii="Arial" w:cs="Arial" w:eastAsia="Arial" w:hAnsi="Arial"/>
                <w:sz w:val="18"/>
                <w:szCs w:val="18"/>
                <w:color w:val="auto"/>
              </w:rPr>
              <w:t>Chile</w:t>
            </w:r>
          </w:p>
        </w:tc>
        <w:tc>
          <w:tcPr>
            <w:tcW w:w="2200" w:type="dxa"/>
            <w:vAlign w:val="bottom"/>
            <w:gridSpan w:val="4"/>
          </w:tcPr>
          <w:p>
            <w:pPr>
              <w:ind w:left="1760"/>
              <w:spacing w:after="0"/>
              <w:rPr>
                <w:sz w:val="20"/>
                <w:szCs w:val="20"/>
                <w:color w:val="auto"/>
              </w:rPr>
            </w:pPr>
            <w:r>
              <w:rPr>
                <w:rFonts w:ascii="Arial" w:cs="Arial" w:eastAsia="Arial" w:hAnsi="Arial"/>
                <w:sz w:val="18"/>
                <w:szCs w:val="18"/>
                <w:color w:val="auto"/>
              </w:rPr>
              <w:t>44.7</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15.0</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7.0</w:t>
            </w:r>
          </w:p>
        </w:tc>
      </w:tr>
      <w:tr>
        <w:trPr>
          <w:trHeight w:val="216"/>
        </w:trPr>
        <w:tc>
          <w:tcPr>
            <w:tcW w:w="1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Colombia</w:t>
            </w:r>
          </w:p>
        </w:tc>
        <w:tc>
          <w:tcPr>
            <w:tcW w:w="2200" w:type="dxa"/>
            <w:vAlign w:val="bottom"/>
            <w:gridSpan w:val="4"/>
            <w:shd w:val="clear" w:color="auto" w:fill="CCEEFF"/>
          </w:tcPr>
          <w:p>
            <w:pPr>
              <w:ind w:left="1760"/>
              <w:spacing w:after="0"/>
              <w:rPr>
                <w:sz w:val="20"/>
                <w:szCs w:val="20"/>
                <w:color w:val="auto"/>
              </w:rPr>
            </w:pPr>
            <w:r>
              <w:rPr>
                <w:rFonts w:ascii="Arial" w:cs="Arial" w:eastAsia="Arial" w:hAnsi="Arial"/>
                <w:sz w:val="18"/>
                <w:szCs w:val="18"/>
                <w:color w:val="auto"/>
              </w:rPr>
              <w:t>25.5</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w:t>
            </w:r>
          </w:p>
        </w:tc>
      </w:tr>
      <w:tr>
        <w:trPr>
          <w:trHeight w:val="230"/>
        </w:trPr>
        <w:tc>
          <w:tcPr>
            <w:tcW w:w="1840" w:type="dxa"/>
            <w:vAlign w:val="bottom"/>
          </w:tcPr>
          <w:p>
            <w:pPr>
              <w:ind w:left="20"/>
              <w:spacing w:after="0"/>
              <w:rPr>
                <w:sz w:val="20"/>
                <w:szCs w:val="20"/>
                <w:color w:val="auto"/>
              </w:rPr>
            </w:pPr>
            <w:r>
              <w:rPr>
                <w:rFonts w:ascii="Arial" w:cs="Arial" w:eastAsia="Arial" w:hAnsi="Arial"/>
                <w:sz w:val="18"/>
                <w:szCs w:val="18"/>
                <w:color w:val="auto"/>
              </w:rPr>
              <w:t>Mexico</w:t>
            </w:r>
          </w:p>
        </w:tc>
        <w:tc>
          <w:tcPr>
            <w:tcW w:w="2200" w:type="dxa"/>
            <w:vAlign w:val="bottom"/>
            <w:gridSpan w:val="4"/>
          </w:tcPr>
          <w:p>
            <w:pPr>
              <w:ind w:left="1760"/>
              <w:spacing w:after="0"/>
              <w:rPr>
                <w:sz w:val="20"/>
                <w:szCs w:val="20"/>
                <w:color w:val="auto"/>
              </w:rPr>
            </w:pPr>
            <w:r>
              <w:rPr>
                <w:rFonts w:ascii="Arial" w:cs="Arial" w:eastAsia="Arial" w:hAnsi="Arial"/>
                <w:sz w:val="18"/>
                <w:szCs w:val="18"/>
                <w:color w:val="auto"/>
              </w:rPr>
              <w:t>55.3</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15.2</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6.0</w:t>
            </w:r>
          </w:p>
        </w:tc>
      </w:tr>
    </w:tbl>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20" w:type="dxa"/>
            <w:vAlign w:val="bottom"/>
            <w:gridSpan w:val="2"/>
          </w:tcPr>
          <w:p>
            <w:pPr>
              <w:spacing w:after="0"/>
              <w:rPr>
                <w:sz w:val="20"/>
                <w:szCs w:val="20"/>
                <w:color w:val="auto"/>
              </w:rPr>
            </w:pPr>
            <w:r>
              <w:rPr>
                <w:rFonts w:ascii="Arial" w:cs="Arial" w:eastAsia="Arial" w:hAnsi="Arial"/>
                <w:sz w:val="18"/>
                <w:szCs w:val="18"/>
                <w:b w:val="1"/>
                <w:bCs w:val="1"/>
                <w:color w:val="auto"/>
              </w:rPr>
              <w:t>Peru</w:t>
            </w:r>
          </w:p>
        </w:tc>
        <w:tc>
          <w:tcPr>
            <w:tcW w:w="10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240" w:type="dxa"/>
            <w:vAlign w:val="bottom"/>
          </w:tcPr>
          <w:p>
            <w:pPr>
              <w:spacing w:after="0"/>
              <w:rPr>
                <w:sz w:val="20"/>
                <w:szCs w:val="20"/>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2011</w:t>
            </w:r>
          </w:p>
        </w:tc>
        <w:tc>
          <w:tcPr>
            <w:tcW w:w="240" w:type="dxa"/>
            <w:vAlign w:val="bottom"/>
          </w:tcPr>
          <w:p>
            <w:pPr>
              <w:spacing w:after="0"/>
              <w:rPr>
                <w:sz w:val="20"/>
                <w:szCs w:val="20"/>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20"/>
                <w:szCs w:val="20"/>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0"/>
                <w:szCs w:val="20"/>
                <w:color w:val="auto"/>
              </w:rPr>
            </w:pPr>
          </w:p>
        </w:tc>
        <w:tc>
          <w:tcPr>
            <w:tcW w:w="10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2015/F</w:t>
            </w:r>
          </w:p>
        </w:tc>
      </w:tr>
      <w:tr>
        <w:trPr>
          <w:trHeight w:val="210"/>
        </w:trPr>
        <w:tc>
          <w:tcPr>
            <w:tcW w:w="3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GDP (US$ million)</w:t>
            </w:r>
          </w:p>
        </w:tc>
        <w:tc>
          <w:tcPr>
            <w:tcW w:w="1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148,666</w:t>
            </w:r>
          </w:p>
        </w:tc>
        <w:tc>
          <w:tcPr>
            <w:tcW w:w="2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170,759</w:t>
            </w:r>
          </w:p>
        </w:tc>
        <w:tc>
          <w:tcPr>
            <w:tcW w:w="2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192,982</w:t>
            </w: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201,752</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200,772</w:t>
            </w: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193,958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Real GDP (% change YoY)</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8.5</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6.5</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6.0</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5.8</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2.4</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r>
      <w:tr>
        <w:trPr>
          <w:trHeight w:val="216"/>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Domestic Demand (% change YoY)</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14.9</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7.7</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r>
      <w:tr>
        <w:trPr>
          <w:trHeight w:val="216"/>
        </w:trPr>
        <w:tc>
          <w:tcPr>
            <w:tcW w:w="4020" w:type="dxa"/>
            <w:vAlign w:val="bottom"/>
            <w:gridSpan w:val="2"/>
          </w:tcPr>
          <w:p>
            <w:pPr>
              <w:ind w:left="180"/>
              <w:spacing w:after="0"/>
              <w:rPr>
                <w:sz w:val="20"/>
                <w:szCs w:val="20"/>
                <w:color w:val="auto"/>
              </w:rPr>
            </w:pPr>
            <w:r>
              <w:rPr>
                <w:rFonts w:ascii="Arial" w:cs="Arial" w:eastAsia="Arial" w:hAnsi="Arial"/>
                <w:sz w:val="18"/>
                <w:szCs w:val="18"/>
                <w:color w:val="auto"/>
              </w:rPr>
              <w:t>Total Consumption (% change YoY)</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8.2</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5.8</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6.4</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5.5</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4.5</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r>
      <w:tr>
        <w:trPr>
          <w:trHeight w:val="230"/>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Investment/GDP</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25.1</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24.0</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25.8</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26.7</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25.9</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w:t>
            </w:r>
          </w:p>
        </w:tc>
      </w:tr>
      <w:tr>
        <w:trPr>
          <w:trHeight w:val="210"/>
        </w:trPr>
        <w:tc>
          <w:tcPr>
            <w:tcW w:w="40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Inflation Rate</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40" w:type="dxa"/>
            <w:vAlign w:val="bottom"/>
            <w:tcBorders>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240" w:type="dxa"/>
            <w:vAlign w:val="bottom"/>
            <w:tcBorders>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2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2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2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tcPr>
          <w:p>
            <w:pPr>
              <w:spacing w:after="0"/>
              <w:rPr>
                <w:sz w:val="18"/>
                <w:szCs w:val="18"/>
                <w:color w:val="auto"/>
              </w:rPr>
            </w:pPr>
          </w:p>
        </w:tc>
      </w:tr>
      <w:tr>
        <w:trPr>
          <w:trHeight w:val="210"/>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Reference Rate (eop)</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00" w:type="dxa"/>
            <w:vAlign w:val="bottom"/>
            <w:shd w:val="clear" w:color="auto" w:fill="CCEEFF"/>
          </w:tcPr>
          <w:p>
            <w:pPr>
              <w:spacing w:after="0"/>
              <w:rPr>
                <w:sz w:val="18"/>
                <w:szCs w:val="18"/>
                <w:color w:val="auto"/>
              </w:rPr>
            </w:pP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Exchange Rate, (eop)</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2.81</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2.70</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2.55</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2.80</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2.98</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3.25-3.30</w:t>
            </w:r>
          </w:p>
        </w:tc>
      </w:tr>
      <w:tr>
        <w:trPr>
          <w:trHeight w:val="230"/>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Exchange Rate, average</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2.83</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2.75</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2.63</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2.87</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w:t>
            </w:r>
          </w:p>
        </w:tc>
      </w:tr>
      <w:tr>
        <w:trPr>
          <w:trHeight w:val="210"/>
        </w:trPr>
        <w:tc>
          <w:tcPr>
            <w:tcW w:w="40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Fiscal Balance (% of GDP)</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240" w:type="dxa"/>
            <w:vAlign w:val="bottom"/>
            <w:tcBorders>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40" w:type="dxa"/>
            <w:vAlign w:val="bottom"/>
            <w:tcBorders>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2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22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22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tcPr>
          <w:p>
            <w:pPr>
              <w:spacing w:after="0"/>
              <w:rPr>
                <w:sz w:val="18"/>
                <w:szCs w:val="18"/>
                <w:color w:val="auto"/>
              </w:rPr>
            </w:pPr>
          </w:p>
        </w:tc>
      </w:tr>
      <w:tr>
        <w:trPr>
          <w:trHeight w:val="210"/>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Balance (US$ million)</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6,988</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9,224</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6,276</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w:t>
            </w:r>
          </w:p>
        </w:tc>
        <w:tc>
          <w:tcPr>
            <w:tcW w:w="100" w:type="dxa"/>
            <w:vAlign w:val="bottom"/>
            <w:shd w:val="clear" w:color="auto" w:fill="CCEEFF"/>
          </w:tcPr>
          <w:p>
            <w:pPr>
              <w:spacing w:after="0"/>
              <w:rPr>
                <w:sz w:val="18"/>
                <w:szCs w:val="18"/>
                <w:color w:val="auto"/>
              </w:rPr>
            </w:pPr>
          </w:p>
        </w:tc>
      </w:tr>
      <w:tr>
        <w:trPr>
          <w:trHeight w:val="216"/>
        </w:trPr>
        <w:tc>
          <w:tcPr>
            <w:tcW w:w="4020" w:type="dxa"/>
            <w:vAlign w:val="bottom"/>
            <w:gridSpan w:val="2"/>
          </w:tcPr>
          <w:p>
            <w:pPr>
              <w:ind w:left="180"/>
              <w:spacing w:after="0"/>
              <w:rPr>
                <w:sz w:val="20"/>
                <w:szCs w:val="20"/>
                <w:color w:val="auto"/>
              </w:rPr>
            </w:pPr>
            <w:r>
              <w:rPr>
                <w:rFonts w:ascii="Arial" w:cs="Arial" w:eastAsia="Arial" w:hAnsi="Arial"/>
                <w:sz w:val="18"/>
                <w:szCs w:val="18"/>
                <w:color w:val="auto"/>
              </w:rPr>
              <w:t>Exports</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35,803</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46,376</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47,411</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42,861</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39,533</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35,044</w:t>
            </w:r>
          </w:p>
        </w:tc>
      </w:tr>
      <w:tr>
        <w:trPr>
          <w:trHeight w:val="216"/>
        </w:trPr>
        <w:tc>
          <w:tcPr>
            <w:tcW w:w="4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Imports</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28,815</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37,152</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41,135</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42,248</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40,809</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37,123</w:t>
            </w: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Current Account Balance</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-3,545</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-3,177</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-5,237</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-8,474</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-8,031</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-8,061</w:t>
            </w:r>
          </w:p>
        </w:tc>
      </w:tr>
      <w:tr>
        <w:trPr>
          <w:trHeight w:val="216"/>
        </w:trPr>
        <w:tc>
          <w:tcPr>
            <w:tcW w:w="4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(as a % of GDP)</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r>
      <w:tr>
        <w:trPr>
          <w:trHeight w:val="230"/>
        </w:trPr>
        <w:tc>
          <w:tcPr>
            <w:tcW w:w="4020" w:type="dxa"/>
            <w:vAlign w:val="bottom"/>
            <w:gridSpan w:val="2"/>
          </w:tcPr>
          <w:p>
            <w:pPr>
              <w:spacing w:after="0"/>
              <w:rPr>
                <w:sz w:val="20"/>
                <w:szCs w:val="20"/>
                <w:color w:val="auto"/>
              </w:rPr>
            </w:pPr>
            <w:r>
              <w:rPr>
                <w:rFonts w:ascii="Arial" w:cs="Arial" w:eastAsia="Arial" w:hAnsi="Arial"/>
                <w:sz w:val="18"/>
                <w:szCs w:val="18"/>
                <w:color w:val="auto"/>
              </w:rPr>
              <w:t>International Reserves (US$ million)</w:t>
            </w:r>
          </w:p>
        </w:tc>
        <w:tc>
          <w:tcPr>
            <w:tcW w:w="1040" w:type="dxa"/>
            <w:vAlign w:val="bottom"/>
          </w:tcPr>
          <w:p>
            <w:pPr>
              <w:jc w:val="right"/>
              <w:spacing w:after="0"/>
              <w:rPr>
                <w:sz w:val="20"/>
                <w:szCs w:val="20"/>
                <w:color w:val="auto"/>
              </w:rPr>
            </w:pPr>
            <w:r>
              <w:rPr>
                <w:rFonts w:ascii="Arial" w:cs="Arial" w:eastAsia="Arial" w:hAnsi="Arial"/>
                <w:sz w:val="18"/>
                <w:szCs w:val="18"/>
                <w:color w:val="auto"/>
              </w:rPr>
              <w:t>44,105</w:t>
            </w:r>
          </w:p>
        </w:tc>
        <w:tc>
          <w:tcPr>
            <w:tcW w:w="24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48,816</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63,991</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65,663</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62,308</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57,718</w:t>
            </w:r>
          </w:p>
        </w:tc>
      </w:tr>
      <w:tr>
        <w:trPr>
          <w:trHeight w:val="20"/>
        </w:trPr>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6340" w:type="dxa"/>
            <w:vAlign w:val="bottom"/>
            <w:gridSpan w:val="5"/>
          </w:tcPr>
          <w:p>
            <w:pPr>
              <w:ind w:left="340"/>
              <w:spacing w:after="0"/>
              <w:rPr>
                <w:sz w:val="20"/>
                <w:szCs w:val="20"/>
                <w:color w:val="auto"/>
              </w:rPr>
            </w:pPr>
            <w:r>
              <w:rPr>
                <w:rFonts w:ascii="Arial" w:cs="Arial" w:eastAsia="Arial" w:hAnsi="Arial"/>
                <w:sz w:val="18"/>
                <w:szCs w:val="18"/>
                <w:color w:val="auto"/>
                <w:w w:val="88"/>
              </w:rPr>
              <w:t>Source: INEI, BCR, BCP/Credicorp Capital. F/ Forecasts under available information</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661"/>
        </w:trPr>
        <w:tc>
          <w:tcPr>
            <w:tcW w:w="3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22"/>
                <w:szCs w:val="22"/>
                <w:color w:val="auto"/>
              </w:rPr>
              <w:t>47</w:t>
            </w:r>
          </w:p>
        </w:tc>
      </w:tr>
    </w:tbl>
    <w:p>
      <w:pPr>
        <w:sectPr>
          <w:pgSz w:w="11900" w:h="16838" w:orient="portrait"/>
          <w:cols w:equalWidth="0" w:num="1">
            <w:col w:w="11420"/>
          </w:cols>
          <w:pgMar w:left="240" w:top="905" w:right="239" w:bottom="1440" w:gutter="0" w:footer="0" w:header="0"/>
        </w:sectPr>
      </w:pPr>
    </w:p>
    <w:bookmarkStart w:id="48" w:name="page49"/>
    <w:bookmarkEnd w:id="48"/>
    <w:p>
      <w:pPr>
        <w:ind w:left="660" w:hanging="652"/>
        <w:spacing w:after="0"/>
        <w:tabs>
          <w:tab w:leader="none" w:pos="66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Appendix</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11.1</w:t>
      </w:r>
      <w:r>
        <w:rPr>
          <w:sz w:val="20"/>
          <w:szCs w:val="20"/>
          <w:color w:val="auto"/>
        </w:rPr>
        <w:tab/>
      </w:r>
      <w:r>
        <w:rPr>
          <w:rFonts w:ascii="Arial" w:cs="Arial" w:eastAsia="Arial" w:hAnsi="Arial"/>
          <w:sz w:val="16"/>
          <w:szCs w:val="16"/>
          <w:b w:val="1"/>
          <w:bCs w:val="1"/>
          <w:color w:val="auto"/>
        </w:rPr>
        <w:t>BCP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BANCO DE CREDITO DEL PERU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S/. thousands, IFRS)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Quarter</w:t>
            </w: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gridSpan w:val="3"/>
          </w:tcPr>
          <w:p>
            <w:pPr>
              <w:ind w:left="900"/>
              <w:spacing w:after="0"/>
              <w:rPr>
                <w:sz w:val="20"/>
                <w:szCs w:val="20"/>
                <w:color w:val="auto"/>
              </w:rPr>
            </w:pPr>
            <w:r>
              <w:rPr>
                <w:rFonts w:ascii="Arial" w:cs="Arial" w:eastAsia="Arial" w:hAnsi="Arial"/>
                <w:sz w:val="18"/>
                <w:szCs w:val="18"/>
                <w:b w:val="1"/>
                <w:bCs w:val="1"/>
                <w:color w:val="auto"/>
                <w:w w:val="99"/>
              </w:rPr>
              <w:t>% change</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Jun 14</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Mar 15</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Jun 15</w:t>
            </w:r>
          </w:p>
        </w:tc>
        <w:tc>
          <w:tcPr>
            <w:tcW w:w="1760" w:type="dxa"/>
            <w:vAlign w:val="bottom"/>
            <w:gridSpan w:val="3"/>
          </w:tcPr>
          <w:p>
            <w:pPr>
              <w:ind w:left="380"/>
              <w:spacing w:after="0"/>
              <w:rPr>
                <w:sz w:val="20"/>
                <w:szCs w:val="20"/>
                <w:color w:val="auto"/>
              </w:rPr>
            </w:pPr>
            <w:r>
              <w:rPr>
                <w:rFonts w:ascii="Arial" w:cs="Arial" w:eastAsia="Arial" w:hAnsi="Arial"/>
                <w:sz w:val="18"/>
                <w:szCs w:val="18"/>
                <w:b w:val="1"/>
                <w:bCs w:val="1"/>
                <w:color w:val="auto"/>
              </w:rPr>
              <w:t>QoQ</w:t>
            </w:r>
          </w:p>
        </w:tc>
        <w:tc>
          <w:tcPr>
            <w:tcW w:w="10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YoY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Borders>
              <w:top w:val="single" w:sz="8" w:color="CCEEFF"/>
            </w:tcBorders>
            <w:shd w:val="clear" w:color="auto" w:fill="CCEEFF"/>
          </w:tcPr>
          <w:p>
            <w:pPr>
              <w:jc w:val="center"/>
              <w:ind w:right="30"/>
              <w:spacing w:after="0"/>
              <w:rPr>
                <w:sz w:val="20"/>
                <w:szCs w:val="20"/>
                <w:color w:val="auto"/>
              </w:rPr>
            </w:pPr>
            <w:r>
              <w:rPr>
                <w:rFonts w:ascii="Arial" w:cs="Arial" w:eastAsia="Arial" w:hAnsi="Arial"/>
                <w:sz w:val="18"/>
                <w:szCs w:val="18"/>
                <w:b w:val="1"/>
                <w:bCs w:val="1"/>
                <w:color w:val="auto"/>
                <w:w w:val="94"/>
              </w:rPr>
              <w:t>ASSETS</w:t>
            </w: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b w:val="1"/>
                <w:bCs w:val="1"/>
                <w:color w:val="auto"/>
              </w:rPr>
              <w:t>Cash and due from banks</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22,661,390</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26,100,819</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27,971,752</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7.2%</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BCRP</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19,268,178</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16,505,236</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15,640,035</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160"/>
              <w:spacing w:after="0"/>
              <w:rPr>
                <w:sz w:val="20"/>
                <w:szCs w:val="20"/>
                <w:color w:val="auto"/>
              </w:rPr>
            </w:pPr>
            <w:r>
              <w:rPr>
                <w:rFonts w:ascii="Arial" w:cs="Arial" w:eastAsia="Arial" w:hAnsi="Arial"/>
                <w:sz w:val="18"/>
                <w:szCs w:val="18"/>
                <w:color w:val="auto"/>
              </w:rPr>
              <w:t>Deposits in other banks</w:t>
            </w:r>
          </w:p>
        </w:tc>
        <w:tc>
          <w:tcPr>
            <w:tcW w:w="1020" w:type="dxa"/>
            <w:vAlign w:val="bottom"/>
          </w:tcPr>
          <w:p>
            <w:pPr>
              <w:jc w:val="right"/>
              <w:spacing w:after="0"/>
              <w:rPr>
                <w:sz w:val="20"/>
                <w:szCs w:val="20"/>
                <w:color w:val="auto"/>
              </w:rPr>
            </w:pPr>
            <w:r>
              <w:rPr>
                <w:rFonts w:ascii="Arial" w:cs="Arial" w:eastAsia="Arial" w:hAnsi="Arial"/>
                <w:sz w:val="18"/>
                <w:szCs w:val="18"/>
                <w:color w:val="auto"/>
              </w:rPr>
              <w:t>3,090,242</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9,548,727</w:t>
            </w: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12,330,077</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29.1%</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Interbanks</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297,004</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40,993</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-99.9%</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160"/>
              <w:spacing w:after="0"/>
              <w:rPr>
                <w:sz w:val="20"/>
                <w:szCs w:val="20"/>
                <w:color w:val="auto"/>
              </w:rPr>
            </w:pPr>
            <w:r>
              <w:rPr>
                <w:rFonts w:ascii="Arial" w:cs="Arial" w:eastAsia="Arial" w:hAnsi="Arial"/>
                <w:sz w:val="18"/>
                <w:szCs w:val="18"/>
                <w:color w:val="auto"/>
              </w:rPr>
              <w:t>Accrued interest on cash and due from banks</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5,966</w:t>
            </w:r>
          </w:p>
        </w:tc>
        <w:tc>
          <w:tcPr>
            <w:tcW w:w="1020" w:type="dxa"/>
            <w:vAlign w:val="bottom"/>
          </w:tcPr>
          <w:p>
            <w:pPr>
              <w:jc w:val="right"/>
              <w:spacing w:after="0"/>
              <w:rPr>
                <w:sz w:val="20"/>
                <w:szCs w:val="20"/>
                <w:color w:val="auto"/>
              </w:rPr>
            </w:pPr>
            <w:r>
              <w:rPr>
                <w:rFonts w:ascii="Arial" w:cs="Arial" w:eastAsia="Arial" w:hAnsi="Arial"/>
                <w:sz w:val="18"/>
                <w:szCs w:val="18"/>
                <w:color w:val="auto"/>
              </w:rPr>
              <w:t>5,863</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1,613</w:t>
            </w:r>
          </w:p>
        </w:tc>
        <w:tc>
          <w:tcPr>
            <w:tcW w:w="2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-72.5%</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b w:val="1"/>
                <w:bCs w:val="1"/>
                <w:color w:val="auto"/>
              </w:rPr>
              <w:t>Trading securities, net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1,717,501</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2,182,561</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1,566,051</w:t>
            </w:r>
          </w:p>
        </w:tc>
        <w:tc>
          <w:tcPr>
            <w:tcW w:w="2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-28.2%</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-8.8%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b w:val="1"/>
                <w:bCs w:val="1"/>
                <w:color w:val="auto"/>
              </w:rPr>
              <w:t>Loans</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71,396,079</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79,930,967</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81,477,245</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1.9%</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69,457,362</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77,824,712</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79,203,919</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160"/>
              <w:spacing w:after="0"/>
              <w:rPr>
                <w:sz w:val="20"/>
                <w:szCs w:val="20"/>
                <w:color w:val="auto"/>
              </w:rPr>
            </w:pPr>
            <w:r>
              <w:rPr>
                <w:rFonts w:ascii="Arial" w:cs="Arial" w:eastAsia="Arial" w:hAnsi="Arial"/>
                <w:sz w:val="18"/>
                <w:szCs w:val="18"/>
                <w:color w:val="auto"/>
              </w:rPr>
              <w:t>Past due</w:t>
            </w:r>
          </w:p>
        </w:tc>
        <w:tc>
          <w:tcPr>
            <w:tcW w:w="1020" w:type="dxa"/>
            <w:vAlign w:val="bottom"/>
          </w:tcPr>
          <w:p>
            <w:pPr>
              <w:jc w:val="right"/>
              <w:spacing w:after="0"/>
              <w:rPr>
                <w:sz w:val="20"/>
                <w:szCs w:val="20"/>
                <w:color w:val="auto"/>
              </w:rPr>
            </w:pPr>
            <w:r>
              <w:rPr>
                <w:rFonts w:ascii="Arial" w:cs="Arial" w:eastAsia="Arial" w:hAnsi="Arial"/>
                <w:sz w:val="18"/>
                <w:szCs w:val="18"/>
                <w:color w:val="auto"/>
              </w:rPr>
              <w:t>1,938,717</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2,106,255</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2,273,326</w:t>
            </w:r>
          </w:p>
        </w:tc>
        <w:tc>
          <w:tcPr>
            <w:tcW w:w="2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7.9%</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Less - net provisions for possible loan losses</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(3,071,051)</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(3,465,241)</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(3,621,117)</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b w:val="1"/>
                <w:bCs w:val="1"/>
                <w:color w:val="auto"/>
              </w:rPr>
              <w:t>Loans, net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68,325,028</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76,465,726</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77,856,128</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1.8%</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13.9%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b w:val="1"/>
                <w:bCs w:val="1"/>
                <w:color w:val="auto"/>
              </w:rPr>
              <w:t>Investment securities available for sale</w:t>
            </w:r>
          </w:p>
        </w:tc>
        <w:tc>
          <w:tcPr>
            <w:tcW w:w="1020" w:type="dxa"/>
            <w:vAlign w:val="bottom"/>
          </w:tcPr>
          <w:p>
            <w:pPr>
              <w:jc w:val="right"/>
              <w:spacing w:after="0"/>
              <w:rPr>
                <w:sz w:val="20"/>
                <w:szCs w:val="20"/>
                <w:color w:val="auto"/>
              </w:rPr>
            </w:pPr>
            <w:r>
              <w:rPr>
                <w:rFonts w:ascii="Arial" w:cs="Arial" w:eastAsia="Arial" w:hAnsi="Arial"/>
                <w:sz w:val="18"/>
                <w:szCs w:val="18"/>
                <w:color w:val="auto"/>
              </w:rPr>
              <w:t>9,380,457</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8,142,082</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7,768,324</w:t>
            </w:r>
          </w:p>
        </w:tc>
        <w:tc>
          <w:tcPr>
            <w:tcW w:w="2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-4.6%</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Investments held to maturiy</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1,760,575</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2,640,260</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2,970,259</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12.5%</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1,513,366</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1,771,321</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1,746,215</w:t>
            </w:r>
          </w:p>
        </w:tc>
        <w:tc>
          <w:tcPr>
            <w:tcW w:w="2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-1.4%</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Due from customers acceptances</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152,901</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169,480</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151,952</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-10.3%</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960" w:type="dxa"/>
            <w:vAlign w:val="bottom"/>
          </w:tcPr>
          <w:p>
            <w:pPr>
              <w:spacing w:after="0" w:line="256" w:lineRule="exact"/>
              <w:rPr>
                <w:sz w:val="20"/>
                <w:szCs w:val="20"/>
                <w:color w:val="auto"/>
              </w:rPr>
            </w:pPr>
            <w:r>
              <w:rPr>
                <w:rFonts w:ascii="Arial" w:cs="Arial" w:eastAsia="Arial" w:hAnsi="Arial"/>
                <w:sz w:val="18"/>
                <w:szCs w:val="18"/>
                <w:b w:val="1"/>
                <w:bCs w:val="1"/>
                <w:color w:val="auto"/>
              </w:rPr>
              <w:t xml:space="preserve">Other assets </w:t>
            </w:r>
            <w:r>
              <w:rPr>
                <w:rFonts w:ascii="Arial" w:cs="Arial" w:eastAsia="Arial" w:hAnsi="Arial"/>
                <w:sz w:val="29"/>
                <w:szCs w:val="29"/>
                <w:b w:val="1"/>
                <w:bCs w:val="1"/>
                <w:color w:val="auto"/>
                <w:vertAlign w:val="superscript"/>
              </w:rPr>
              <w:t>(1)</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3,880,599</w:t>
            </w:r>
          </w:p>
        </w:tc>
        <w:tc>
          <w:tcPr>
            <w:tcW w:w="2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4,508,501</w:t>
            </w:r>
          </w:p>
        </w:tc>
        <w:tc>
          <w:tcPr>
            <w:tcW w:w="2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4,105,466</w:t>
            </w:r>
          </w:p>
        </w:tc>
        <w:tc>
          <w:tcPr>
            <w:tcW w:w="220" w:type="dxa"/>
            <w:vAlign w:val="bottom"/>
          </w:tcPr>
          <w:p>
            <w:pPr>
              <w:spacing w:after="0"/>
              <w:rPr>
                <w:sz w:val="22"/>
                <w:szCs w:val="22"/>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-8.9%</w:t>
            </w:r>
          </w:p>
        </w:tc>
        <w:tc>
          <w:tcPr>
            <w:tcW w:w="320" w:type="dxa"/>
            <w:vAlign w:val="bottom"/>
          </w:tcPr>
          <w:p>
            <w:pPr>
              <w:spacing w:after="0"/>
              <w:rPr>
                <w:sz w:val="22"/>
                <w:szCs w:val="22"/>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jc w:val="center"/>
              <w:ind w:right="30"/>
              <w:spacing w:after="0"/>
              <w:rPr>
                <w:sz w:val="20"/>
                <w:szCs w:val="20"/>
                <w:color w:val="auto"/>
              </w:rPr>
            </w:pPr>
            <w:r>
              <w:rPr>
                <w:rFonts w:ascii="Arial" w:cs="Arial" w:eastAsia="Arial" w:hAnsi="Arial"/>
                <w:sz w:val="18"/>
                <w:szCs w:val="18"/>
                <w:b w:val="1"/>
                <w:bCs w:val="1"/>
                <w:color w:val="auto"/>
                <w:w w:val="84"/>
              </w:rPr>
              <w:t>Total assets</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w w:val="99"/>
              </w:rPr>
              <w:t>109,391,817</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w w:val="99"/>
              </w:rPr>
              <w:t>121,980,750</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w w:val="97"/>
              </w:rPr>
              <w:t>124,136,147</w:t>
            </w:r>
          </w:p>
        </w:tc>
        <w:tc>
          <w:tcPr>
            <w:tcW w:w="2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1.8%</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jc w:val="center"/>
              <w:ind w:right="30"/>
              <w:spacing w:after="0"/>
              <w:rPr>
                <w:sz w:val="20"/>
                <w:szCs w:val="20"/>
                <w:color w:val="auto"/>
              </w:rPr>
            </w:pPr>
            <w:r>
              <w:rPr>
                <w:rFonts w:ascii="Arial" w:cs="Arial" w:eastAsia="Arial" w:hAnsi="Arial"/>
                <w:sz w:val="18"/>
                <w:szCs w:val="18"/>
                <w:b w:val="1"/>
                <w:bCs w:val="1"/>
                <w:color w:val="auto"/>
              </w:rPr>
              <w:t>LIABILITIES AND NET SHAREHOLDERS’ EQUITY</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b w:val="1"/>
                <w:bCs w:val="1"/>
                <w:color w:val="auto"/>
              </w:rPr>
              <w:t>Deposits and obligations</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72,094,494</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75,240,706</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76,540,620</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1.7%</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Demand deposits</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22,390,079</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26,887,935</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26,574,657</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160"/>
              <w:spacing w:after="0"/>
              <w:rPr>
                <w:sz w:val="20"/>
                <w:szCs w:val="20"/>
                <w:color w:val="auto"/>
              </w:rPr>
            </w:pPr>
            <w:r>
              <w:rPr>
                <w:rFonts w:ascii="Arial" w:cs="Arial" w:eastAsia="Arial" w:hAnsi="Arial"/>
                <w:sz w:val="18"/>
                <w:szCs w:val="18"/>
                <w:color w:val="auto"/>
              </w:rPr>
              <w:t>Saving deposits</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19,036,056</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22,311,656</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21,995,366</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Time deposits</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23,314,183</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19,623,112</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20,576,575</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160"/>
              <w:spacing w:after="0"/>
              <w:rPr>
                <w:sz w:val="20"/>
                <w:szCs w:val="20"/>
                <w:color w:val="auto"/>
              </w:rPr>
            </w:pPr>
            <w:r>
              <w:rPr>
                <w:rFonts w:ascii="Arial" w:cs="Arial" w:eastAsia="Arial" w:hAnsi="Arial"/>
                <w:sz w:val="18"/>
                <w:szCs w:val="18"/>
                <w:color w:val="auto"/>
              </w:rPr>
              <w:t>Severance indemnity deposits (CTS)</w:t>
            </w:r>
          </w:p>
        </w:tc>
        <w:tc>
          <w:tcPr>
            <w:tcW w:w="1020" w:type="dxa"/>
            <w:vAlign w:val="bottom"/>
          </w:tcPr>
          <w:p>
            <w:pPr>
              <w:jc w:val="right"/>
              <w:spacing w:after="0"/>
              <w:rPr>
                <w:sz w:val="20"/>
                <w:szCs w:val="20"/>
                <w:color w:val="auto"/>
              </w:rPr>
            </w:pPr>
            <w:r>
              <w:rPr>
                <w:rFonts w:ascii="Arial" w:cs="Arial" w:eastAsia="Arial" w:hAnsi="Arial"/>
                <w:sz w:val="18"/>
                <w:szCs w:val="18"/>
                <w:color w:val="auto"/>
              </w:rPr>
              <w:t>7,148,162</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6,204,360</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7,173,252</w:t>
            </w:r>
          </w:p>
        </w:tc>
        <w:tc>
          <w:tcPr>
            <w:tcW w:w="2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15.6%</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payable</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206,014</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213,643</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220,770</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BCRP instruments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1,223,753</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7,956,780</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10,012,756</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25.8%</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b w:val="1"/>
                <w:bCs w:val="1"/>
                <w:color w:val="auto"/>
              </w:rPr>
              <w:t>Due to banks and correspondents</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12,450,775</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11,499,979</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10,583,720</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-8.0%</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Bonds and subordinated debt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12,263,511</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13,400,119</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13,522,815</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0.9%</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b w:val="1"/>
                <w:bCs w:val="1"/>
                <w:color w:val="auto"/>
              </w:rPr>
              <w:t>Acceptances outstanding</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152,901</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169,480</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151,952</w:t>
            </w:r>
          </w:p>
        </w:tc>
        <w:tc>
          <w:tcPr>
            <w:tcW w:w="2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-10.3%</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-0.6%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960" w:type="dxa"/>
            <w:vAlign w:val="bottom"/>
            <w:shd w:val="clear" w:color="auto" w:fill="CCEEFF"/>
          </w:tcPr>
          <w:p>
            <w:pPr>
              <w:spacing w:after="0" w:line="256" w:lineRule="exact"/>
              <w:rPr>
                <w:sz w:val="20"/>
                <w:szCs w:val="20"/>
                <w:color w:val="auto"/>
              </w:rPr>
            </w:pPr>
            <w:r>
              <w:rPr>
                <w:rFonts w:ascii="Arial" w:cs="Arial" w:eastAsia="Arial" w:hAnsi="Arial"/>
                <w:sz w:val="18"/>
                <w:szCs w:val="18"/>
                <w:b w:val="1"/>
                <w:bCs w:val="1"/>
                <w:color w:val="auto"/>
              </w:rPr>
              <w:t xml:space="preserve">Other liabilities </w:t>
            </w:r>
            <w:r>
              <w:rPr>
                <w:rFonts w:ascii="Arial" w:cs="Arial" w:eastAsia="Arial" w:hAnsi="Arial"/>
                <w:sz w:val="29"/>
                <w:szCs w:val="29"/>
                <w:b w:val="1"/>
                <w:bCs w:val="1"/>
                <w:color w:val="auto"/>
                <w:vertAlign w:val="superscript"/>
              </w:rPr>
              <w:t>(2)</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1,932,296</w:t>
            </w:r>
          </w:p>
        </w:tc>
        <w:tc>
          <w:tcPr>
            <w:tcW w:w="2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3,433,348</w:t>
            </w: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2,415,436</w:t>
            </w:r>
          </w:p>
        </w:tc>
        <w:tc>
          <w:tcPr>
            <w:tcW w:w="22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-29.6%</w:t>
            </w:r>
          </w:p>
        </w:tc>
        <w:tc>
          <w:tcPr>
            <w:tcW w:w="32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jc w:val="center"/>
              <w:ind w:right="50"/>
              <w:spacing w:after="0"/>
              <w:rPr>
                <w:sz w:val="20"/>
                <w:szCs w:val="20"/>
                <w:color w:val="auto"/>
              </w:rPr>
            </w:pPr>
            <w:r>
              <w:rPr>
                <w:rFonts w:ascii="Arial" w:cs="Arial" w:eastAsia="Arial" w:hAnsi="Arial"/>
                <w:sz w:val="18"/>
                <w:szCs w:val="18"/>
                <w:b w:val="1"/>
                <w:bCs w:val="1"/>
                <w:color w:val="auto"/>
                <w:w w:val="91"/>
              </w:rPr>
              <w:t>Total liabilities</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9"/>
              </w:rPr>
              <w:t>100,117,730</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9"/>
              </w:rPr>
              <w:t>111,700,412</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7"/>
              </w:rPr>
              <w:t>113,227,299</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1.4%</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shareholders’ equity</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8,937,830</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10,130,944</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10,755,017</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6.2%</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160"/>
              <w:spacing w:after="0"/>
              <w:rPr>
                <w:sz w:val="20"/>
                <w:szCs w:val="20"/>
                <w:color w:val="auto"/>
              </w:rPr>
            </w:pPr>
            <w:r>
              <w:rPr>
                <w:rFonts w:ascii="Arial" w:cs="Arial" w:eastAsia="Arial" w:hAnsi="Arial"/>
                <w:sz w:val="18"/>
                <w:szCs w:val="18"/>
                <w:color w:val="auto"/>
              </w:rPr>
              <w:t>Capital stock</w:t>
            </w:r>
          </w:p>
        </w:tc>
        <w:tc>
          <w:tcPr>
            <w:tcW w:w="1020" w:type="dxa"/>
            <w:vAlign w:val="bottom"/>
          </w:tcPr>
          <w:p>
            <w:pPr>
              <w:jc w:val="right"/>
              <w:spacing w:after="0"/>
              <w:rPr>
                <w:sz w:val="20"/>
                <w:szCs w:val="20"/>
                <w:color w:val="auto"/>
              </w:rPr>
            </w:pPr>
            <w:r>
              <w:rPr>
                <w:rFonts w:ascii="Arial" w:cs="Arial" w:eastAsia="Arial" w:hAnsi="Arial"/>
                <w:sz w:val="18"/>
                <w:szCs w:val="18"/>
                <w:color w:val="auto"/>
              </w:rPr>
              <w:t>4,429,372</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5,560,671</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5,560,671</w:t>
            </w:r>
          </w:p>
        </w:tc>
        <w:tc>
          <w:tcPr>
            <w:tcW w:w="2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0.0%</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Reserves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2,542,915</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2,938,870</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2,939,038</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160"/>
              <w:spacing w:after="0"/>
              <w:rPr>
                <w:sz w:val="20"/>
                <w:szCs w:val="20"/>
                <w:color w:val="auto"/>
              </w:rPr>
            </w:pPr>
            <w:r>
              <w:rPr>
                <w:rFonts w:ascii="Arial" w:cs="Arial" w:eastAsia="Arial" w:hAnsi="Arial"/>
                <w:sz w:val="18"/>
                <w:szCs w:val="18"/>
                <w:color w:val="auto"/>
              </w:rPr>
              <w:t>Unrealized gains and losses</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423,344</w:t>
            </w:r>
          </w:p>
        </w:tc>
        <w:tc>
          <w:tcPr>
            <w:tcW w:w="1020" w:type="dxa"/>
            <w:vAlign w:val="bottom"/>
          </w:tcPr>
          <w:p>
            <w:pPr>
              <w:jc w:val="right"/>
              <w:spacing w:after="0"/>
              <w:rPr>
                <w:sz w:val="20"/>
                <w:szCs w:val="20"/>
                <w:color w:val="auto"/>
              </w:rPr>
            </w:pPr>
            <w:r>
              <w:rPr>
                <w:rFonts w:ascii="Arial" w:cs="Arial" w:eastAsia="Arial" w:hAnsi="Arial"/>
                <w:sz w:val="18"/>
                <w:szCs w:val="18"/>
                <w:color w:val="auto"/>
              </w:rPr>
              <w:t>100,750</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103,893</w:t>
            </w:r>
          </w:p>
        </w:tc>
        <w:tc>
          <w:tcPr>
            <w:tcW w:w="2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3.1%</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631,001</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671,420</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672,147</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160"/>
              <w:spacing w:after="0"/>
              <w:rPr>
                <w:sz w:val="20"/>
                <w:szCs w:val="20"/>
                <w:color w:val="auto"/>
              </w:rPr>
            </w:pPr>
            <w:r>
              <w:rPr>
                <w:rFonts w:ascii="Arial" w:cs="Arial" w:eastAsia="Arial" w:hAnsi="Arial"/>
                <w:sz w:val="18"/>
                <w:szCs w:val="18"/>
                <w:color w:val="auto"/>
              </w:rPr>
              <w:t>Income for the year</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911,198</w:t>
            </w:r>
          </w:p>
        </w:tc>
        <w:tc>
          <w:tcPr>
            <w:tcW w:w="1020" w:type="dxa"/>
            <w:vAlign w:val="bottom"/>
          </w:tcPr>
          <w:p>
            <w:pPr>
              <w:jc w:val="right"/>
              <w:spacing w:after="0"/>
              <w:rPr>
                <w:sz w:val="20"/>
                <w:szCs w:val="20"/>
                <w:color w:val="auto"/>
              </w:rPr>
            </w:pPr>
            <w:r>
              <w:rPr>
                <w:rFonts w:ascii="Arial" w:cs="Arial" w:eastAsia="Arial" w:hAnsi="Arial"/>
                <w:sz w:val="18"/>
                <w:szCs w:val="18"/>
                <w:color w:val="auto"/>
              </w:rPr>
              <w:t>859,233</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1,479,268</w:t>
            </w:r>
          </w:p>
        </w:tc>
        <w:tc>
          <w:tcPr>
            <w:tcW w:w="2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72.2%</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160"/>
              <w:spacing w:after="0"/>
              <w:rPr>
                <w:sz w:val="20"/>
                <w:szCs w:val="20"/>
                <w:color w:val="auto"/>
              </w:rPr>
            </w:pPr>
            <w:r>
              <w:rPr>
                <w:rFonts w:ascii="Arial" w:cs="Arial" w:eastAsia="Arial" w:hAnsi="Arial"/>
                <w:sz w:val="18"/>
                <w:szCs w:val="18"/>
                <w:color w:val="auto"/>
              </w:rPr>
              <w:t>Minority interest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336,257</w:t>
            </w:r>
          </w:p>
        </w:tc>
        <w:tc>
          <w:tcPr>
            <w:tcW w:w="1020" w:type="dxa"/>
            <w:vAlign w:val="bottom"/>
          </w:tcPr>
          <w:p>
            <w:pPr>
              <w:jc w:val="right"/>
              <w:spacing w:after="0"/>
              <w:rPr>
                <w:sz w:val="20"/>
                <w:szCs w:val="20"/>
                <w:color w:val="auto"/>
              </w:rPr>
            </w:pPr>
            <w:r>
              <w:rPr>
                <w:rFonts w:ascii="Arial" w:cs="Arial" w:eastAsia="Arial" w:hAnsi="Arial"/>
                <w:sz w:val="18"/>
                <w:szCs w:val="18"/>
                <w:color w:val="auto"/>
              </w:rPr>
              <w:t>149,394</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153,831</w:t>
            </w:r>
          </w:p>
        </w:tc>
        <w:tc>
          <w:tcPr>
            <w:tcW w:w="2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3.0%</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Total liabilities and net shareholders’ equity</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w w:val="99"/>
              </w:rPr>
              <w:t>109,391,817</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w w:val="99"/>
              </w:rPr>
              <w:t>121,980,750</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w w:val="97"/>
              </w:rPr>
              <w:t>124,136,147</w:t>
            </w:r>
          </w:p>
        </w:tc>
        <w:tc>
          <w:tcPr>
            <w:tcW w:w="2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1.8%</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13.5%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960" w:type="dxa"/>
            <w:vAlign w:val="bottom"/>
          </w:tcPr>
          <w:p>
            <w:pPr>
              <w:spacing w:after="0" w:line="201" w:lineRule="exact"/>
              <w:rPr>
                <w:sz w:val="20"/>
                <w:szCs w:val="20"/>
                <w:color w:val="auto"/>
              </w:rPr>
            </w:pPr>
            <w:r>
              <w:rPr>
                <w:rFonts w:ascii="Arial" w:cs="Arial" w:eastAsia="Arial" w:hAnsi="Arial"/>
                <w:sz w:val="18"/>
                <w:szCs w:val="18"/>
                <w:color w:val="auto"/>
              </w:rPr>
              <w:t>Off-balance sheet</w:t>
            </w:r>
          </w:p>
        </w:tc>
        <w:tc>
          <w:tcPr>
            <w:tcW w:w="122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45,253,550</w:t>
            </w:r>
          </w:p>
        </w:tc>
        <w:tc>
          <w:tcPr>
            <w:tcW w:w="124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60,665,354</w:t>
            </w:r>
          </w:p>
        </w:tc>
        <w:tc>
          <w:tcPr>
            <w:tcW w:w="122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59,199,912</w:t>
            </w:r>
          </w:p>
        </w:tc>
        <w:tc>
          <w:tcPr>
            <w:tcW w:w="144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-2.4%</w:t>
            </w:r>
          </w:p>
        </w:tc>
        <w:tc>
          <w:tcPr>
            <w:tcW w:w="320" w:type="dxa"/>
            <w:vAlign w:val="bottom"/>
          </w:tcPr>
          <w:p>
            <w:pPr>
              <w:spacing w:after="0"/>
              <w:rPr>
                <w:sz w:val="17"/>
                <w:szCs w:val="17"/>
                <w:color w:val="auto"/>
              </w:rPr>
            </w:pPr>
          </w:p>
        </w:tc>
        <w:tc>
          <w:tcPr>
            <w:tcW w:w="1000" w:type="dxa"/>
            <w:vAlign w:val="bottom"/>
            <w:gridSpan w:val="2"/>
          </w:tcPr>
          <w:p>
            <w:pPr>
              <w:jc w:val="right"/>
              <w:ind w:right="40"/>
              <w:spacing w:after="0" w:line="201" w:lineRule="exact"/>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w w:val="98"/>
              </w:rPr>
              <w:t>(1) Mainly includes intangible assets, other receivable accounts</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80" w:type="dxa"/>
            <w:vAlign w:val="bottom"/>
            <w:gridSpan w:val="2"/>
          </w:tcPr>
          <w:p>
            <w:pPr>
              <w:spacing w:after="0"/>
              <w:rPr>
                <w:sz w:val="20"/>
                <w:szCs w:val="20"/>
                <w:color w:val="auto"/>
              </w:rPr>
            </w:pPr>
            <w:r>
              <w:rPr>
                <w:rFonts w:ascii="Arial" w:cs="Arial" w:eastAsia="Arial" w:hAnsi="Arial"/>
                <w:sz w:val="18"/>
                <w:szCs w:val="18"/>
                <w:color w:val="auto"/>
              </w:rPr>
              <w:t>(2) Mainly includes other payable accounts.</w:t>
            </w: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5"/>
        </w:trPr>
        <w:tc>
          <w:tcPr>
            <w:tcW w:w="20" w:type="dxa"/>
            <w:vAlign w:val="bottom"/>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22"/>
                <w:szCs w:val="22"/>
                <w:color w:val="auto"/>
              </w:rPr>
              <w:t>48</w:t>
            </w:r>
          </w:p>
        </w:tc>
        <w:tc>
          <w:tcPr>
            <w:tcW w:w="0" w:type="dxa"/>
            <w:vAlign w:val="bottom"/>
          </w:tcPr>
          <w:p>
            <w:pPr>
              <w:spacing w:after="0"/>
              <w:rPr>
                <w:sz w:val="1"/>
                <w:szCs w:val="1"/>
                <w:color w:val="auto"/>
              </w:rPr>
            </w:pPr>
          </w:p>
        </w:tc>
      </w:tr>
    </w:tbl>
    <w:p>
      <w:pPr>
        <w:sectPr>
          <w:pgSz w:w="11900" w:h="16838" w:orient="portrait"/>
          <w:cols w:equalWidth="0" w:num="1">
            <w:col w:w="11420"/>
          </w:cols>
          <w:pgMar w:left="240" w:top="905" w:right="239" w:bottom="724"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BANCO DE CREDITO DEL PERU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INCOME STATEMENT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S/. thousands, IFRS)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Quarter</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3"/>
          </w:tcPr>
          <w:p>
            <w:pPr>
              <w:ind w:left="460"/>
              <w:spacing w:after="0"/>
              <w:rPr>
                <w:sz w:val="20"/>
                <w:szCs w:val="20"/>
                <w:color w:val="auto"/>
              </w:rPr>
            </w:pPr>
            <w:r>
              <w:rPr>
                <w:rFonts w:ascii="Arial" w:cs="Arial" w:eastAsia="Arial" w:hAnsi="Arial"/>
                <w:sz w:val="14"/>
                <w:szCs w:val="14"/>
                <w:b w:val="1"/>
                <w:bCs w:val="1"/>
                <w:color w:val="auto"/>
                <w:w w:val="91"/>
              </w:rPr>
              <w:t>% change</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3"/>
          </w:tcPr>
          <w:p>
            <w:pPr>
              <w:ind w:left="700"/>
              <w:spacing w:after="0"/>
              <w:rPr>
                <w:sz w:val="20"/>
                <w:szCs w:val="20"/>
                <w:color w:val="auto"/>
              </w:rPr>
            </w:pPr>
            <w:r>
              <w:rPr>
                <w:rFonts w:ascii="Arial" w:cs="Arial" w:eastAsia="Arial" w:hAnsi="Arial"/>
                <w:sz w:val="14"/>
                <w:szCs w:val="14"/>
                <w:b w:val="1"/>
                <w:bCs w:val="1"/>
                <w:color w:val="auto"/>
                <w:w w:val="91"/>
              </w:rPr>
              <w:t>As of</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2Q14</w:t>
            </w:r>
          </w:p>
        </w:tc>
        <w:tc>
          <w:tcPr>
            <w:tcW w:w="9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1Q15</w:t>
            </w:r>
          </w:p>
        </w:tc>
        <w:tc>
          <w:tcPr>
            <w:tcW w:w="9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2Q15</w:t>
            </w:r>
          </w:p>
        </w:tc>
        <w:tc>
          <w:tcPr>
            <w:tcW w:w="1080" w:type="dxa"/>
            <w:vAlign w:val="bottom"/>
            <w:gridSpan w:val="3"/>
          </w:tcPr>
          <w:p>
            <w:pPr>
              <w:ind w:left="160"/>
              <w:spacing w:after="0"/>
              <w:rPr>
                <w:sz w:val="20"/>
                <w:szCs w:val="20"/>
                <w:color w:val="auto"/>
              </w:rPr>
            </w:pPr>
            <w:r>
              <w:rPr>
                <w:rFonts w:ascii="Arial" w:cs="Arial" w:eastAsia="Arial" w:hAnsi="Arial"/>
                <w:sz w:val="14"/>
                <w:szCs w:val="14"/>
                <w:b w:val="1"/>
                <w:bCs w:val="1"/>
                <w:color w:val="auto"/>
              </w:rPr>
              <w:t>QoQ</w:t>
            </w:r>
          </w:p>
        </w:tc>
        <w:tc>
          <w:tcPr>
            <w:tcW w:w="7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5"/>
              </w:rPr>
              <w:t>YoY</w:t>
            </w:r>
          </w:p>
        </w:tc>
        <w:tc>
          <w:tcPr>
            <w:tcW w:w="1040" w:type="dxa"/>
            <w:vAlign w:val="bottom"/>
            <w:gridSpan w:val="3"/>
          </w:tcPr>
          <w:p>
            <w:pPr>
              <w:ind w:left="160"/>
              <w:spacing w:after="0"/>
              <w:rPr>
                <w:sz w:val="20"/>
                <w:szCs w:val="20"/>
                <w:color w:val="auto"/>
              </w:rPr>
            </w:pPr>
            <w:r>
              <w:rPr>
                <w:rFonts w:ascii="Arial" w:cs="Arial" w:eastAsia="Arial" w:hAnsi="Arial"/>
                <w:sz w:val="14"/>
                <w:szCs w:val="14"/>
                <w:b w:val="1"/>
                <w:bCs w:val="1"/>
                <w:color w:val="auto"/>
              </w:rPr>
              <w:t>Jun 14</w:t>
            </w:r>
          </w:p>
        </w:tc>
        <w:tc>
          <w:tcPr>
            <w:tcW w:w="8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Jun 15</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1"/>
              </w:rPr>
              <w:t>Jun 15 / Jun 14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Interest income and expense</w:t>
            </w:r>
          </w:p>
        </w:tc>
        <w:tc>
          <w:tcPr>
            <w:tcW w:w="7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ind w:left="160"/>
              <w:spacing w:after="0" w:line="149" w:lineRule="exact"/>
              <w:rPr>
                <w:sz w:val="20"/>
                <w:szCs w:val="20"/>
                <w:color w:val="auto"/>
              </w:rPr>
            </w:pPr>
            <w:r>
              <w:rPr>
                <w:rFonts w:ascii="Arial" w:cs="Arial" w:eastAsia="Arial" w:hAnsi="Arial"/>
                <w:sz w:val="14"/>
                <w:szCs w:val="14"/>
                <w:color w:val="auto"/>
              </w:rPr>
              <w:t>Interest and dividend income</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2,014,370</w:t>
            </w:r>
          </w:p>
        </w:tc>
        <w:tc>
          <w:tcPr>
            <w:tcW w:w="22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2,220,935</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2,273,121</w:t>
            </w:r>
          </w:p>
        </w:tc>
        <w:tc>
          <w:tcPr>
            <w:tcW w:w="22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2.3%</w:t>
            </w:r>
          </w:p>
        </w:tc>
        <w:tc>
          <w:tcPr>
            <w:tcW w:w="18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12.8%</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3,771,597</w:t>
            </w: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4,494,056</w:t>
            </w:r>
          </w:p>
        </w:tc>
        <w:tc>
          <w:tcPr>
            <w:tcW w:w="220" w:type="dxa"/>
            <w:vAlign w:val="bottom"/>
          </w:tcPr>
          <w:p>
            <w:pPr>
              <w:spacing w:after="0"/>
              <w:rPr>
                <w:sz w:val="12"/>
                <w:szCs w:val="12"/>
                <w:color w:val="auto"/>
              </w:rPr>
            </w:pP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Interest expense</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(506,908)</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(553,005)</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(580,132)</w:t>
            </w: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4.9%</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14.4%</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(973,138)</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7"/>
              </w:rPr>
              <w:t>(1,133,137)</w:t>
            </w:r>
          </w:p>
        </w:tc>
        <w:tc>
          <w:tcPr>
            <w:tcW w:w="10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Net interest income</w:t>
            </w:r>
          </w:p>
        </w:tc>
        <w:tc>
          <w:tcPr>
            <w:tcW w:w="7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1,507,462</w:t>
            </w:r>
          </w:p>
        </w:tc>
        <w:tc>
          <w:tcPr>
            <w:tcW w:w="22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1,667,930</w:t>
            </w:r>
          </w:p>
        </w:tc>
        <w:tc>
          <w:tcPr>
            <w:tcW w:w="7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1,692,989</w:t>
            </w:r>
          </w:p>
        </w:tc>
        <w:tc>
          <w:tcPr>
            <w:tcW w:w="22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1.5%</w:t>
            </w:r>
          </w:p>
        </w:tc>
        <w:tc>
          <w:tcPr>
            <w:tcW w:w="18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12.3%</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2,798,459</w:t>
            </w: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3,360,919</w:t>
            </w:r>
          </w:p>
        </w:tc>
        <w:tc>
          <w:tcPr>
            <w:tcW w:w="220" w:type="dxa"/>
            <w:vAlign w:val="bottom"/>
          </w:tcPr>
          <w:p>
            <w:pPr>
              <w:spacing w:after="0"/>
              <w:rPr>
                <w:sz w:val="12"/>
                <w:szCs w:val="12"/>
                <w:color w:val="auto"/>
              </w:rPr>
            </w:pP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provision for loan losses</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(481,036)</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(502,165)</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(433,521)</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-13.7%</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-9.9%</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(846,056)</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(935,686)</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10.6%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Non financial income</w:t>
            </w: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ind w:left="160"/>
              <w:spacing w:after="0" w:line="149" w:lineRule="exact"/>
              <w:rPr>
                <w:sz w:val="20"/>
                <w:szCs w:val="20"/>
                <w:color w:val="auto"/>
              </w:rPr>
            </w:pPr>
            <w:r>
              <w:rPr>
                <w:rFonts w:ascii="Arial" w:cs="Arial" w:eastAsia="Arial" w:hAnsi="Arial"/>
                <w:sz w:val="14"/>
                <w:szCs w:val="14"/>
                <w:color w:val="auto"/>
              </w:rPr>
              <w:t>Fee income</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478,007</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513,006</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529,926</w:t>
            </w: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3.3%</w:t>
            </w:r>
          </w:p>
        </w:tc>
        <w:tc>
          <w:tcPr>
            <w:tcW w:w="18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10.9%</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949,993</w:t>
            </w: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1,042,932</w:t>
            </w:r>
          </w:p>
        </w:tc>
        <w:tc>
          <w:tcPr>
            <w:tcW w:w="220" w:type="dxa"/>
            <w:vAlign w:val="bottom"/>
          </w:tcPr>
          <w:p>
            <w:pPr>
              <w:spacing w:after="0"/>
              <w:rPr>
                <w:sz w:val="12"/>
                <w:szCs w:val="12"/>
                <w:color w:val="auto"/>
              </w:rPr>
            </w:pP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Net gain on foreign exchange transactions</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136,567</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187,566</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166,294</w:t>
            </w: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-11.3%</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21.8%</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262,534</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353,860</w:t>
            </w:r>
          </w:p>
        </w:tc>
        <w:tc>
          <w:tcPr>
            <w:tcW w:w="10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ind w:left="160"/>
              <w:spacing w:after="0" w:line="149" w:lineRule="exact"/>
              <w:rPr>
                <w:sz w:val="20"/>
                <w:szCs w:val="20"/>
                <w:color w:val="auto"/>
              </w:rPr>
            </w:pPr>
            <w:r>
              <w:rPr>
                <w:rFonts w:ascii="Arial" w:cs="Arial" w:eastAsia="Arial" w:hAnsi="Arial"/>
                <w:sz w:val="14"/>
                <w:szCs w:val="14"/>
                <w:color w:val="auto"/>
              </w:rPr>
              <w:t>Net gain on sales of securities</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13,897</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409,819</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5,215</w:t>
            </w: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-98.7%</w:t>
            </w:r>
          </w:p>
        </w:tc>
        <w:tc>
          <w:tcPr>
            <w:tcW w:w="18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-62.5%</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16,071</w:t>
            </w:r>
          </w:p>
        </w:tc>
        <w:tc>
          <w:tcPr>
            <w:tcW w:w="8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415,034</w:t>
            </w: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2482.6%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Other</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13,860</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20,161</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17,459</w:t>
            </w: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-13.4%</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26.0%</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24,642</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37,620</w:t>
            </w:r>
          </w:p>
        </w:tc>
        <w:tc>
          <w:tcPr>
            <w:tcW w:w="10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Total non financial income, net</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642,331</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1,130,552</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718,894</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-36.4%</w:t>
            </w:r>
          </w:p>
        </w:tc>
        <w:tc>
          <w:tcPr>
            <w:tcW w:w="18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11.9%</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1,253,240</w:t>
            </w: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1,849,446</w:t>
            </w:r>
          </w:p>
        </w:tc>
        <w:tc>
          <w:tcPr>
            <w:tcW w:w="220" w:type="dxa"/>
            <w:vAlign w:val="bottom"/>
          </w:tcPr>
          <w:p>
            <w:pPr>
              <w:spacing w:after="0"/>
              <w:rPr>
                <w:sz w:val="12"/>
                <w:szCs w:val="12"/>
                <w:color w:val="auto"/>
              </w:rPr>
            </w:pP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47.6%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7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20" w:type="dxa"/>
            <w:vAlign w:val="bottom"/>
          </w:tcPr>
          <w:p>
            <w:pPr>
              <w:spacing w:after="0" w:line="149" w:lineRule="exact"/>
              <w:rPr>
                <w:sz w:val="20"/>
                <w:szCs w:val="20"/>
                <w:color w:val="auto"/>
              </w:rPr>
            </w:pPr>
            <w:r>
              <w:rPr>
                <w:rFonts w:ascii="Arial" w:cs="Arial" w:eastAsia="Arial" w:hAnsi="Arial"/>
                <w:sz w:val="14"/>
                <w:szCs w:val="14"/>
                <w:b w:val="1"/>
                <w:bCs w:val="1"/>
                <w:color w:val="auto"/>
              </w:rPr>
              <w:t>Operating expenses</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Salaries and employees benefits</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(560,131)</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(582,921)</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(579,530)</w:t>
            </w: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-0.6%</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3.5%</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(1,032,655)</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7"/>
              </w:rPr>
              <w:t>(1,162,451)</w:t>
            </w:r>
          </w:p>
        </w:tc>
        <w:tc>
          <w:tcPr>
            <w:tcW w:w="10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ind w:left="160"/>
              <w:spacing w:after="0" w:line="149" w:lineRule="exact"/>
              <w:rPr>
                <w:sz w:val="20"/>
                <w:szCs w:val="20"/>
                <w:color w:val="auto"/>
              </w:rPr>
            </w:pPr>
            <w:r>
              <w:rPr>
                <w:rFonts w:ascii="Arial" w:cs="Arial" w:eastAsia="Arial" w:hAnsi="Arial"/>
                <w:sz w:val="14"/>
                <w:szCs w:val="14"/>
                <w:color w:val="auto"/>
              </w:rPr>
              <w:t>Administrative expenses</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(387,550)</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(327,197)</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(360,738)</w:t>
            </w: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10.3%</w:t>
            </w:r>
          </w:p>
        </w:tc>
        <w:tc>
          <w:tcPr>
            <w:tcW w:w="18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-6.9%</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(685,828)</w:t>
            </w:r>
          </w:p>
        </w:tc>
        <w:tc>
          <w:tcPr>
            <w:tcW w:w="8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(687,935)</w:t>
            </w: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Depreciation and amortization</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(81,439)</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(87,011)</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(87,720)</w:t>
            </w: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0.8%</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7.7%</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(154,375)</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(174,731)</w:t>
            </w:r>
          </w:p>
        </w:tc>
        <w:tc>
          <w:tcPr>
            <w:tcW w:w="10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ind w:left="160"/>
              <w:spacing w:after="0" w:line="149" w:lineRule="exact"/>
              <w:rPr>
                <w:sz w:val="20"/>
                <w:szCs w:val="20"/>
                <w:color w:val="auto"/>
              </w:rPr>
            </w:pPr>
            <w:r>
              <w:rPr>
                <w:rFonts w:ascii="Arial" w:cs="Arial" w:eastAsia="Arial" w:hAnsi="Arial"/>
                <w:sz w:val="14"/>
                <w:szCs w:val="14"/>
                <w:color w:val="auto"/>
              </w:rPr>
              <w:t>Other</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(33,579)</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(67,067)</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(79,427)</w:t>
            </w: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18.4%</w:t>
            </w:r>
          </w:p>
        </w:tc>
        <w:tc>
          <w:tcPr>
            <w:tcW w:w="18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136.5%</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(59,105)</w:t>
            </w:r>
          </w:p>
        </w:tc>
        <w:tc>
          <w:tcPr>
            <w:tcW w:w="8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(146,494)</w:t>
            </w: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147.9%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b w:val="1"/>
                <w:bCs w:val="1"/>
                <w:color w:val="auto"/>
              </w:rPr>
              <w:t>Total operating expenses</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(1,062,699)</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(1,064,196)</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(1,107,415)</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4.1%</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4.2%</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(1,931,963)</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w w:val="97"/>
              </w:rPr>
              <w:t>(2,171,611)</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12.4%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Operating income</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606,058</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1,232,121</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870,947</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-29.3%</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43.7%</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1,273,680</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2,103,068</w:t>
            </w:r>
          </w:p>
        </w:tc>
        <w:tc>
          <w:tcPr>
            <w:tcW w:w="2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ind w:left="160"/>
              <w:spacing w:after="0" w:line="149" w:lineRule="exact"/>
              <w:rPr>
                <w:sz w:val="20"/>
                <w:szCs w:val="20"/>
                <w:color w:val="auto"/>
              </w:rPr>
            </w:pPr>
            <w:r>
              <w:rPr>
                <w:rFonts w:ascii="Arial" w:cs="Arial" w:eastAsia="Arial" w:hAnsi="Arial"/>
                <w:sz w:val="14"/>
                <w:szCs w:val="14"/>
                <w:color w:val="auto"/>
              </w:rPr>
              <w:t>Translation result</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(1,198)</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(1,342)</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6,976</w:t>
            </w: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619.8%</w:t>
            </w:r>
          </w:p>
        </w:tc>
        <w:tc>
          <w:tcPr>
            <w:tcW w:w="18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682.3%</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(3,145)</w:t>
            </w:r>
          </w:p>
        </w:tc>
        <w:tc>
          <w:tcPr>
            <w:tcW w:w="8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5,634</w:t>
            </w: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279.1%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Income taxes</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(170,049)</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(369,743)</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(254,087)</w:t>
            </w: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-31.3%</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49.4%</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(356,862)</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(623,830)</w:t>
            </w:r>
          </w:p>
        </w:tc>
        <w:tc>
          <w:tcPr>
            <w:tcW w:w="10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ind w:left="160"/>
              <w:spacing w:after="0" w:line="149" w:lineRule="exact"/>
              <w:rPr>
                <w:sz w:val="20"/>
                <w:szCs w:val="20"/>
                <w:color w:val="auto"/>
              </w:rPr>
            </w:pPr>
            <w:r>
              <w:rPr>
                <w:rFonts w:ascii="Arial" w:cs="Arial" w:eastAsia="Arial" w:hAnsi="Arial"/>
                <w:sz w:val="14"/>
                <w:szCs w:val="14"/>
                <w:color w:val="auto"/>
              </w:rPr>
              <w:t>Minority interest</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(1,732)</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(1,805)</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(3,799)</w:t>
            </w: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110.5%</w:t>
            </w:r>
          </w:p>
        </w:tc>
        <w:tc>
          <w:tcPr>
            <w:tcW w:w="18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119.3%</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(2,475)</w:t>
            </w:r>
          </w:p>
        </w:tc>
        <w:tc>
          <w:tcPr>
            <w:tcW w:w="8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(5,604)</w:t>
            </w: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126.4%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433,079</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859,231</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620,037</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-27.8%</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43.2%</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911,198</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1,479,268</w:t>
            </w:r>
          </w:p>
        </w:tc>
        <w:tc>
          <w:tcPr>
            <w:tcW w:w="2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62.3%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BANCO DE CREDITO DEL PERU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INDICATORS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Quarter</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gridSpan w:val="3"/>
          </w:tcPr>
          <w:p>
            <w:pPr>
              <w:ind w:left="960"/>
              <w:spacing w:after="0"/>
              <w:rPr>
                <w:sz w:val="20"/>
                <w:szCs w:val="20"/>
                <w:color w:val="auto"/>
              </w:rPr>
            </w:pPr>
            <w:r>
              <w:rPr>
                <w:rFonts w:ascii="Arial" w:cs="Arial" w:eastAsia="Arial" w:hAnsi="Arial"/>
                <w:sz w:val="18"/>
                <w:szCs w:val="18"/>
                <w:b w:val="1"/>
                <w:bCs w:val="1"/>
                <w:color w:val="auto"/>
              </w:rPr>
              <w:t>As of</w:t>
            </w: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2Q14</w:t>
            </w:r>
          </w:p>
        </w:tc>
        <w:tc>
          <w:tcPr>
            <w:tcW w:w="12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1Q15</w:t>
            </w:r>
          </w:p>
        </w:tc>
        <w:tc>
          <w:tcPr>
            <w:tcW w:w="12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2Q15</w:t>
            </w:r>
          </w:p>
        </w:tc>
        <w:tc>
          <w:tcPr>
            <w:tcW w:w="1440" w:type="dxa"/>
            <w:vAlign w:val="bottom"/>
            <w:gridSpan w:val="3"/>
          </w:tcPr>
          <w:p>
            <w:pPr>
              <w:ind w:left="260"/>
              <w:spacing w:after="0"/>
              <w:rPr>
                <w:sz w:val="20"/>
                <w:szCs w:val="20"/>
                <w:color w:val="auto"/>
              </w:rPr>
            </w:pPr>
            <w:r>
              <w:rPr>
                <w:rFonts w:ascii="Arial" w:cs="Arial" w:eastAsia="Arial" w:hAnsi="Arial"/>
                <w:sz w:val="18"/>
                <w:szCs w:val="18"/>
                <w:b w:val="1"/>
                <w:bCs w:val="1"/>
                <w:color w:val="auto"/>
              </w:rPr>
              <w:t>Jun 14</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Jun 15</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100" w:type="dxa"/>
            <w:vAlign w:val="bottom"/>
            <w:tcBorders>
              <w:top w:val="single" w:sz="8" w:color="CCEEFF"/>
            </w:tcBorders>
            <w:gridSpan w:val="5"/>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Profitability</w:t>
            </w:r>
          </w:p>
        </w:tc>
        <w:tc>
          <w:tcPr>
            <w:tcW w:w="100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920" w:type="dxa"/>
            <w:vAlign w:val="bottom"/>
            <w:tcBorders>
              <w:top w:val="single" w:sz="8" w:color="auto"/>
            </w:tcBorders>
          </w:tcPr>
          <w:p>
            <w:pPr>
              <w:spacing w:after="0" w:line="256" w:lineRule="exact"/>
              <w:rPr>
                <w:sz w:val="20"/>
                <w:szCs w:val="20"/>
                <w:color w:val="auto"/>
              </w:rPr>
            </w:pPr>
            <w:r>
              <w:rPr>
                <w:rFonts w:ascii="Arial" w:cs="Arial" w:eastAsia="Arial" w:hAnsi="Arial"/>
                <w:sz w:val="18"/>
                <w:szCs w:val="18"/>
                <w:color w:val="auto"/>
              </w:rPr>
              <w:t>EPS</w:t>
            </w:r>
            <w:r>
              <w:rPr>
                <w:rFonts w:ascii="Arial" w:cs="Arial" w:eastAsia="Arial" w:hAnsi="Arial"/>
                <w:sz w:val="29"/>
                <w:szCs w:val="29"/>
                <w:color w:val="auto"/>
                <w:vertAlign w:val="superscript"/>
              </w:rPr>
              <w:t>(1)</w:t>
            </w:r>
          </w:p>
        </w:tc>
        <w:tc>
          <w:tcPr>
            <w:tcW w:w="4180" w:type="dxa"/>
            <w:vAlign w:val="bottom"/>
            <w:tcBorders>
              <w:top w:val="single" w:sz="8" w:color="CCEEFF"/>
            </w:tcBorders>
            <w:gridSpan w:val="4"/>
          </w:tcPr>
          <w:p>
            <w:pPr>
              <w:spacing w:after="0"/>
              <w:rPr>
                <w:sz w:val="22"/>
                <w:szCs w:val="22"/>
                <w:color w:val="auto"/>
              </w:rPr>
            </w:pPr>
          </w:p>
        </w:tc>
        <w:tc>
          <w:tcPr>
            <w:tcW w:w="1280" w:type="dxa"/>
            <w:vAlign w:val="bottom"/>
            <w:tcBorders>
              <w:top w:val="single" w:sz="8" w:color="CCEEFF"/>
            </w:tcBorders>
            <w:gridSpan w:val="2"/>
          </w:tcPr>
          <w:p>
            <w:pPr>
              <w:jc w:val="right"/>
              <w:ind w:right="280"/>
              <w:spacing w:after="0"/>
              <w:rPr>
                <w:sz w:val="20"/>
                <w:szCs w:val="20"/>
                <w:color w:val="auto"/>
              </w:rPr>
            </w:pPr>
            <w:r>
              <w:rPr>
                <w:rFonts w:ascii="Arial" w:cs="Arial" w:eastAsia="Arial" w:hAnsi="Arial"/>
                <w:sz w:val="18"/>
                <w:szCs w:val="18"/>
                <w:color w:val="auto"/>
              </w:rPr>
              <w:t>0.074</w:t>
            </w:r>
          </w:p>
        </w:tc>
        <w:tc>
          <w:tcPr>
            <w:tcW w:w="1280" w:type="dxa"/>
            <w:vAlign w:val="bottom"/>
            <w:tcBorders>
              <w:top w:val="single" w:sz="8" w:color="CCEEFF"/>
            </w:tcBorders>
            <w:gridSpan w:val="2"/>
          </w:tcPr>
          <w:p>
            <w:pPr>
              <w:jc w:val="right"/>
              <w:ind w:right="280"/>
              <w:spacing w:after="0"/>
              <w:rPr>
                <w:sz w:val="20"/>
                <w:szCs w:val="20"/>
                <w:color w:val="auto"/>
              </w:rPr>
            </w:pPr>
            <w:r>
              <w:rPr>
                <w:rFonts w:ascii="Arial" w:cs="Arial" w:eastAsia="Arial" w:hAnsi="Arial"/>
                <w:sz w:val="18"/>
                <w:szCs w:val="18"/>
                <w:color w:val="auto"/>
              </w:rPr>
              <w:t>0.147</w:t>
            </w:r>
          </w:p>
        </w:tc>
        <w:tc>
          <w:tcPr>
            <w:tcW w:w="1280" w:type="dxa"/>
            <w:vAlign w:val="bottom"/>
            <w:tcBorders>
              <w:top w:val="single" w:sz="8" w:color="CCEEFF"/>
            </w:tcBorders>
            <w:gridSpan w:val="2"/>
          </w:tcPr>
          <w:p>
            <w:pPr>
              <w:jc w:val="right"/>
              <w:ind w:right="260"/>
              <w:spacing w:after="0"/>
              <w:rPr>
                <w:sz w:val="20"/>
                <w:szCs w:val="20"/>
                <w:color w:val="auto"/>
              </w:rPr>
            </w:pPr>
            <w:r>
              <w:rPr>
                <w:rFonts w:ascii="Arial" w:cs="Arial" w:eastAsia="Arial" w:hAnsi="Arial"/>
                <w:sz w:val="18"/>
                <w:szCs w:val="18"/>
                <w:color w:val="auto"/>
              </w:rPr>
              <w:t>0.106</w:t>
            </w:r>
          </w:p>
        </w:tc>
        <w:tc>
          <w:tcPr>
            <w:tcW w:w="1280" w:type="dxa"/>
            <w:vAlign w:val="bottom"/>
            <w:tcBorders>
              <w:top w:val="single" w:sz="8" w:color="CCEEFF"/>
            </w:tcBorders>
            <w:gridSpan w:val="2"/>
          </w:tcPr>
          <w:p>
            <w:pPr>
              <w:jc w:val="right"/>
              <w:ind w:right="260"/>
              <w:spacing w:after="0"/>
              <w:rPr>
                <w:sz w:val="20"/>
                <w:szCs w:val="20"/>
                <w:color w:val="auto"/>
              </w:rPr>
            </w:pPr>
            <w:r>
              <w:rPr>
                <w:rFonts w:ascii="Arial" w:cs="Arial" w:eastAsia="Arial" w:hAnsi="Arial"/>
                <w:sz w:val="18"/>
                <w:szCs w:val="18"/>
                <w:color w:val="auto"/>
              </w:rPr>
              <w:t>0.156</w:t>
            </w:r>
          </w:p>
        </w:tc>
        <w:tc>
          <w:tcPr>
            <w:tcW w:w="160" w:type="dxa"/>
            <w:vAlign w:val="bottom"/>
            <w:tcBorders>
              <w:top w:val="single" w:sz="8" w:color="CCEEFF"/>
            </w:tcBorders>
          </w:tcPr>
          <w:p>
            <w:pPr>
              <w:spacing w:after="0"/>
              <w:rPr>
                <w:sz w:val="22"/>
                <w:szCs w:val="22"/>
                <w:color w:val="auto"/>
              </w:rPr>
            </w:pPr>
          </w:p>
        </w:tc>
        <w:tc>
          <w:tcPr>
            <w:tcW w:w="1020" w:type="dxa"/>
            <w:vAlign w:val="bottom"/>
            <w:tcBorders>
              <w:top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0.253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100" w:type="dxa"/>
            <w:vAlign w:val="bottom"/>
            <w:gridSpan w:val="5"/>
            <w:shd w:val="clear" w:color="auto" w:fill="CCEEFF"/>
          </w:tcPr>
          <w:p>
            <w:pPr>
              <w:spacing w:after="0" w:line="256" w:lineRule="exact"/>
              <w:rPr>
                <w:sz w:val="20"/>
                <w:szCs w:val="20"/>
                <w:color w:val="auto"/>
              </w:rPr>
            </w:pPr>
            <w:r>
              <w:rPr>
                <w:rFonts w:ascii="Arial" w:cs="Arial" w:eastAsia="Arial" w:hAnsi="Arial"/>
                <w:sz w:val="18"/>
                <w:szCs w:val="18"/>
                <w:color w:val="auto"/>
              </w:rPr>
              <w:t xml:space="preserve">Net interest margin </w:t>
            </w:r>
            <w:r>
              <w:rPr>
                <w:rFonts w:ascii="Arial" w:cs="Arial" w:eastAsia="Arial" w:hAnsi="Arial"/>
                <w:sz w:val="29"/>
                <w:szCs w:val="29"/>
                <w:color w:val="auto"/>
                <w:vertAlign w:val="superscript"/>
              </w:rPr>
              <w:t>(2)</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5.90%</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5.96%</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5.84%</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5.75%</w:t>
            </w:r>
          </w:p>
        </w:tc>
        <w:tc>
          <w:tcPr>
            <w:tcW w:w="16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100" w:type="dxa"/>
            <w:vAlign w:val="bottom"/>
            <w:gridSpan w:val="5"/>
          </w:tcPr>
          <w:p>
            <w:pPr>
              <w:spacing w:after="0" w:line="256" w:lineRule="exact"/>
              <w:rPr>
                <w:sz w:val="20"/>
                <w:szCs w:val="20"/>
                <w:color w:val="auto"/>
              </w:rPr>
            </w:pPr>
            <w:r>
              <w:rPr>
                <w:rFonts w:ascii="Arial" w:cs="Arial" w:eastAsia="Arial" w:hAnsi="Arial"/>
                <w:sz w:val="29"/>
                <w:szCs w:val="29"/>
                <w:color w:val="auto"/>
                <w:vertAlign w:val="subscript"/>
              </w:rPr>
              <w:t>ROAA</w:t>
            </w:r>
            <w:r>
              <w:rPr>
                <w:rFonts w:ascii="Arial" w:cs="Arial" w:eastAsia="Arial" w:hAnsi="Arial"/>
                <w:sz w:val="13"/>
                <w:szCs w:val="13"/>
                <w:color w:val="auto"/>
              </w:rPr>
              <w:t xml:space="preserve"> (2)(3)</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2.9%</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22"/>
                <w:szCs w:val="22"/>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100" w:type="dxa"/>
            <w:vAlign w:val="bottom"/>
            <w:gridSpan w:val="5"/>
            <w:shd w:val="clear" w:color="auto" w:fill="CCEEFF"/>
          </w:tcPr>
          <w:p>
            <w:pPr>
              <w:spacing w:after="0" w:line="256" w:lineRule="exact"/>
              <w:rPr>
                <w:sz w:val="20"/>
                <w:szCs w:val="20"/>
                <w:color w:val="auto"/>
              </w:rPr>
            </w:pPr>
            <w:r>
              <w:rPr>
                <w:rFonts w:ascii="Arial" w:cs="Arial" w:eastAsia="Arial" w:hAnsi="Arial"/>
                <w:sz w:val="29"/>
                <w:szCs w:val="29"/>
                <w:color w:val="auto"/>
                <w:vertAlign w:val="subscript"/>
              </w:rPr>
              <w:t>ROAE</w:t>
            </w:r>
            <w:r>
              <w:rPr>
                <w:rFonts w:ascii="Arial" w:cs="Arial" w:eastAsia="Arial" w:hAnsi="Arial"/>
                <w:sz w:val="13"/>
                <w:szCs w:val="13"/>
                <w:color w:val="auto"/>
              </w:rPr>
              <w:t xml:space="preserve"> (2)(3)</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19.9%</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34.3%</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23.8%</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21.1%</w:t>
            </w:r>
          </w:p>
        </w:tc>
        <w:tc>
          <w:tcPr>
            <w:tcW w:w="16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5"/>
          </w:tcPr>
          <w:p>
            <w:pPr>
              <w:spacing w:after="0"/>
              <w:rPr>
                <w:sz w:val="20"/>
                <w:szCs w:val="20"/>
                <w:color w:val="auto"/>
              </w:rPr>
            </w:pPr>
            <w:r>
              <w:rPr>
                <w:rFonts w:ascii="Arial" w:cs="Arial" w:eastAsia="Arial" w:hAnsi="Arial"/>
                <w:sz w:val="18"/>
                <w:szCs w:val="18"/>
                <w:color w:val="auto"/>
              </w:rPr>
              <w:t>No. of outstanding shares (Million)</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5,854</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5,854</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5,854</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5,854</w:t>
            </w: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5,854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100" w:type="dxa"/>
            <w:vAlign w:val="bottom"/>
            <w:gridSpan w:val="5"/>
          </w:tcPr>
          <w:p>
            <w:pPr>
              <w:spacing w:after="0" w:line="176" w:lineRule="exact"/>
              <w:rPr>
                <w:sz w:val="20"/>
                <w:szCs w:val="20"/>
                <w:color w:val="auto"/>
              </w:rPr>
            </w:pPr>
            <w:r>
              <w:rPr>
                <w:rFonts w:ascii="Arial" w:cs="Arial" w:eastAsia="Arial" w:hAnsi="Arial"/>
                <w:sz w:val="18"/>
                <w:szCs w:val="18"/>
                <w:b w:val="1"/>
                <w:bCs w:val="1"/>
                <w:color w:val="auto"/>
              </w:rPr>
              <w:t>Quality of loan portfolio</w:t>
            </w: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PDL ratio</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2.72%</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2.64%</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2.79%</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2.72%</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5"/>
          </w:tcPr>
          <w:p>
            <w:pPr>
              <w:spacing w:after="0"/>
              <w:rPr>
                <w:sz w:val="20"/>
                <w:szCs w:val="20"/>
                <w:color w:val="auto"/>
              </w:rPr>
            </w:pPr>
            <w:r>
              <w:rPr>
                <w:rFonts w:ascii="Arial" w:cs="Arial" w:eastAsia="Arial" w:hAnsi="Arial"/>
                <w:sz w:val="18"/>
                <w:szCs w:val="18"/>
                <w:color w:val="auto"/>
              </w:rPr>
              <w:t>NPL ratio</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3.40%</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3.47%</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3.64%</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3.40%</w:t>
            </w:r>
          </w:p>
        </w:tc>
        <w:tc>
          <w:tcPr>
            <w:tcW w:w="1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Coverage of PDLs</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158.4%</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164.5%</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159.3%</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158.4%</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5"/>
          </w:tcPr>
          <w:p>
            <w:pPr>
              <w:spacing w:after="0"/>
              <w:rPr>
                <w:sz w:val="20"/>
                <w:szCs w:val="20"/>
                <w:color w:val="auto"/>
              </w:rPr>
            </w:pPr>
            <w:r>
              <w:rPr>
                <w:rFonts w:ascii="Arial" w:cs="Arial" w:eastAsia="Arial" w:hAnsi="Arial"/>
                <w:sz w:val="18"/>
                <w:szCs w:val="18"/>
                <w:color w:val="auto"/>
              </w:rPr>
              <w:t>Coverage of NPLs</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126.6%</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124.8%</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122.0%</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126.6%</w:t>
            </w:r>
          </w:p>
        </w:tc>
        <w:tc>
          <w:tcPr>
            <w:tcW w:w="1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Reserves for loan losses as a percentage of total loans</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560" w:type="dxa"/>
            <w:vAlign w:val="bottom"/>
            <w:tcBorders>
              <w:bottom w:val="single" w:sz="8" w:color="auto"/>
            </w:tcBorders>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8"/>
              </w:rPr>
              <w:t>Operating efficiency</w:t>
            </w:r>
          </w:p>
        </w:tc>
        <w:tc>
          <w:tcPr>
            <w:tcW w:w="3540" w:type="dxa"/>
            <w:vAlign w:val="bottom"/>
            <w:tcBorders>
              <w:bottom w:val="single" w:sz="8" w:color="CCEEFF"/>
            </w:tcBorders>
            <w:gridSpan w:val="2"/>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100" w:type="dxa"/>
            <w:vAlign w:val="bottom"/>
            <w:gridSpan w:val="5"/>
          </w:tcPr>
          <w:p>
            <w:pPr>
              <w:spacing w:after="0" w:line="256" w:lineRule="exact"/>
              <w:rPr>
                <w:sz w:val="20"/>
                <w:szCs w:val="20"/>
                <w:color w:val="auto"/>
              </w:rPr>
            </w:pPr>
            <w:r>
              <w:rPr>
                <w:rFonts w:ascii="Arial" w:cs="Arial" w:eastAsia="Arial" w:hAnsi="Arial"/>
                <w:sz w:val="18"/>
                <w:szCs w:val="18"/>
                <w:color w:val="auto"/>
              </w:rPr>
              <w:t xml:space="preserve">Oper. expenses as a percent. of total income - reported </w:t>
            </w:r>
            <w:r>
              <w:rPr>
                <w:rFonts w:ascii="Arial" w:cs="Arial" w:eastAsia="Arial" w:hAnsi="Arial"/>
                <w:sz w:val="29"/>
                <w:szCs w:val="29"/>
                <w:color w:val="auto"/>
                <w:vertAlign w:val="superscript"/>
              </w:rPr>
              <w:t>(4)</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48.5%</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42.0%</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43.0%</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46.7%</w:t>
            </w:r>
          </w:p>
        </w:tc>
        <w:tc>
          <w:tcPr>
            <w:tcW w:w="160" w:type="dxa"/>
            <w:vAlign w:val="bottom"/>
          </w:tcPr>
          <w:p>
            <w:pPr>
              <w:spacing w:after="0"/>
              <w:rPr>
                <w:sz w:val="22"/>
                <w:szCs w:val="22"/>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00" w:type="dxa"/>
            <w:vAlign w:val="bottom"/>
            <w:gridSpan w:val="5"/>
            <w:shd w:val="clear" w:color="auto" w:fill="CCEEFF"/>
          </w:tcPr>
          <w:p>
            <w:pPr>
              <w:spacing w:after="0" w:line="201" w:lineRule="exact"/>
              <w:rPr>
                <w:sz w:val="20"/>
                <w:szCs w:val="20"/>
                <w:color w:val="auto"/>
              </w:rPr>
            </w:pPr>
            <w:r>
              <w:rPr>
                <w:rFonts w:ascii="Arial" w:cs="Arial" w:eastAsia="Arial" w:hAnsi="Arial"/>
                <w:sz w:val="18"/>
                <w:szCs w:val="18"/>
                <w:color w:val="auto"/>
                <w:w w:val="98"/>
              </w:rPr>
              <w:t>Oper. expenses as a percent. of total income - including all other</w:t>
            </w: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items</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49.4%</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38.0%</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45.9%</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47.7%</w:t>
            </w:r>
          </w:p>
        </w:tc>
        <w:tc>
          <w:tcPr>
            <w:tcW w:w="1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100" w:type="dxa"/>
            <w:vAlign w:val="bottom"/>
            <w:gridSpan w:val="5"/>
          </w:tcPr>
          <w:p>
            <w:pPr>
              <w:spacing w:after="0" w:line="256" w:lineRule="exact"/>
              <w:rPr>
                <w:sz w:val="20"/>
                <w:szCs w:val="20"/>
                <w:color w:val="auto"/>
              </w:rPr>
            </w:pPr>
            <w:r>
              <w:rPr>
                <w:rFonts w:ascii="Arial" w:cs="Arial" w:eastAsia="Arial" w:hAnsi="Arial"/>
                <w:sz w:val="18"/>
                <w:szCs w:val="18"/>
                <w:color w:val="auto"/>
              </w:rPr>
              <w:t xml:space="preserve">Oper. expenses as a percent. of av. tot. sssets </w:t>
            </w:r>
            <w:r>
              <w:rPr>
                <w:rFonts w:ascii="Arial" w:cs="Arial" w:eastAsia="Arial" w:hAnsi="Arial"/>
                <w:sz w:val="29"/>
                <w:szCs w:val="29"/>
                <w:color w:val="auto"/>
                <w:vertAlign w:val="superscript"/>
              </w:rPr>
              <w:t>(2)(3)(4)</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3.8%</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3.4%</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3.3%</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22"/>
                <w:szCs w:val="22"/>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100" w:type="dxa"/>
            <w:vAlign w:val="bottom"/>
            <w:gridSpan w:val="5"/>
          </w:tcPr>
          <w:p>
            <w:pPr>
              <w:spacing w:after="0" w:line="176" w:lineRule="exact"/>
              <w:rPr>
                <w:sz w:val="20"/>
                <w:szCs w:val="20"/>
                <w:color w:val="auto"/>
              </w:rPr>
            </w:pPr>
            <w:r>
              <w:rPr>
                <w:rFonts w:ascii="Arial" w:cs="Arial" w:eastAsia="Arial" w:hAnsi="Arial"/>
                <w:sz w:val="18"/>
                <w:szCs w:val="18"/>
                <w:b w:val="1"/>
                <w:bCs w:val="1"/>
                <w:color w:val="auto"/>
              </w:rPr>
              <w:t>Capital adequacy</w:t>
            </w: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Total regulatory capital (S/. Million)</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11,472</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13,253</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13,354</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11,472</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5"/>
          </w:tcPr>
          <w:p>
            <w:pPr>
              <w:spacing w:after="0"/>
              <w:rPr>
                <w:sz w:val="20"/>
                <w:szCs w:val="20"/>
                <w:color w:val="auto"/>
              </w:rPr>
            </w:pPr>
            <w:r>
              <w:rPr>
                <w:rFonts w:ascii="Arial" w:cs="Arial" w:eastAsia="Arial" w:hAnsi="Arial"/>
                <w:sz w:val="18"/>
                <w:szCs w:val="18"/>
                <w:color w:val="auto"/>
              </w:rPr>
              <w:t>Tier 1 capital (S/. Million)</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7,648</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8,884</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8,936</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7,648</w:t>
            </w: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8,936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Common equity tier I ratio</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00" w:type="dxa"/>
            <w:vAlign w:val="bottom"/>
            <w:gridSpan w:val="5"/>
          </w:tcPr>
          <w:p>
            <w:pPr>
              <w:spacing w:after="0"/>
              <w:rPr>
                <w:sz w:val="20"/>
                <w:szCs w:val="20"/>
                <w:color w:val="auto"/>
              </w:rPr>
            </w:pPr>
            <w:r>
              <w:rPr>
                <w:rFonts w:ascii="Arial" w:cs="Arial" w:eastAsia="Arial" w:hAnsi="Arial"/>
                <w:sz w:val="18"/>
                <w:szCs w:val="18"/>
                <w:color w:val="auto"/>
              </w:rPr>
              <w:t>BIS ratio</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14.6%</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14.5%</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14.4%</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14.6%</w:t>
            </w:r>
          </w:p>
        </w:tc>
        <w:tc>
          <w:tcPr>
            <w:tcW w:w="1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bl>
    <w:p>
      <w:pPr>
        <w:ind w:left="260" w:hanging="252"/>
        <w:spacing w:after="0"/>
        <w:tabs>
          <w:tab w:leader="none" w:pos="2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Shares outstanding of 5,854.05 million is used for all periods since shares have been issued only for capitalization of profits.</w:t>
      </w:r>
    </w:p>
    <w:p>
      <w:pPr>
        <w:spacing w:after="0" w:line="7" w:lineRule="exact"/>
        <w:rPr>
          <w:rFonts w:ascii="Arial" w:cs="Arial" w:eastAsia="Arial" w:hAnsi="Arial"/>
          <w:sz w:val="18"/>
          <w:szCs w:val="18"/>
          <w:color w:val="auto"/>
        </w:rPr>
      </w:pPr>
    </w:p>
    <w:p>
      <w:pPr>
        <w:ind w:left="260" w:hanging="252"/>
        <w:spacing w:after="0"/>
        <w:tabs>
          <w:tab w:leader="none" w:pos="2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Ratios are annualized.</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Averages are determined as the average of period-beginning and period-ending balances.</w:t>
      </w:r>
    </w:p>
    <w:p>
      <w:pPr>
        <w:spacing w:after="0" w:line="9" w:lineRule="exact"/>
        <w:rPr>
          <w:rFonts w:ascii="Arial" w:cs="Arial" w:eastAsia="Arial" w:hAnsi="Arial"/>
          <w:sz w:val="18"/>
          <w:szCs w:val="18"/>
          <w:color w:val="auto"/>
        </w:rPr>
      </w:pPr>
    </w:p>
    <w:p>
      <w:pPr>
        <w:ind w:firstLine="8"/>
        <w:spacing w:after="0" w:line="250" w:lineRule="auto"/>
        <w:tabs>
          <w:tab w:leader="none" w:pos="269" w:val="left"/>
        </w:tabs>
        <w:numPr>
          <w:ilvl w:val="0"/>
          <w:numId w:val="63"/>
        </w:numPr>
        <w:rPr>
          <w:rFonts w:ascii="Arial" w:cs="Arial" w:eastAsia="Arial" w:hAnsi="Arial"/>
          <w:sz w:val="18"/>
          <w:szCs w:val="18"/>
          <w:color w:val="auto"/>
        </w:rPr>
      </w:pPr>
      <w:r>
        <w:rPr>
          <w:rFonts w:ascii="Arial" w:cs="Arial" w:eastAsia="Arial" w:hAnsi="Arial"/>
          <w:sz w:val="18"/>
          <w:szCs w:val="18"/>
          <w:color w:val="auto"/>
        </w:rPr>
        <w:t>Total income includes net interest income, fee income and net gain on foreign exchange transactions. Operating expenses includes personnel expenses, administrative expenses and depreciation and amortization.</w:t>
      </w:r>
    </w:p>
    <w:p>
      <w:pPr>
        <w:ind w:left="260" w:hanging="252"/>
        <w:spacing w:after="0"/>
        <w:tabs>
          <w:tab w:leader="none" w:pos="2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Regulatory capital/ risk-weighted assets. Risk weighted assets include market risk and operational risk.</w:t>
      </w: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34"/>
        </w:trPr>
        <w:tc>
          <w:tcPr>
            <w:tcW w:w="620" w:type="dxa"/>
            <w:vAlign w:val="bottom"/>
            <w:gridSpan w:val="2"/>
          </w:tcPr>
          <w:p>
            <w:pPr>
              <w:spacing w:after="0"/>
              <w:rPr>
                <w:sz w:val="20"/>
                <w:szCs w:val="20"/>
                <w:color w:val="auto"/>
              </w:rPr>
            </w:pPr>
            <w:r>
              <w:rPr>
                <w:rFonts w:ascii="Arial" w:cs="Arial" w:eastAsia="Arial" w:hAnsi="Arial"/>
                <w:sz w:val="18"/>
                <w:szCs w:val="18"/>
                <w:b w:val="1"/>
                <w:bCs w:val="1"/>
                <w:color w:val="auto"/>
              </w:rPr>
              <w:t>11.2</w:t>
            </w:r>
          </w:p>
        </w:tc>
        <w:tc>
          <w:tcPr>
            <w:tcW w:w="6340" w:type="dxa"/>
            <w:vAlign w:val="bottom"/>
          </w:tcPr>
          <w:p>
            <w:pPr>
              <w:ind w:left="40"/>
              <w:spacing w:after="0"/>
              <w:rPr>
                <w:sz w:val="20"/>
                <w:szCs w:val="20"/>
                <w:color w:val="auto"/>
              </w:rPr>
            </w:pPr>
            <w:r>
              <w:rPr>
                <w:rFonts w:ascii="Arial" w:cs="Arial" w:eastAsia="Arial" w:hAnsi="Arial"/>
                <w:sz w:val="18"/>
                <w:szCs w:val="18"/>
                <w:b w:val="1"/>
                <w:bCs w:val="1"/>
                <w:color w:val="auto"/>
              </w:rPr>
              <w:t>Mibanco</w:t>
            </w: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340" w:type="dxa"/>
            <w:vAlign w:val="bottom"/>
          </w:tcPr>
          <w:p>
            <w:pPr>
              <w:jc w:val="center"/>
              <w:ind w:left="3750"/>
              <w:spacing w:after="0"/>
              <w:rPr>
                <w:sz w:val="20"/>
                <w:szCs w:val="20"/>
                <w:color w:val="auto"/>
              </w:rPr>
            </w:pPr>
            <w:r>
              <w:rPr>
                <w:rFonts w:ascii="Arial" w:cs="Arial" w:eastAsia="Arial" w:hAnsi="Arial"/>
                <w:sz w:val="18"/>
                <w:szCs w:val="18"/>
                <w:b w:val="1"/>
                <w:bCs w:val="1"/>
                <w:color w:val="auto"/>
              </w:rPr>
              <w:t>MIBANCO</w:t>
            </w: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340" w:type="dxa"/>
            <w:vAlign w:val="bottom"/>
          </w:tcPr>
          <w:p>
            <w:pPr>
              <w:jc w:val="center"/>
              <w:ind w:left="3750"/>
              <w:spacing w:after="0"/>
              <w:rPr>
                <w:sz w:val="20"/>
                <w:szCs w:val="20"/>
                <w:color w:val="auto"/>
              </w:rPr>
            </w:pPr>
            <w:r>
              <w:rPr>
                <w:rFonts w:ascii="Arial" w:cs="Arial" w:eastAsia="Arial" w:hAnsi="Arial"/>
                <w:sz w:val="18"/>
                <w:szCs w:val="18"/>
                <w:b w:val="1"/>
                <w:bCs w:val="1"/>
                <w:color w:val="auto"/>
                <w:w w:val="91"/>
              </w:rPr>
              <w:t>(In S/. thousands, IFRS )</w:t>
            </w: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1820" w:type="dxa"/>
            <w:vAlign w:val="bottom"/>
            <w:gridSpan w:val="3"/>
          </w:tcPr>
          <w:p>
            <w:pPr>
              <w:ind w:left="1060"/>
              <w:spacing w:after="0"/>
              <w:rPr>
                <w:sz w:val="20"/>
                <w:szCs w:val="20"/>
                <w:color w:val="auto"/>
              </w:rPr>
            </w:pPr>
            <w:r>
              <w:rPr>
                <w:rFonts w:ascii="Arial" w:cs="Arial" w:eastAsia="Arial" w:hAnsi="Arial"/>
                <w:sz w:val="18"/>
                <w:szCs w:val="18"/>
                <w:b w:val="1"/>
                <w:bCs w:val="1"/>
                <w:color w:val="auto"/>
              </w:rPr>
              <w:t>Quarter</w:t>
            </w: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340" w:type="dxa"/>
            <w:vAlign w:val="bottom"/>
          </w:tcPr>
          <w:p>
            <w:pPr>
              <w:spacing w:after="0"/>
              <w:rPr>
                <w:sz w:val="20"/>
                <w:szCs w:val="20"/>
                <w:color w:val="auto"/>
              </w:rPr>
            </w:pPr>
          </w:p>
        </w:tc>
        <w:tc>
          <w:tcPr>
            <w:tcW w:w="1820" w:type="dxa"/>
            <w:vAlign w:val="bottom"/>
            <w:gridSpan w:val="3"/>
          </w:tcPr>
          <w:p>
            <w:pPr>
              <w:ind w:left="420"/>
              <w:spacing w:after="0"/>
              <w:rPr>
                <w:sz w:val="20"/>
                <w:szCs w:val="20"/>
                <w:color w:val="auto"/>
              </w:rPr>
            </w:pPr>
            <w:r>
              <w:rPr>
                <w:rFonts w:ascii="Arial" w:cs="Arial" w:eastAsia="Arial" w:hAnsi="Arial"/>
                <w:sz w:val="18"/>
                <w:szCs w:val="18"/>
                <w:b w:val="1"/>
                <w:bCs w:val="1"/>
                <w:color w:val="auto"/>
              </w:rPr>
              <w:t>1Q15</w:t>
            </w:r>
          </w:p>
        </w:tc>
        <w:tc>
          <w:tcPr>
            <w:tcW w:w="120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2Q15</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QoQ</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340" w:type="dxa"/>
            <w:vAlign w:val="bottom"/>
            <w:shd w:val="clear" w:color="auto" w:fill="CCEEFF"/>
          </w:tcPr>
          <w:p>
            <w:pPr>
              <w:jc w:val="center"/>
              <w:ind w:right="630"/>
              <w:spacing w:after="0"/>
              <w:rPr>
                <w:sz w:val="20"/>
                <w:szCs w:val="20"/>
                <w:color w:val="auto"/>
              </w:rPr>
            </w:pPr>
            <w:r>
              <w:rPr>
                <w:rFonts w:ascii="Arial" w:cs="Arial" w:eastAsia="Arial" w:hAnsi="Arial"/>
                <w:sz w:val="18"/>
                <w:szCs w:val="18"/>
                <w:b w:val="1"/>
                <w:bCs w:val="1"/>
                <w:color w:val="auto"/>
                <w:w w:val="91"/>
              </w:rPr>
              <w:t>ASSETS</w:t>
            </w: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Cash and due from banks</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1,266,468</w:t>
            </w:r>
          </w:p>
        </w:tc>
        <w:tc>
          <w:tcPr>
            <w:tcW w:w="30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1,271,286</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available for sale and trading securities</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1,442,203</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1,408,921</w:t>
            </w: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8"/>
                <w:szCs w:val="18"/>
                <w:b w:val="1"/>
                <w:bCs w:val="1"/>
                <w:color w:val="auto"/>
              </w:rPr>
              <w:t>Total loans</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7,481,224</w:t>
            </w:r>
          </w:p>
        </w:tc>
        <w:tc>
          <w:tcPr>
            <w:tcW w:w="30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7,525,329</w:t>
            </w:r>
          </w:p>
        </w:tc>
        <w:tc>
          <w:tcPr>
            <w:tcW w:w="1440" w:type="dxa"/>
            <w:vAlign w:val="bottom"/>
            <w:gridSpan w:val="2"/>
          </w:tcPr>
          <w:p>
            <w:pPr>
              <w:jc w:val="right"/>
              <w:spacing w:after="0"/>
              <w:rPr>
                <w:sz w:val="20"/>
                <w:szCs w:val="20"/>
                <w:color w:val="auto"/>
              </w:rPr>
            </w:pPr>
            <w:r>
              <w:rPr>
                <w:rFonts w:ascii="Arial" w:cs="Arial" w:eastAsia="Arial" w:hAnsi="Arial"/>
                <w:sz w:val="18"/>
                <w:szCs w:val="18"/>
                <w:b w:val="1"/>
                <w:bCs w:val="1"/>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Current</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6,957,712</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6,969,787</w:t>
            </w: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tcPr>
          <w:p>
            <w:pPr>
              <w:ind w:left="160"/>
              <w:spacing w:after="0"/>
              <w:rPr>
                <w:sz w:val="20"/>
                <w:szCs w:val="20"/>
                <w:color w:val="auto"/>
              </w:rPr>
            </w:pPr>
            <w:r>
              <w:rPr>
                <w:rFonts w:ascii="Arial" w:cs="Arial" w:eastAsia="Arial" w:hAnsi="Arial"/>
                <w:sz w:val="18"/>
                <w:szCs w:val="18"/>
                <w:color w:val="auto"/>
              </w:rPr>
              <w:t>Past-due</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448,953</w:t>
            </w:r>
          </w:p>
        </w:tc>
        <w:tc>
          <w:tcPr>
            <w:tcW w:w="30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489,135</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Refinanced</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74,560</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66,407</w:t>
            </w: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tcPr>
          <w:p>
            <w:pPr>
              <w:ind w:left="160"/>
              <w:spacing w:after="0"/>
              <w:rPr>
                <w:sz w:val="20"/>
                <w:szCs w:val="20"/>
                <w:color w:val="auto"/>
              </w:rPr>
            </w:pPr>
            <w:r>
              <w:rPr>
                <w:rFonts w:ascii="Arial" w:cs="Arial" w:eastAsia="Arial" w:hAnsi="Arial"/>
                <w:sz w:val="18"/>
                <w:szCs w:val="18"/>
                <w:color w:val="auto"/>
              </w:rPr>
              <w:t>Net provisions for loan losses</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(807,722)</w:t>
            </w:r>
          </w:p>
        </w:tc>
        <w:tc>
          <w:tcPr>
            <w:tcW w:w="3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(820,673)</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loans</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6,673,502</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6,704,656</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244,480</w:t>
            </w:r>
          </w:p>
        </w:tc>
        <w:tc>
          <w:tcPr>
            <w:tcW w:w="30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238,194</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698,682</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640,535</w:t>
            </w: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340" w:type="dxa"/>
            <w:vAlign w:val="bottom"/>
          </w:tcPr>
          <w:p>
            <w:pPr>
              <w:jc w:val="center"/>
              <w:ind w:right="610"/>
              <w:spacing w:after="0"/>
              <w:rPr>
                <w:sz w:val="20"/>
                <w:szCs w:val="20"/>
                <w:color w:val="auto"/>
              </w:rPr>
            </w:pPr>
            <w:r>
              <w:rPr>
                <w:rFonts w:ascii="Arial" w:cs="Arial" w:eastAsia="Arial" w:hAnsi="Arial"/>
                <w:sz w:val="18"/>
                <w:szCs w:val="18"/>
                <w:b w:val="1"/>
                <w:bCs w:val="1"/>
                <w:color w:val="auto"/>
                <w:w w:val="84"/>
              </w:rPr>
              <w:t>Total assets</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10,325,335</w:t>
            </w:r>
          </w:p>
        </w:tc>
        <w:tc>
          <w:tcPr>
            <w:tcW w:w="30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10,263,592</w:t>
            </w:r>
          </w:p>
        </w:tc>
        <w:tc>
          <w:tcPr>
            <w:tcW w:w="1440" w:type="dxa"/>
            <w:vAlign w:val="bottom"/>
            <w:gridSpan w:val="2"/>
          </w:tcPr>
          <w:p>
            <w:pPr>
              <w:jc w:val="right"/>
              <w:spacing w:after="0"/>
              <w:rPr>
                <w:sz w:val="20"/>
                <w:szCs w:val="20"/>
                <w:color w:val="auto"/>
              </w:rPr>
            </w:pPr>
            <w:r>
              <w:rPr>
                <w:rFonts w:ascii="Arial" w:cs="Arial" w:eastAsia="Arial" w:hAnsi="Arial"/>
                <w:sz w:val="18"/>
                <w:szCs w:val="18"/>
                <w:b w:val="1"/>
                <w:bCs w:val="1"/>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340" w:type="dxa"/>
            <w:vAlign w:val="bottom"/>
          </w:tcPr>
          <w:p>
            <w:pPr>
              <w:jc w:val="center"/>
              <w:ind w:right="610"/>
              <w:spacing w:after="0"/>
              <w:rPr>
                <w:sz w:val="20"/>
                <w:szCs w:val="20"/>
                <w:color w:val="auto"/>
              </w:rPr>
            </w:pPr>
            <w:r>
              <w:rPr>
                <w:rFonts w:ascii="Arial" w:cs="Arial" w:eastAsia="Arial" w:hAnsi="Arial"/>
                <w:sz w:val="18"/>
                <w:szCs w:val="18"/>
                <w:b w:val="1"/>
                <w:bCs w:val="1"/>
                <w:color w:val="auto"/>
              </w:rPr>
              <w:t>LIABILITIES AND NET SHAREHOLDERS’ EQUITY</w:t>
            </w: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Deposits and obligations</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5,198,017</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4,997,266</w:t>
            </w: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Due to banks and correspondents</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2,790,691</w:t>
            </w:r>
          </w:p>
        </w:tc>
        <w:tc>
          <w:tcPr>
            <w:tcW w:w="30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3,072,494</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Bonds ans subordinated debt</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743,046</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652,047</w:t>
            </w: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421,980</w:t>
            </w:r>
          </w:p>
        </w:tc>
        <w:tc>
          <w:tcPr>
            <w:tcW w:w="30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323,894</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340" w:type="dxa"/>
            <w:vAlign w:val="bottom"/>
            <w:shd w:val="clear" w:color="auto" w:fill="CCEEFF"/>
          </w:tcPr>
          <w:p>
            <w:pPr>
              <w:jc w:val="center"/>
              <w:ind w:right="630"/>
              <w:spacing w:after="0"/>
              <w:rPr>
                <w:sz w:val="20"/>
                <w:szCs w:val="20"/>
                <w:color w:val="auto"/>
              </w:rPr>
            </w:pPr>
            <w:r>
              <w:rPr>
                <w:rFonts w:ascii="Arial" w:cs="Arial" w:eastAsia="Arial" w:hAnsi="Arial"/>
                <w:sz w:val="18"/>
                <w:szCs w:val="18"/>
                <w:b w:val="1"/>
                <w:bCs w:val="1"/>
                <w:color w:val="auto"/>
                <w:w w:val="91"/>
              </w:rPr>
              <w:t>Total liabilities</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9,153,733</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9,045,702</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40" w:type="dxa"/>
            <w:vAlign w:val="bottom"/>
            <w:gridSpan w:val="2"/>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shareholders’ equity</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1,171,602</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1,217,890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340" w:type="dxa"/>
            <w:vAlign w:val="bottom"/>
            <w:shd w:val="clear" w:color="auto" w:fill="CCEEFF"/>
          </w:tcPr>
          <w:p>
            <w:pPr>
              <w:jc w:val="center"/>
              <w:ind w:right="610"/>
              <w:spacing w:after="0"/>
              <w:rPr>
                <w:sz w:val="20"/>
                <w:szCs w:val="20"/>
                <w:color w:val="auto"/>
              </w:rPr>
            </w:pPr>
            <w:r>
              <w:rPr>
                <w:rFonts w:ascii="Arial" w:cs="Arial" w:eastAsia="Arial" w:hAnsi="Arial"/>
                <w:sz w:val="18"/>
                <w:szCs w:val="18"/>
                <w:b w:val="1"/>
                <w:bCs w:val="1"/>
                <w:color w:val="auto"/>
                <w:w w:val="89"/>
              </w:rPr>
              <w:t>Total liabilities and net shareholders’ equity</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10,325,335</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10,263,592</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40" w:type="dxa"/>
            <w:vAlign w:val="bottom"/>
            <w:gridSpan w:val="2"/>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financial income</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354,546</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354,284</w:t>
            </w: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Total provisions for loan loasses</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(86,533)</w:t>
            </w:r>
          </w:p>
        </w:tc>
        <w:tc>
          <w:tcPr>
            <w:tcW w:w="3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(91,722)</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 financial income</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27,221</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9,294</w:t>
            </w: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(234,258)</w:t>
            </w:r>
          </w:p>
        </w:tc>
        <w:tc>
          <w:tcPr>
            <w:tcW w:w="3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(209,242)</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60,977</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62,613</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Translation results</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(2,948)</w:t>
            </w:r>
          </w:p>
        </w:tc>
        <w:tc>
          <w:tcPr>
            <w:tcW w:w="3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(492)</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(16,493)</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(12,849)</w:t>
            </w: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41,535</w:t>
            </w:r>
          </w:p>
        </w:tc>
        <w:tc>
          <w:tcPr>
            <w:tcW w:w="30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49,272</w:t>
            </w:r>
          </w:p>
        </w:tc>
        <w:tc>
          <w:tcPr>
            <w:tcW w:w="1440" w:type="dxa"/>
            <w:vAlign w:val="bottom"/>
            <w:gridSpan w:val="2"/>
          </w:tcPr>
          <w:p>
            <w:pPr>
              <w:jc w:val="right"/>
              <w:spacing w:after="0"/>
              <w:rPr>
                <w:sz w:val="20"/>
                <w:szCs w:val="20"/>
                <w:color w:val="auto"/>
              </w:rPr>
            </w:pPr>
            <w:r>
              <w:rPr>
                <w:rFonts w:ascii="Arial" w:cs="Arial" w:eastAsia="Arial" w:hAnsi="Arial"/>
                <w:sz w:val="18"/>
                <w:szCs w:val="18"/>
                <w:b w:val="1"/>
                <w:bCs w:val="1"/>
                <w:color w:val="auto"/>
              </w:rPr>
              <w:t>18.6%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40" w:type="dxa"/>
            <w:vAlign w:val="bottom"/>
            <w:gridSpan w:val="2"/>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L/D ratio</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143.9%</w:t>
            </w:r>
          </w:p>
        </w:tc>
        <w:tc>
          <w:tcPr>
            <w:tcW w:w="3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150.6%</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PDL ratio</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NPL ratio</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7.0%</w:t>
            </w:r>
          </w:p>
        </w:tc>
        <w:tc>
          <w:tcPr>
            <w:tcW w:w="3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7.4%</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Coverage of PDLs</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179.9%</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167.8%</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w w:val="99"/>
              </w:rPr>
              <w:t>ROAE*</w:t>
            </w:r>
          </w:p>
        </w:tc>
        <w:tc>
          <w:tcPr>
            <w:tcW w:w="634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14.4%</w:t>
            </w:r>
          </w:p>
        </w:tc>
        <w:tc>
          <w:tcPr>
            <w:tcW w:w="3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16.5%</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Efficiency ratio</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61.7%</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56.1%</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Branches</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327</w:t>
            </w:r>
          </w:p>
        </w:tc>
        <w:tc>
          <w:tcPr>
            <w:tcW w:w="30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326</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Employees</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9,379</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9,925</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75"/>
        </w:trPr>
        <w:tc>
          <w:tcPr>
            <w:tcW w:w="2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22"/>
                <w:szCs w:val="22"/>
                <w:color w:val="auto"/>
              </w:rPr>
              <w:t>51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-1671955</wp:posOffset>
            </wp:positionV>
            <wp:extent cx="977900" cy="1371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977900" cy="137160"/>
                    </a:xfrm>
                    <a:prstGeom prst="rect">
                      <a:avLst/>
                    </a:prstGeom>
                    <a:noFill/>
                  </pic:spPr>
                </pic:pic>
              </a:graphicData>
            </a:graphic>
          </wp:anchor>
        </w:drawing>
        <w:drawing>
          <wp:anchor simplePos="0" relativeHeight="251657728" behindDoc="1" locked="0" layoutInCell="0" allowOverlap="1">
            <wp:simplePos x="0" y="0"/>
            <wp:positionH relativeFrom="column">
              <wp:posOffset>6273800</wp:posOffset>
            </wp:positionH>
            <wp:positionV relativeFrom="paragraph">
              <wp:posOffset>-1397000</wp:posOffset>
            </wp:positionV>
            <wp:extent cx="977900" cy="1371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977900" cy="137160"/>
                    </a:xfrm>
                    <a:prstGeom prst="rect">
                      <a:avLst/>
                    </a:prstGeom>
                    <a:noFill/>
                  </pic:spPr>
                </pic:pic>
              </a:graphicData>
            </a:graphic>
          </wp:anchor>
        </w:drawing>
        <w:drawing>
          <wp:anchor simplePos="0" relativeHeight="251657728" behindDoc="1" locked="0" layoutInCell="0" allowOverlap="1">
            <wp:simplePos x="0" y="0"/>
            <wp:positionH relativeFrom="column">
              <wp:posOffset>6273800</wp:posOffset>
            </wp:positionH>
            <wp:positionV relativeFrom="paragraph">
              <wp:posOffset>-1122680</wp:posOffset>
            </wp:positionV>
            <wp:extent cx="977900" cy="1371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977900" cy="137160"/>
                    </a:xfrm>
                    <a:prstGeom prst="rect">
                      <a:avLst/>
                    </a:prstGeom>
                    <a:noFill/>
                  </pic:spPr>
                </pic:pic>
              </a:graphicData>
            </a:graphic>
          </wp:anchor>
        </w:drawing>
        <w:drawing>
          <wp:anchor simplePos="0" relativeHeight="251657728" behindDoc="1" locked="0" layoutInCell="0" allowOverlap="1">
            <wp:simplePos x="0" y="0"/>
            <wp:positionH relativeFrom="column">
              <wp:posOffset>6273800</wp:posOffset>
            </wp:positionH>
            <wp:positionV relativeFrom="paragraph">
              <wp:posOffset>-848360</wp:posOffset>
            </wp:positionV>
            <wp:extent cx="977900" cy="1371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977900" cy="137160"/>
                    </a:xfrm>
                    <a:prstGeom prst="rect">
                      <a:avLst/>
                    </a:prstGeom>
                    <a:noFill/>
                  </pic:spPr>
                </pic:pic>
              </a:graphicData>
            </a:graphic>
          </wp:anchor>
        </w:drawing>
        <w:drawing>
          <wp:anchor simplePos="0" relativeHeight="251657728" behindDoc="1" locked="0" layoutInCell="0" allowOverlap="1">
            <wp:simplePos x="0" y="0"/>
            <wp:positionH relativeFrom="column">
              <wp:posOffset>6273800</wp:posOffset>
            </wp:positionH>
            <wp:positionV relativeFrom="paragraph">
              <wp:posOffset>-574040</wp:posOffset>
            </wp:positionV>
            <wp:extent cx="977900" cy="1371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977900" cy="13716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34"/>
        </w:trPr>
        <w:tc>
          <w:tcPr>
            <w:tcW w:w="620" w:type="dxa"/>
            <w:vAlign w:val="bottom"/>
            <w:gridSpan w:val="2"/>
          </w:tcPr>
          <w:p>
            <w:pPr>
              <w:spacing w:after="0"/>
              <w:rPr>
                <w:sz w:val="20"/>
                <w:szCs w:val="20"/>
                <w:color w:val="auto"/>
              </w:rPr>
            </w:pPr>
            <w:r>
              <w:rPr>
                <w:rFonts w:ascii="Arial" w:cs="Arial" w:eastAsia="Arial" w:hAnsi="Arial"/>
                <w:sz w:val="18"/>
                <w:szCs w:val="18"/>
                <w:b w:val="1"/>
                <w:bCs w:val="1"/>
                <w:color w:val="auto"/>
              </w:rPr>
              <w:t>11.3</w:t>
            </w:r>
          </w:p>
        </w:tc>
        <w:tc>
          <w:tcPr>
            <w:tcW w:w="4100" w:type="dxa"/>
            <w:vAlign w:val="bottom"/>
          </w:tcPr>
          <w:p>
            <w:pPr>
              <w:ind w:left="40"/>
              <w:spacing w:after="0"/>
              <w:rPr>
                <w:sz w:val="20"/>
                <w:szCs w:val="20"/>
                <w:color w:val="auto"/>
              </w:rPr>
            </w:pPr>
            <w:r>
              <w:rPr>
                <w:rFonts w:ascii="Arial" w:cs="Arial" w:eastAsia="Arial" w:hAnsi="Arial"/>
                <w:sz w:val="18"/>
                <w:szCs w:val="18"/>
                <w:b w:val="1"/>
                <w:bCs w:val="1"/>
                <w:color w:val="auto"/>
              </w:rPr>
              <w:t>BCP Bolivia</w:t>
            </w: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BCP BOLIVIA</w:t>
            </w: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2920" w:type="dxa"/>
            <w:vAlign w:val="bottom"/>
            <w:gridSpan w:val="5"/>
          </w:tcPr>
          <w:p>
            <w:pPr>
              <w:jc w:val="right"/>
              <w:ind w:right="980"/>
              <w:spacing w:after="0"/>
              <w:rPr>
                <w:sz w:val="20"/>
                <w:szCs w:val="20"/>
                <w:color w:val="auto"/>
              </w:rPr>
            </w:pPr>
            <w:r>
              <w:rPr>
                <w:rFonts w:ascii="Arial" w:cs="Arial" w:eastAsia="Arial" w:hAnsi="Arial"/>
                <w:sz w:val="18"/>
                <w:szCs w:val="18"/>
                <w:b w:val="1"/>
                <w:bCs w:val="1"/>
                <w:color w:val="auto"/>
                <w:w w:val="95"/>
              </w:rPr>
              <w:t>(In S/. thousands, IFRS)</w:t>
            </w: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Quarter</w:t>
            </w: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0" w:type="dxa"/>
            <w:vAlign w:val="bottom"/>
            <w:gridSpan w:val="3"/>
          </w:tcPr>
          <w:p>
            <w:pPr>
              <w:ind w:left="740"/>
              <w:spacing w:after="0"/>
              <w:rPr>
                <w:sz w:val="20"/>
                <w:szCs w:val="20"/>
                <w:color w:val="auto"/>
              </w:rPr>
            </w:pPr>
            <w:r>
              <w:rPr>
                <w:rFonts w:ascii="Arial" w:cs="Arial" w:eastAsia="Arial" w:hAnsi="Arial"/>
                <w:sz w:val="18"/>
                <w:szCs w:val="18"/>
                <w:b w:val="1"/>
                <w:bCs w:val="1"/>
                <w:color w:val="auto"/>
                <w:w w:val="96"/>
              </w:rPr>
              <w:t>% Change</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2Q14</w:t>
            </w:r>
          </w:p>
        </w:tc>
        <w:tc>
          <w:tcPr>
            <w:tcW w:w="12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1Q15</w:t>
            </w:r>
          </w:p>
        </w:tc>
        <w:tc>
          <w:tcPr>
            <w:tcW w:w="12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2Q15</w:t>
            </w:r>
          </w:p>
        </w:tc>
        <w:tc>
          <w:tcPr>
            <w:tcW w:w="1600" w:type="dxa"/>
            <w:vAlign w:val="bottom"/>
            <w:gridSpan w:val="3"/>
          </w:tcPr>
          <w:p>
            <w:pPr>
              <w:ind w:left="320"/>
              <w:spacing w:after="0"/>
              <w:rPr>
                <w:sz w:val="20"/>
                <w:szCs w:val="20"/>
                <w:color w:val="auto"/>
              </w:rPr>
            </w:pPr>
            <w:r>
              <w:rPr>
                <w:rFonts w:ascii="Arial" w:cs="Arial" w:eastAsia="Arial" w:hAnsi="Arial"/>
                <w:sz w:val="18"/>
                <w:szCs w:val="18"/>
                <w:b w:val="1"/>
                <w:bCs w:val="1"/>
                <w:color w:val="auto"/>
              </w:rPr>
              <w:t>QoQ</w:t>
            </w:r>
          </w:p>
        </w:tc>
        <w:tc>
          <w:tcPr>
            <w:tcW w:w="9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6"/>
              </w:rPr>
              <w:t>YoY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4100" w:type="dxa"/>
            <w:vAlign w:val="bottom"/>
            <w:tcBorders>
              <w:top w:val="single" w:sz="8" w:color="CCEEFF"/>
            </w:tcBorders>
            <w:shd w:val="clear" w:color="auto" w:fill="CCEEFF"/>
          </w:tcPr>
          <w:p>
            <w:pPr>
              <w:jc w:val="center"/>
              <w:ind w:right="270"/>
              <w:spacing w:after="0"/>
              <w:rPr>
                <w:sz w:val="20"/>
                <w:szCs w:val="20"/>
                <w:color w:val="auto"/>
              </w:rPr>
            </w:pPr>
            <w:r>
              <w:rPr>
                <w:rFonts w:ascii="Arial" w:cs="Arial" w:eastAsia="Arial" w:hAnsi="Arial"/>
                <w:sz w:val="18"/>
                <w:szCs w:val="18"/>
                <w:b w:val="1"/>
                <w:bCs w:val="1"/>
                <w:color w:val="auto"/>
                <w:w w:val="91"/>
              </w:rPr>
              <w:t>ASSETS</w:t>
            </w:r>
          </w:p>
        </w:tc>
        <w:tc>
          <w:tcPr>
            <w:tcW w:w="3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Cash and due from banks</w:t>
            </w:r>
          </w:p>
        </w:tc>
        <w:tc>
          <w:tcPr>
            <w:tcW w:w="1640" w:type="dxa"/>
            <w:vAlign w:val="bottom"/>
            <w:gridSpan w:val="3"/>
          </w:tcPr>
          <w:p>
            <w:pPr>
              <w:jc w:val="right"/>
              <w:ind w:right="280"/>
              <w:spacing w:after="0"/>
              <w:rPr>
                <w:sz w:val="20"/>
                <w:szCs w:val="20"/>
                <w:color w:val="auto"/>
              </w:rPr>
            </w:pPr>
            <w:r>
              <w:rPr>
                <w:rFonts w:ascii="Arial" w:cs="Arial" w:eastAsia="Arial" w:hAnsi="Arial"/>
                <w:sz w:val="18"/>
                <w:szCs w:val="18"/>
                <w:color w:val="auto"/>
              </w:rPr>
              <w:t>717,234</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785,254</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1,063,752</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35.5%</w:t>
            </w:r>
          </w:p>
        </w:tc>
        <w:tc>
          <w:tcPr>
            <w:tcW w:w="3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available for sale and trading securities</w:t>
            </w:r>
          </w:p>
        </w:tc>
        <w:tc>
          <w:tcPr>
            <w:tcW w:w="16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898,623</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1,241,118</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1,276,545</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Total loans</w:t>
            </w:r>
          </w:p>
        </w:tc>
        <w:tc>
          <w:tcPr>
            <w:tcW w:w="164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3,151,518</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3,730,027</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4,007,861</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7.4%</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Current</w:t>
            </w:r>
          </w:p>
        </w:tc>
        <w:tc>
          <w:tcPr>
            <w:tcW w:w="16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3,092,043</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3,650,833</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3,926,075</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ind w:left="160"/>
              <w:spacing w:after="0"/>
              <w:rPr>
                <w:sz w:val="20"/>
                <w:szCs w:val="20"/>
                <w:color w:val="auto"/>
              </w:rPr>
            </w:pPr>
            <w:r>
              <w:rPr>
                <w:rFonts w:ascii="Arial" w:cs="Arial" w:eastAsia="Arial" w:hAnsi="Arial"/>
                <w:sz w:val="18"/>
                <w:szCs w:val="18"/>
                <w:color w:val="auto"/>
              </w:rPr>
              <w:t>Past-due</w:t>
            </w:r>
          </w:p>
        </w:tc>
        <w:tc>
          <w:tcPr>
            <w:tcW w:w="1640" w:type="dxa"/>
            <w:vAlign w:val="bottom"/>
            <w:gridSpan w:val="3"/>
          </w:tcPr>
          <w:p>
            <w:pPr>
              <w:jc w:val="right"/>
              <w:ind w:right="280"/>
              <w:spacing w:after="0"/>
              <w:rPr>
                <w:sz w:val="20"/>
                <w:szCs w:val="20"/>
                <w:color w:val="auto"/>
              </w:rPr>
            </w:pPr>
            <w:r>
              <w:rPr>
                <w:rFonts w:ascii="Arial" w:cs="Arial" w:eastAsia="Arial" w:hAnsi="Arial"/>
                <w:sz w:val="18"/>
                <w:szCs w:val="18"/>
                <w:color w:val="auto"/>
              </w:rPr>
              <w:t>12,040</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18,405</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17,766</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-3.5%</w:t>
            </w:r>
          </w:p>
        </w:tc>
        <w:tc>
          <w:tcPr>
            <w:tcW w:w="3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Refinanced</w:t>
            </w:r>
          </w:p>
        </w:tc>
        <w:tc>
          <w:tcPr>
            <w:tcW w:w="16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47,434</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60,789</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64,020</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ind w:left="160"/>
              <w:spacing w:after="0"/>
              <w:rPr>
                <w:sz w:val="20"/>
                <w:szCs w:val="20"/>
                <w:color w:val="auto"/>
              </w:rPr>
            </w:pPr>
            <w:r>
              <w:rPr>
                <w:rFonts w:ascii="Arial" w:cs="Arial" w:eastAsia="Arial" w:hAnsi="Arial"/>
                <w:sz w:val="18"/>
                <w:szCs w:val="18"/>
                <w:color w:val="auto"/>
              </w:rPr>
              <w:t>Net provisions for loan losses</w:t>
            </w:r>
          </w:p>
        </w:tc>
        <w:tc>
          <w:tcPr>
            <w:tcW w:w="1640" w:type="dxa"/>
            <w:vAlign w:val="bottom"/>
            <w:gridSpan w:val="3"/>
          </w:tcPr>
          <w:p>
            <w:pPr>
              <w:jc w:val="right"/>
              <w:ind w:right="280"/>
              <w:spacing w:after="0"/>
              <w:rPr>
                <w:sz w:val="20"/>
                <w:szCs w:val="20"/>
                <w:color w:val="auto"/>
              </w:rPr>
            </w:pPr>
            <w:r>
              <w:rPr>
                <w:rFonts w:ascii="Arial" w:cs="Arial" w:eastAsia="Arial" w:hAnsi="Arial"/>
                <w:sz w:val="18"/>
                <w:szCs w:val="18"/>
                <w:color w:val="auto"/>
              </w:rPr>
              <w:t>-115,139</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-139,402</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-150,654</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8.1%</w:t>
            </w:r>
          </w:p>
        </w:tc>
        <w:tc>
          <w:tcPr>
            <w:tcW w:w="3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loans</w:t>
            </w:r>
          </w:p>
        </w:tc>
        <w:tc>
          <w:tcPr>
            <w:tcW w:w="16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3,036,378</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3,590,626</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3,857,207</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7.4%</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1640" w:type="dxa"/>
            <w:vAlign w:val="bottom"/>
            <w:gridSpan w:val="3"/>
          </w:tcPr>
          <w:p>
            <w:pPr>
              <w:jc w:val="right"/>
              <w:ind w:right="280"/>
              <w:spacing w:after="0"/>
              <w:rPr>
                <w:sz w:val="20"/>
                <w:szCs w:val="20"/>
                <w:color w:val="auto"/>
              </w:rPr>
            </w:pPr>
            <w:r>
              <w:rPr>
                <w:rFonts w:ascii="Arial" w:cs="Arial" w:eastAsia="Arial" w:hAnsi="Arial"/>
                <w:sz w:val="18"/>
                <w:szCs w:val="18"/>
                <w:color w:val="auto"/>
              </w:rPr>
              <w:t>37,297</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41,107</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39,903</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-2.9%</w:t>
            </w:r>
          </w:p>
        </w:tc>
        <w:tc>
          <w:tcPr>
            <w:tcW w:w="3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16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46,757</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57,461</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60,172</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100" w:type="dxa"/>
            <w:vAlign w:val="bottom"/>
          </w:tcPr>
          <w:p>
            <w:pPr>
              <w:jc w:val="center"/>
              <w:ind w:right="290"/>
              <w:spacing w:after="0"/>
              <w:rPr>
                <w:sz w:val="20"/>
                <w:szCs w:val="20"/>
                <w:color w:val="auto"/>
              </w:rPr>
            </w:pPr>
            <w:r>
              <w:rPr>
                <w:rFonts w:ascii="Arial" w:cs="Arial" w:eastAsia="Arial" w:hAnsi="Arial"/>
                <w:sz w:val="18"/>
                <w:szCs w:val="18"/>
                <w:b w:val="1"/>
                <w:bCs w:val="1"/>
                <w:color w:val="auto"/>
                <w:w w:val="84"/>
              </w:rPr>
              <w:t>Total assets</w:t>
            </w:r>
          </w:p>
        </w:tc>
        <w:tc>
          <w:tcPr>
            <w:tcW w:w="164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4,736,289</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5,715,565</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6,297,579</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10.2%</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jc w:val="center"/>
              <w:ind w:left="130"/>
              <w:spacing w:after="0"/>
              <w:rPr>
                <w:sz w:val="20"/>
                <w:szCs w:val="20"/>
                <w:color w:val="auto"/>
              </w:rPr>
            </w:pPr>
            <w:r>
              <w:rPr>
                <w:rFonts w:ascii="Arial" w:cs="Arial" w:eastAsia="Arial" w:hAnsi="Arial"/>
                <w:sz w:val="18"/>
                <w:szCs w:val="18"/>
                <w:b w:val="1"/>
                <w:bCs w:val="1"/>
                <w:color w:val="auto"/>
              </w:rPr>
              <w:t>LIABILITIES AND NET SHAREHOLDERS’ EQUITY</w:t>
            </w: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Deposits and obligations</w:t>
            </w:r>
          </w:p>
        </w:tc>
        <w:tc>
          <w:tcPr>
            <w:tcW w:w="16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4,135,745</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4,969,327</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5,545,300</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11.6%</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Due to banks and correspondents</w:t>
            </w:r>
          </w:p>
        </w:tc>
        <w:tc>
          <w:tcPr>
            <w:tcW w:w="1640" w:type="dxa"/>
            <w:vAlign w:val="bottom"/>
            <w:gridSpan w:val="3"/>
          </w:tcPr>
          <w:p>
            <w:pPr>
              <w:jc w:val="right"/>
              <w:ind w:right="280"/>
              <w:spacing w:after="0"/>
              <w:rPr>
                <w:sz w:val="20"/>
                <w:szCs w:val="20"/>
                <w:color w:val="auto"/>
              </w:rPr>
            </w:pPr>
            <w:r>
              <w:rPr>
                <w:rFonts w:ascii="Arial" w:cs="Arial" w:eastAsia="Arial" w:hAnsi="Arial"/>
                <w:sz w:val="18"/>
                <w:szCs w:val="18"/>
                <w:color w:val="auto"/>
              </w:rPr>
              <w:t>26,952</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29,637</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30,351</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2.4%</w:t>
            </w:r>
          </w:p>
        </w:tc>
        <w:tc>
          <w:tcPr>
            <w:tcW w:w="3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Bonds ans subordinated debt</w:t>
            </w:r>
          </w:p>
        </w:tc>
        <w:tc>
          <w:tcPr>
            <w:tcW w:w="16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28,967</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32,767</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33,185</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1640" w:type="dxa"/>
            <w:vAlign w:val="bottom"/>
            <w:gridSpan w:val="3"/>
          </w:tcPr>
          <w:p>
            <w:pPr>
              <w:jc w:val="right"/>
              <w:ind w:right="280"/>
              <w:spacing w:after="0"/>
              <w:rPr>
                <w:sz w:val="20"/>
                <w:szCs w:val="20"/>
                <w:color w:val="auto"/>
              </w:rPr>
            </w:pPr>
            <w:r>
              <w:rPr>
                <w:rFonts w:ascii="Arial" w:cs="Arial" w:eastAsia="Arial" w:hAnsi="Arial"/>
                <w:sz w:val="18"/>
                <w:szCs w:val="18"/>
                <w:color w:val="auto"/>
              </w:rPr>
              <w:t>117,030</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197,665</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177,006</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-10.5%</w:t>
            </w:r>
          </w:p>
        </w:tc>
        <w:tc>
          <w:tcPr>
            <w:tcW w:w="3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100" w:type="dxa"/>
            <w:vAlign w:val="bottom"/>
            <w:shd w:val="clear" w:color="auto" w:fill="CCEEFF"/>
          </w:tcPr>
          <w:p>
            <w:pPr>
              <w:jc w:val="center"/>
              <w:ind w:right="270"/>
              <w:spacing w:after="0"/>
              <w:rPr>
                <w:sz w:val="20"/>
                <w:szCs w:val="20"/>
                <w:color w:val="auto"/>
              </w:rPr>
            </w:pPr>
            <w:r>
              <w:rPr>
                <w:rFonts w:ascii="Arial" w:cs="Arial" w:eastAsia="Arial" w:hAnsi="Arial"/>
                <w:sz w:val="18"/>
                <w:szCs w:val="18"/>
                <w:b w:val="1"/>
                <w:bCs w:val="1"/>
                <w:color w:val="auto"/>
                <w:w w:val="91"/>
              </w:rPr>
              <w:t>Total liabilities</w:t>
            </w:r>
          </w:p>
        </w:tc>
        <w:tc>
          <w:tcPr>
            <w:tcW w:w="16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4,308,694</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5,229,396</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5,785,842</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10.6%</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Net shareholders’ equity</w:t>
            </w:r>
          </w:p>
        </w:tc>
        <w:tc>
          <w:tcPr>
            <w:tcW w:w="164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427,596</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486,169</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511,737</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5.3%</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100" w:type="dxa"/>
            <w:vAlign w:val="bottom"/>
          </w:tcPr>
          <w:p>
            <w:pPr>
              <w:jc w:val="center"/>
              <w:ind w:right="270"/>
              <w:spacing w:after="0"/>
              <w:rPr>
                <w:sz w:val="20"/>
                <w:szCs w:val="20"/>
                <w:color w:val="auto"/>
              </w:rPr>
            </w:pPr>
            <w:r>
              <w:rPr>
                <w:rFonts w:ascii="Arial" w:cs="Arial" w:eastAsia="Arial" w:hAnsi="Arial"/>
                <w:sz w:val="18"/>
                <w:szCs w:val="18"/>
                <w:b w:val="1"/>
                <w:bCs w:val="1"/>
                <w:color w:val="auto"/>
                <w:w w:val="90"/>
              </w:rPr>
              <w:t>Total liabilities and net shareholders’ equity</w:t>
            </w:r>
          </w:p>
        </w:tc>
        <w:tc>
          <w:tcPr>
            <w:tcW w:w="164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4,736,289</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5,715,565</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6,297,579</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10.2%</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33.0%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00" w:type="dxa"/>
            <w:vAlign w:val="bottom"/>
            <w:gridSpan w:val="2"/>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Net interest income</w:t>
            </w:r>
          </w:p>
        </w:tc>
        <w:tc>
          <w:tcPr>
            <w:tcW w:w="1640" w:type="dxa"/>
            <w:vAlign w:val="bottom"/>
            <w:gridSpan w:val="3"/>
          </w:tcPr>
          <w:p>
            <w:pPr>
              <w:jc w:val="right"/>
              <w:ind w:right="280"/>
              <w:spacing w:after="0"/>
              <w:rPr>
                <w:sz w:val="20"/>
                <w:szCs w:val="20"/>
                <w:color w:val="auto"/>
              </w:rPr>
            </w:pPr>
            <w:r>
              <w:rPr>
                <w:rFonts w:ascii="Arial" w:cs="Arial" w:eastAsia="Arial" w:hAnsi="Arial"/>
                <w:sz w:val="18"/>
                <w:szCs w:val="18"/>
                <w:color w:val="auto"/>
              </w:rPr>
              <w:t>52,603</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56,306</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57,281</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1.7%</w:t>
            </w:r>
          </w:p>
        </w:tc>
        <w:tc>
          <w:tcPr>
            <w:tcW w:w="3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provisions for loan losses</w:t>
            </w:r>
          </w:p>
        </w:tc>
        <w:tc>
          <w:tcPr>
            <w:tcW w:w="16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-5,390</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-5,142</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-8,724</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69.7%</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Net interest income after provisions</w:t>
            </w:r>
          </w:p>
        </w:tc>
        <w:tc>
          <w:tcPr>
            <w:tcW w:w="164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47,213</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51,164</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48,557</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-5.1%</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 financial income</w:t>
            </w:r>
          </w:p>
        </w:tc>
        <w:tc>
          <w:tcPr>
            <w:tcW w:w="16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26,836</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21,277</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30,878</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45.1%</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640" w:type="dxa"/>
            <w:vAlign w:val="bottom"/>
            <w:gridSpan w:val="3"/>
          </w:tcPr>
          <w:p>
            <w:pPr>
              <w:jc w:val="right"/>
              <w:ind w:right="280"/>
              <w:spacing w:after="0"/>
              <w:rPr>
                <w:sz w:val="20"/>
                <w:szCs w:val="20"/>
                <w:color w:val="auto"/>
              </w:rPr>
            </w:pPr>
            <w:r>
              <w:rPr>
                <w:rFonts w:ascii="Arial" w:cs="Arial" w:eastAsia="Arial" w:hAnsi="Arial"/>
                <w:sz w:val="18"/>
                <w:szCs w:val="18"/>
                <w:color w:val="auto"/>
              </w:rPr>
              <w:t>-47,400</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-50,748</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-61,750</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21.7%</w:t>
            </w:r>
          </w:p>
        </w:tc>
        <w:tc>
          <w:tcPr>
            <w:tcW w:w="3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Traslation result</w:t>
            </w:r>
          </w:p>
        </w:tc>
        <w:tc>
          <w:tcPr>
            <w:tcW w:w="16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-147</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-59.1%</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1640" w:type="dxa"/>
            <w:vAlign w:val="bottom"/>
            <w:gridSpan w:val="3"/>
          </w:tcPr>
          <w:p>
            <w:pPr>
              <w:jc w:val="right"/>
              <w:ind w:right="280"/>
              <w:spacing w:after="0"/>
              <w:rPr>
                <w:sz w:val="20"/>
                <w:szCs w:val="20"/>
                <w:color w:val="auto"/>
              </w:rPr>
            </w:pPr>
            <w:r>
              <w:rPr>
                <w:rFonts w:ascii="Arial" w:cs="Arial" w:eastAsia="Arial" w:hAnsi="Arial"/>
                <w:sz w:val="18"/>
                <w:szCs w:val="18"/>
                <w:color w:val="auto"/>
              </w:rPr>
              <w:t>-7,195</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-6,886</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-6,199</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c>
          <w:tcPr>
            <w:tcW w:w="3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6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19,460</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14,661</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11,427</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-22.1%</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00" w:type="dxa"/>
            <w:vAlign w:val="bottom"/>
            <w:gridSpan w:val="2"/>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L/D ratio</w:t>
            </w:r>
          </w:p>
        </w:tc>
        <w:tc>
          <w:tcPr>
            <w:tcW w:w="16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76.2%</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75.1%</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72.3%</w:t>
            </w: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PDL ratio</w:t>
            </w:r>
          </w:p>
        </w:tc>
        <w:tc>
          <w:tcPr>
            <w:tcW w:w="1640" w:type="dxa"/>
            <w:vAlign w:val="bottom"/>
            <w:gridSpan w:val="3"/>
          </w:tcPr>
          <w:p>
            <w:pPr>
              <w:jc w:val="right"/>
              <w:ind w:right="120"/>
              <w:spacing w:after="0"/>
              <w:rPr>
                <w:sz w:val="20"/>
                <w:szCs w:val="20"/>
                <w:color w:val="auto"/>
              </w:rPr>
            </w:pPr>
            <w:r>
              <w:rPr>
                <w:rFonts w:ascii="Arial" w:cs="Arial" w:eastAsia="Arial" w:hAnsi="Arial"/>
                <w:sz w:val="18"/>
                <w:szCs w:val="18"/>
                <w:color w:val="auto"/>
              </w:rPr>
              <w:t>1.51%</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1.63%</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1.60%</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NPL ratio</w:t>
            </w:r>
          </w:p>
        </w:tc>
        <w:tc>
          <w:tcPr>
            <w:tcW w:w="16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1.89%</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2.12%</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2.04%</w:t>
            </w: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Coverage of PDLS</w:t>
            </w:r>
          </w:p>
        </w:tc>
        <w:tc>
          <w:tcPr>
            <w:tcW w:w="1640" w:type="dxa"/>
            <w:vAlign w:val="bottom"/>
            <w:gridSpan w:val="3"/>
          </w:tcPr>
          <w:p>
            <w:pPr>
              <w:jc w:val="right"/>
              <w:ind w:right="120"/>
              <w:spacing w:after="0"/>
              <w:rPr>
                <w:sz w:val="20"/>
                <w:szCs w:val="20"/>
                <w:color w:val="auto"/>
              </w:rPr>
            </w:pPr>
            <w:r>
              <w:rPr>
                <w:rFonts w:ascii="Arial" w:cs="Arial" w:eastAsia="Arial" w:hAnsi="Arial"/>
                <w:sz w:val="18"/>
                <w:szCs w:val="18"/>
                <w:color w:val="auto"/>
              </w:rPr>
              <w:t>242.7%</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229.3%</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235.3%</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Efficiency ratio</w:t>
            </w:r>
          </w:p>
        </w:tc>
        <w:tc>
          <w:tcPr>
            <w:tcW w:w="16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61.9%</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65.3%</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74.3%</w:t>
            </w: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ROAE</w:t>
            </w:r>
          </w:p>
        </w:tc>
        <w:tc>
          <w:tcPr>
            <w:tcW w:w="4100" w:type="dxa"/>
            <w:vAlign w:val="bottom"/>
          </w:tcPr>
          <w:p>
            <w:pPr>
              <w:spacing w:after="0"/>
              <w:rPr>
                <w:sz w:val="18"/>
                <w:szCs w:val="18"/>
                <w:color w:val="auto"/>
              </w:rPr>
            </w:pPr>
          </w:p>
        </w:tc>
        <w:tc>
          <w:tcPr>
            <w:tcW w:w="1640" w:type="dxa"/>
            <w:vAlign w:val="bottom"/>
            <w:gridSpan w:val="3"/>
          </w:tcPr>
          <w:p>
            <w:pPr>
              <w:jc w:val="right"/>
              <w:ind w:right="120"/>
              <w:spacing w:after="0"/>
              <w:rPr>
                <w:sz w:val="20"/>
                <w:szCs w:val="20"/>
                <w:color w:val="auto"/>
              </w:rPr>
            </w:pPr>
            <w:r>
              <w:rPr>
                <w:rFonts w:ascii="Arial" w:cs="Arial" w:eastAsia="Arial" w:hAnsi="Arial"/>
                <w:sz w:val="18"/>
                <w:szCs w:val="18"/>
                <w:color w:val="auto"/>
              </w:rPr>
              <w:t>18.6%</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11.9%</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9.2%</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Branches</w:t>
            </w:r>
          </w:p>
        </w:tc>
        <w:tc>
          <w:tcPr>
            <w:tcW w:w="16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46</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w:t>
            </w: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w w:val="87"/>
              </w:rPr>
              <w:t>Agentes</w:t>
            </w:r>
          </w:p>
        </w:tc>
        <w:tc>
          <w:tcPr>
            <w:tcW w:w="4100" w:type="dxa"/>
            <w:vAlign w:val="bottom"/>
          </w:tcPr>
          <w:p>
            <w:pPr>
              <w:spacing w:after="0"/>
              <w:rPr>
                <w:sz w:val="18"/>
                <w:szCs w:val="18"/>
                <w:color w:val="auto"/>
              </w:rPr>
            </w:pPr>
          </w:p>
        </w:tc>
        <w:tc>
          <w:tcPr>
            <w:tcW w:w="1640" w:type="dxa"/>
            <w:vAlign w:val="bottom"/>
            <w:gridSpan w:val="3"/>
          </w:tcPr>
          <w:p>
            <w:pPr>
              <w:jc w:val="right"/>
              <w:ind w:right="280"/>
              <w:spacing w:after="0"/>
              <w:rPr>
                <w:sz w:val="20"/>
                <w:szCs w:val="20"/>
                <w:color w:val="auto"/>
              </w:rPr>
            </w:pPr>
            <w:r>
              <w:rPr>
                <w:rFonts w:ascii="Arial" w:cs="Arial" w:eastAsia="Arial" w:hAnsi="Arial"/>
                <w:sz w:val="18"/>
                <w:szCs w:val="18"/>
                <w:color w:val="auto"/>
              </w:rPr>
              <w:t>50</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61</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60</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ATM</w:t>
            </w:r>
          </w:p>
        </w:tc>
        <w:tc>
          <w:tcPr>
            <w:tcW w:w="410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245</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247</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252</w:t>
            </w: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Employees</w:t>
            </w:r>
          </w:p>
        </w:tc>
        <w:tc>
          <w:tcPr>
            <w:tcW w:w="1640" w:type="dxa"/>
            <w:vAlign w:val="bottom"/>
            <w:gridSpan w:val="3"/>
          </w:tcPr>
          <w:p>
            <w:pPr>
              <w:jc w:val="right"/>
              <w:ind w:right="280"/>
              <w:spacing w:after="0"/>
              <w:rPr>
                <w:sz w:val="20"/>
                <w:szCs w:val="20"/>
                <w:color w:val="auto"/>
              </w:rPr>
            </w:pPr>
            <w:r>
              <w:rPr>
                <w:rFonts w:ascii="Arial" w:cs="Arial" w:eastAsia="Arial" w:hAnsi="Arial"/>
                <w:sz w:val="18"/>
                <w:szCs w:val="18"/>
                <w:color w:val="auto"/>
              </w:rPr>
              <w:t>1,654</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1,650</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1,708</w:t>
            </w: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1"/>
        </w:trPr>
        <w:tc>
          <w:tcPr>
            <w:tcW w:w="2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22"/>
                <w:szCs w:val="22"/>
                <w:color w:val="auto"/>
              </w:rPr>
              <w:t>52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5664835</wp:posOffset>
            </wp:positionH>
            <wp:positionV relativeFrom="paragraph">
              <wp:posOffset>-1809115</wp:posOffset>
            </wp:positionV>
            <wp:extent cx="1586230" cy="1371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586230" cy="137160"/>
                    </a:xfrm>
                    <a:prstGeom prst="rect">
                      <a:avLst/>
                    </a:prstGeom>
                    <a:noFill/>
                  </pic:spPr>
                </pic:pic>
              </a:graphicData>
            </a:graphic>
          </wp:anchor>
        </w:drawing>
        <w:drawing>
          <wp:anchor simplePos="0" relativeHeight="251657728" behindDoc="1" locked="0" layoutInCell="0" allowOverlap="1">
            <wp:simplePos x="0" y="0"/>
            <wp:positionH relativeFrom="column">
              <wp:posOffset>5664835</wp:posOffset>
            </wp:positionH>
            <wp:positionV relativeFrom="paragraph">
              <wp:posOffset>-1534160</wp:posOffset>
            </wp:positionV>
            <wp:extent cx="1586230" cy="1371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586230" cy="137160"/>
                    </a:xfrm>
                    <a:prstGeom prst="rect">
                      <a:avLst/>
                    </a:prstGeom>
                    <a:noFill/>
                  </pic:spPr>
                </pic:pic>
              </a:graphicData>
            </a:graphic>
          </wp:anchor>
        </w:drawing>
        <w:drawing>
          <wp:anchor simplePos="0" relativeHeight="251657728" behindDoc="1" locked="0" layoutInCell="0" allowOverlap="1">
            <wp:simplePos x="0" y="0"/>
            <wp:positionH relativeFrom="column">
              <wp:posOffset>5664835</wp:posOffset>
            </wp:positionH>
            <wp:positionV relativeFrom="paragraph">
              <wp:posOffset>-1259840</wp:posOffset>
            </wp:positionV>
            <wp:extent cx="1586230" cy="1371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586230" cy="137160"/>
                    </a:xfrm>
                    <a:prstGeom prst="rect">
                      <a:avLst/>
                    </a:prstGeom>
                    <a:noFill/>
                  </pic:spPr>
                </pic:pic>
              </a:graphicData>
            </a:graphic>
          </wp:anchor>
        </w:drawing>
        <w:drawing>
          <wp:anchor simplePos="0" relativeHeight="251657728" behindDoc="1" locked="0" layoutInCell="0" allowOverlap="1">
            <wp:simplePos x="0" y="0"/>
            <wp:positionH relativeFrom="column">
              <wp:posOffset>5664835</wp:posOffset>
            </wp:positionH>
            <wp:positionV relativeFrom="paragraph">
              <wp:posOffset>-985520</wp:posOffset>
            </wp:positionV>
            <wp:extent cx="1586230" cy="1371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586230" cy="137160"/>
                    </a:xfrm>
                    <a:prstGeom prst="rect">
                      <a:avLst/>
                    </a:prstGeom>
                    <a:noFill/>
                  </pic:spPr>
                </pic:pic>
              </a:graphicData>
            </a:graphic>
          </wp:anchor>
        </w:drawing>
        <w:drawing>
          <wp:anchor simplePos="0" relativeHeight="251657728" behindDoc="1" locked="0" layoutInCell="0" allowOverlap="1">
            <wp:simplePos x="0" y="0"/>
            <wp:positionH relativeFrom="column">
              <wp:posOffset>5664835</wp:posOffset>
            </wp:positionH>
            <wp:positionV relativeFrom="paragraph">
              <wp:posOffset>-711200</wp:posOffset>
            </wp:positionV>
            <wp:extent cx="1586230" cy="1371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586230" cy="13716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34"/>
        </w:trPr>
        <w:tc>
          <w:tcPr>
            <w:tcW w:w="480" w:type="dxa"/>
            <w:vAlign w:val="bottom"/>
          </w:tcPr>
          <w:p>
            <w:pPr>
              <w:jc w:val="right"/>
              <w:ind w:right="70"/>
              <w:spacing w:after="0"/>
              <w:rPr>
                <w:sz w:val="20"/>
                <w:szCs w:val="20"/>
                <w:color w:val="auto"/>
              </w:rPr>
            </w:pPr>
            <w:r>
              <w:rPr>
                <w:rFonts w:ascii="Arial" w:cs="Arial" w:eastAsia="Arial" w:hAnsi="Arial"/>
                <w:sz w:val="18"/>
                <w:szCs w:val="18"/>
                <w:b w:val="1"/>
                <w:bCs w:val="1"/>
                <w:color w:val="auto"/>
                <w:w w:val="85"/>
              </w:rPr>
              <w:t>11.4</w:t>
            </w:r>
          </w:p>
        </w:tc>
        <w:tc>
          <w:tcPr>
            <w:tcW w:w="5140" w:type="dxa"/>
            <w:vAlign w:val="bottom"/>
            <w:gridSpan w:val="3"/>
          </w:tcPr>
          <w:p>
            <w:pPr>
              <w:ind w:left="180"/>
              <w:spacing w:after="0"/>
              <w:rPr>
                <w:sz w:val="20"/>
                <w:szCs w:val="20"/>
                <w:color w:val="auto"/>
              </w:rPr>
            </w:pPr>
            <w:r>
              <w:rPr>
                <w:rFonts w:ascii="Arial" w:cs="Arial" w:eastAsia="Arial" w:hAnsi="Arial"/>
                <w:sz w:val="18"/>
                <w:szCs w:val="18"/>
                <w:b w:val="1"/>
                <w:bCs w:val="1"/>
                <w:color w:val="auto"/>
              </w:rPr>
              <w:t>Credicorp Capital</w:t>
            </w: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27"/>
        </w:trPr>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Credicorp Capital</w:t>
            </w: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ind w:left="140"/>
              <w:spacing w:after="0"/>
              <w:rPr>
                <w:sz w:val="20"/>
                <w:szCs w:val="20"/>
                <w:color w:val="auto"/>
              </w:rPr>
            </w:pPr>
            <w:r>
              <w:rPr>
                <w:rFonts w:ascii="Arial" w:cs="Arial" w:eastAsia="Arial" w:hAnsi="Arial"/>
                <w:sz w:val="18"/>
                <w:szCs w:val="18"/>
                <w:b w:val="1"/>
                <w:bCs w:val="1"/>
                <w:color w:val="auto"/>
              </w:rPr>
              <w:t>Quarter</w:t>
            </w: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gridSpan w:val="3"/>
          </w:tcPr>
          <w:p>
            <w:pPr>
              <w:ind w:left="660"/>
              <w:spacing w:after="0"/>
              <w:rPr>
                <w:sz w:val="20"/>
                <w:szCs w:val="20"/>
                <w:color w:val="auto"/>
              </w:rPr>
            </w:pPr>
            <w:r>
              <w:rPr>
                <w:rFonts w:ascii="Arial" w:cs="Arial" w:eastAsia="Arial" w:hAnsi="Arial"/>
                <w:sz w:val="18"/>
                <w:szCs w:val="18"/>
                <w:b w:val="1"/>
                <w:bCs w:val="1"/>
                <w:color w:val="auto"/>
                <w:w w:val="90"/>
              </w:rPr>
              <w:t>% change</w:t>
            </w: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34"/>
        </w:trPr>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10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2Q14</w:t>
            </w:r>
          </w:p>
        </w:tc>
        <w:tc>
          <w:tcPr>
            <w:tcW w:w="18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1Q15</w:t>
            </w:r>
          </w:p>
        </w:tc>
        <w:tc>
          <w:tcPr>
            <w:tcW w:w="18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2Q15</w:t>
            </w:r>
          </w:p>
        </w:tc>
        <w:tc>
          <w:tcPr>
            <w:tcW w:w="20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QoQ</w:t>
            </w:r>
          </w:p>
        </w:tc>
        <w:tc>
          <w:tcPr>
            <w:tcW w:w="2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6"/>
              </w:rPr>
              <w:t>YoY</w:t>
            </w:r>
          </w:p>
        </w:tc>
        <w:tc>
          <w:tcPr>
            <w:tcW w:w="200" w:type="dxa"/>
            <w:vAlign w:val="bottom"/>
            <w:tcBorders>
              <w:bottom w:val="single" w:sz="8" w:color="CCEEFF"/>
            </w:tcBorders>
          </w:tcPr>
          <w:p>
            <w:pPr>
              <w:spacing w:after="0"/>
              <w:rPr>
                <w:sz w:val="20"/>
                <w:szCs w:val="20"/>
                <w:color w:val="auto"/>
              </w:rPr>
            </w:pPr>
          </w:p>
        </w:tc>
      </w:tr>
      <w:tr>
        <w:trPr>
          <w:trHeight w:val="210"/>
        </w:trPr>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-138.0%</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-44.4%</w:t>
            </w:r>
          </w:p>
        </w:tc>
      </w:tr>
      <w:tr>
        <w:trPr>
          <w:trHeight w:val="216"/>
        </w:trPr>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Non-financial income</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115.5</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129.4</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118.1</w:t>
            </w:r>
          </w:p>
        </w:tc>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-8.7%</w:t>
            </w:r>
          </w:p>
        </w:tc>
        <w:tc>
          <w:tcPr>
            <w:tcW w:w="2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Fee income</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79.2</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78.0</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93.2</w:t>
            </w:r>
          </w:p>
        </w:tc>
        <w:tc>
          <w:tcPr>
            <w:tcW w:w="11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19.5%</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w:t>
            </w:r>
          </w:p>
        </w:tc>
      </w:tr>
      <w:tr>
        <w:trPr>
          <w:trHeight w:val="216"/>
        </w:trPr>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700" w:type="dxa"/>
            <w:vAlign w:val="bottom"/>
            <w:gridSpan w:val="2"/>
          </w:tcPr>
          <w:p>
            <w:pPr>
              <w:ind w:left="160"/>
              <w:spacing w:after="0"/>
              <w:rPr>
                <w:sz w:val="20"/>
                <w:szCs w:val="20"/>
                <w:color w:val="auto"/>
              </w:rPr>
            </w:pPr>
            <w:r>
              <w:rPr>
                <w:rFonts w:ascii="Arial" w:cs="Arial" w:eastAsia="Arial" w:hAnsi="Arial"/>
                <w:sz w:val="18"/>
                <w:szCs w:val="18"/>
                <w:color w:val="auto"/>
              </w:rPr>
              <w:t>Net gain on foreign exchange transactions</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4.2</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11.3</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1.9</w:t>
            </w:r>
          </w:p>
        </w:tc>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-83.2%</w:t>
            </w:r>
          </w:p>
        </w:tc>
        <w:tc>
          <w:tcPr>
            <w:tcW w:w="2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-54.8%</w:t>
            </w:r>
          </w:p>
        </w:tc>
      </w:tr>
      <w:tr>
        <w:trPr>
          <w:trHeight w:val="216"/>
        </w:trPr>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gain on sales of securities</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29.6</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38.2</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18.8</w:t>
            </w:r>
          </w:p>
        </w:tc>
        <w:tc>
          <w:tcPr>
            <w:tcW w:w="11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-50.9%</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-36.5%</w:t>
            </w:r>
          </w:p>
        </w:tc>
      </w:tr>
      <w:tr>
        <w:trPr>
          <w:trHeight w:val="216"/>
        </w:trPr>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700" w:type="dxa"/>
            <w:vAlign w:val="bottom"/>
            <w:gridSpan w:val="2"/>
          </w:tcPr>
          <w:p>
            <w:pPr>
              <w:ind w:left="160"/>
              <w:spacing w:after="0"/>
              <w:rPr>
                <w:sz w:val="20"/>
                <w:szCs w:val="20"/>
                <w:color w:val="auto"/>
              </w:rPr>
            </w:pPr>
            <w:r>
              <w:rPr>
                <w:rFonts w:ascii="Arial" w:cs="Arial" w:eastAsia="Arial" w:hAnsi="Arial"/>
                <w:sz w:val="18"/>
                <w:szCs w:val="18"/>
                <w:color w:val="auto"/>
              </w:rPr>
              <w:t>Other income</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2.5</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1.9</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4.2</w:t>
            </w:r>
          </w:p>
        </w:tc>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125.7%</w:t>
            </w:r>
          </w:p>
        </w:tc>
        <w:tc>
          <w:tcPr>
            <w:tcW w:w="2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68.2%</w:t>
            </w:r>
          </w:p>
        </w:tc>
      </w:tr>
      <w:tr>
        <w:trPr>
          <w:trHeight w:val="270"/>
        </w:trPr>
        <w:tc>
          <w:tcPr>
            <w:tcW w:w="4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700" w:type="dxa"/>
            <w:vAlign w:val="bottom"/>
            <w:gridSpan w:val="2"/>
            <w:shd w:val="clear" w:color="auto" w:fill="CCEEFF"/>
          </w:tcPr>
          <w:p>
            <w:pPr>
              <w:spacing w:after="0" w:line="269" w:lineRule="exact"/>
              <w:rPr>
                <w:sz w:val="20"/>
                <w:szCs w:val="20"/>
                <w:color w:val="auto"/>
              </w:rPr>
            </w:pPr>
            <w:r>
              <w:rPr>
                <w:rFonts w:ascii="Arial" w:cs="Arial" w:eastAsia="Arial" w:hAnsi="Arial"/>
                <w:sz w:val="18"/>
                <w:szCs w:val="18"/>
                <w:color w:val="auto"/>
              </w:rPr>
              <w:t xml:space="preserve">Operating expenses </w:t>
            </w:r>
            <w:r>
              <w:rPr>
                <w:rFonts w:ascii="Arial" w:cs="Arial" w:eastAsia="Arial" w:hAnsi="Arial"/>
                <w:sz w:val="30"/>
                <w:szCs w:val="30"/>
                <w:color w:val="auto"/>
                <w:vertAlign w:val="superscript"/>
              </w:rPr>
              <w:t>(1)</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-94.8</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-94.0</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-101.6</w:t>
            </w:r>
          </w:p>
        </w:tc>
        <w:tc>
          <w:tcPr>
            <w:tcW w:w="11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8.0%</w:t>
            </w:r>
          </w:p>
        </w:tc>
        <w:tc>
          <w:tcPr>
            <w:tcW w:w="26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10"/>
        </w:trPr>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7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23.7</w:t>
            </w:r>
          </w:p>
        </w:tc>
        <w:tc>
          <w:tcPr>
            <w:tcW w:w="18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31.0</w:t>
            </w:r>
          </w:p>
        </w:tc>
        <w:tc>
          <w:tcPr>
            <w:tcW w:w="18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18.2</w:t>
            </w:r>
          </w:p>
        </w:tc>
        <w:tc>
          <w:tcPr>
            <w:tcW w:w="20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-41.3</w:t>
            </w:r>
          </w:p>
        </w:tc>
        <w:tc>
          <w:tcPr>
            <w:tcW w:w="28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2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-23.2</w:t>
            </w:r>
          </w:p>
        </w:tc>
        <w:tc>
          <w:tcPr>
            <w:tcW w:w="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rPr>
              <w:t>%</w:t>
            </w:r>
          </w:p>
        </w:tc>
      </w:tr>
      <w:tr>
        <w:trPr>
          <w:trHeight w:val="210"/>
        </w:trPr>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-65.2%</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-51.8%</w:t>
            </w:r>
          </w:p>
        </w:tc>
      </w:tr>
      <w:tr>
        <w:trPr>
          <w:trHeight w:val="216"/>
        </w:trPr>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Translation results</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0.1</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3.3</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5.4</w:t>
            </w:r>
          </w:p>
        </w:tc>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66.8%</w:t>
            </w:r>
          </w:p>
        </w:tc>
        <w:tc>
          <w:tcPr>
            <w:tcW w:w="260" w:type="dxa"/>
            <w:vAlign w:val="bottom"/>
          </w:tcPr>
          <w:p>
            <w:pPr>
              <w:spacing w:after="0"/>
              <w:rPr>
                <w:sz w:val="18"/>
                <w:szCs w:val="18"/>
                <w:color w:val="auto"/>
              </w:rPr>
            </w:pPr>
          </w:p>
        </w:tc>
        <w:tc>
          <w:tcPr>
            <w:tcW w:w="8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r>
      <w:tr>
        <w:trPr>
          <w:trHeight w:val="270"/>
        </w:trPr>
        <w:tc>
          <w:tcPr>
            <w:tcW w:w="4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700" w:type="dxa"/>
            <w:vAlign w:val="bottom"/>
            <w:gridSpan w:val="2"/>
            <w:shd w:val="clear" w:color="auto" w:fill="CCEEFF"/>
          </w:tcPr>
          <w:p>
            <w:pPr>
              <w:spacing w:after="0" w:line="269" w:lineRule="exact"/>
              <w:rPr>
                <w:sz w:val="20"/>
                <w:szCs w:val="20"/>
                <w:color w:val="auto"/>
              </w:rPr>
            </w:pPr>
            <w:r>
              <w:rPr>
                <w:rFonts w:ascii="Arial" w:cs="Arial" w:eastAsia="Arial" w:hAnsi="Arial"/>
                <w:sz w:val="18"/>
                <w:szCs w:val="18"/>
                <w:color w:val="auto"/>
              </w:rPr>
              <w:t xml:space="preserve">Minority interest </w:t>
            </w:r>
            <w:r>
              <w:rPr>
                <w:rFonts w:ascii="Arial" w:cs="Arial" w:eastAsia="Arial" w:hAnsi="Arial"/>
                <w:sz w:val="30"/>
                <w:szCs w:val="30"/>
                <w:color w:val="auto"/>
                <w:vertAlign w:val="superscript"/>
              </w:rPr>
              <w:t>(2)</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w:t>
            </w:r>
          </w:p>
        </w:tc>
        <w:tc>
          <w:tcPr>
            <w:tcW w:w="11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-55.6%</w:t>
            </w:r>
          </w:p>
        </w:tc>
        <w:tc>
          <w:tcPr>
            <w:tcW w:w="26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-46.2%</w:t>
            </w:r>
          </w:p>
        </w:tc>
      </w:tr>
      <w:tr>
        <w:trPr>
          <w:trHeight w:val="225"/>
        </w:trPr>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12.2</w:t>
            </w:r>
          </w:p>
        </w:tc>
        <w:tc>
          <w:tcPr>
            <w:tcW w:w="18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18.9</w:t>
            </w:r>
          </w:p>
        </w:tc>
        <w:tc>
          <w:tcPr>
            <w:tcW w:w="18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17.8</w:t>
            </w:r>
          </w:p>
        </w:tc>
        <w:tc>
          <w:tcPr>
            <w:tcW w:w="20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-5.9</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2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45.4</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-8890</wp:posOffset>
            </wp:positionV>
            <wp:extent cx="341312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8"/>
          <w:szCs w:val="18"/>
          <w:color w:val="auto"/>
        </w:rPr>
        <w:t>* Unaudited results.</w:t>
      </w:r>
    </w:p>
    <w:p>
      <w:pPr>
        <w:spacing w:after="0" w:line="7" w:lineRule="exact"/>
        <w:rPr>
          <w:sz w:val="20"/>
          <w:szCs w:val="20"/>
          <w:color w:val="auto"/>
        </w:rPr>
      </w:pPr>
    </w:p>
    <w:p>
      <w:pPr>
        <w:ind w:left="920" w:right="580" w:hanging="5"/>
        <w:spacing w:after="0" w:line="250" w:lineRule="auto"/>
        <w:tabs>
          <w:tab w:leader="none" w:pos="1175"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Includes: Salaries and employees benefits + Administrative expenses + Assigned expenses + Depreciation and amortization + Tax and contributions + Other expenses.</w:t>
      </w:r>
    </w:p>
    <w:p>
      <w:pPr>
        <w:ind w:left="1180" w:hanging="265"/>
        <w:spacing w:after="0"/>
        <w:tabs>
          <w:tab w:leader="none" w:pos="11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Percentage of Correval and IM Trust that is not owned by BCP Colombia and BCP Chile (49% and 39.4% respectively).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gridSpan w:val="3"/>
          </w:tcPr>
          <w:p>
            <w:pPr>
              <w:spacing w:after="0"/>
              <w:rPr>
                <w:sz w:val="20"/>
                <w:szCs w:val="20"/>
                <w:color w:val="auto"/>
              </w:rPr>
            </w:pPr>
            <w:r>
              <w:rPr>
                <w:rFonts w:ascii="Arial" w:cs="Arial" w:eastAsia="Arial" w:hAnsi="Arial"/>
                <w:sz w:val="18"/>
                <w:szCs w:val="18"/>
                <w:b w:val="1"/>
                <w:bCs w:val="1"/>
                <w:color w:val="auto"/>
              </w:rPr>
              <w:t>Non financial income</w:t>
            </w: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27"/>
        </w:trPr>
        <w:tc>
          <w:tcPr>
            <w:tcW w:w="92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Credicorp Capital</w:t>
            </w: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ind w:left="140"/>
              <w:spacing w:after="0"/>
              <w:rPr>
                <w:sz w:val="20"/>
                <w:szCs w:val="20"/>
                <w:color w:val="auto"/>
              </w:rPr>
            </w:pPr>
            <w:r>
              <w:rPr>
                <w:rFonts w:ascii="Arial" w:cs="Arial" w:eastAsia="Arial" w:hAnsi="Arial"/>
                <w:sz w:val="18"/>
                <w:szCs w:val="18"/>
                <w:b w:val="1"/>
                <w:bCs w:val="1"/>
                <w:color w:val="auto"/>
              </w:rPr>
              <w:t>Quarter</w:t>
            </w: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gridSpan w:val="3"/>
          </w:tcPr>
          <w:p>
            <w:pPr>
              <w:ind w:left="660"/>
              <w:spacing w:after="0"/>
              <w:rPr>
                <w:sz w:val="20"/>
                <w:szCs w:val="20"/>
                <w:color w:val="auto"/>
              </w:rPr>
            </w:pPr>
            <w:r>
              <w:rPr>
                <w:rFonts w:ascii="Arial" w:cs="Arial" w:eastAsia="Arial" w:hAnsi="Arial"/>
                <w:sz w:val="18"/>
                <w:szCs w:val="18"/>
                <w:b w:val="1"/>
                <w:bCs w:val="1"/>
                <w:color w:val="auto"/>
                <w:w w:val="90"/>
              </w:rPr>
              <w:t>% change</w:t>
            </w: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34"/>
        </w:trPr>
        <w:tc>
          <w:tcPr>
            <w:tcW w:w="920" w:type="dxa"/>
            <w:vAlign w:val="bottom"/>
          </w:tcPr>
          <w:p>
            <w:pPr>
              <w:spacing w:after="0"/>
              <w:rPr>
                <w:sz w:val="20"/>
                <w:szCs w:val="20"/>
                <w:color w:val="auto"/>
              </w:rPr>
            </w:pPr>
          </w:p>
        </w:tc>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10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2Q14</w:t>
            </w:r>
          </w:p>
        </w:tc>
        <w:tc>
          <w:tcPr>
            <w:tcW w:w="18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1Q15</w:t>
            </w:r>
          </w:p>
        </w:tc>
        <w:tc>
          <w:tcPr>
            <w:tcW w:w="18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2Q15</w:t>
            </w:r>
          </w:p>
        </w:tc>
        <w:tc>
          <w:tcPr>
            <w:tcW w:w="20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QoQ</w:t>
            </w:r>
          </w:p>
        </w:tc>
        <w:tc>
          <w:tcPr>
            <w:tcW w:w="2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YoY</w:t>
            </w:r>
          </w:p>
        </w:tc>
        <w:tc>
          <w:tcPr>
            <w:tcW w:w="200" w:type="dxa"/>
            <w:vAlign w:val="bottom"/>
            <w:tcBorders>
              <w:bottom w:val="single" w:sz="8" w:color="CCEEFF"/>
            </w:tcBorders>
          </w:tcPr>
          <w:p>
            <w:pPr>
              <w:spacing w:after="0"/>
              <w:rPr>
                <w:sz w:val="20"/>
                <w:szCs w:val="20"/>
                <w:color w:val="auto"/>
              </w:rPr>
            </w:pPr>
          </w:p>
        </w:tc>
      </w:tr>
      <w:tr>
        <w:trPr>
          <w:trHeight w:val="210"/>
        </w:trPr>
        <w:tc>
          <w:tcPr>
            <w:tcW w:w="920" w:type="dxa"/>
            <w:vAlign w:val="bottom"/>
          </w:tcPr>
          <w:p>
            <w:pPr>
              <w:spacing w:after="0"/>
              <w:rPr>
                <w:sz w:val="18"/>
                <w:szCs w:val="18"/>
                <w:color w:val="auto"/>
              </w:rPr>
            </w:pPr>
          </w:p>
        </w:tc>
        <w:tc>
          <w:tcPr>
            <w:tcW w:w="46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Non-financial income</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115,536</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129,413</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118,146</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-8.7%</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r>
      <w:tr>
        <w:trPr>
          <w:trHeight w:val="216"/>
        </w:trPr>
        <w:tc>
          <w:tcPr>
            <w:tcW w:w="920" w:type="dxa"/>
            <w:vAlign w:val="bottom"/>
          </w:tcPr>
          <w:p>
            <w:pPr>
              <w:spacing w:after="0"/>
              <w:rPr>
                <w:sz w:val="18"/>
                <w:szCs w:val="18"/>
                <w:color w:val="auto"/>
              </w:rPr>
            </w:pPr>
          </w:p>
        </w:tc>
        <w:tc>
          <w:tcPr>
            <w:tcW w:w="4700" w:type="dxa"/>
            <w:vAlign w:val="bottom"/>
            <w:gridSpan w:val="2"/>
          </w:tcPr>
          <w:p>
            <w:pPr>
              <w:ind w:left="40"/>
              <w:spacing w:after="0"/>
              <w:rPr>
                <w:sz w:val="20"/>
                <w:szCs w:val="20"/>
                <w:color w:val="auto"/>
              </w:rPr>
            </w:pPr>
            <w:r>
              <w:rPr>
                <w:rFonts w:ascii="Arial" w:cs="Arial" w:eastAsia="Arial" w:hAnsi="Arial"/>
                <w:sz w:val="18"/>
                <w:szCs w:val="18"/>
                <w:color w:val="auto"/>
              </w:rPr>
              <w:t>Fee income</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79,212</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77,989</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93,233</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19.5%</w:t>
            </w:r>
          </w:p>
        </w:tc>
        <w:tc>
          <w:tcPr>
            <w:tcW w:w="2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17.7%</w:t>
            </w:r>
          </w:p>
        </w:tc>
      </w:tr>
      <w:tr>
        <w:trPr>
          <w:trHeight w:val="216"/>
        </w:trPr>
        <w:tc>
          <w:tcPr>
            <w:tcW w:w="920" w:type="dxa"/>
            <w:vAlign w:val="bottom"/>
          </w:tcPr>
          <w:p>
            <w:pPr>
              <w:spacing w:after="0"/>
              <w:rPr>
                <w:sz w:val="18"/>
                <w:szCs w:val="18"/>
                <w:color w:val="auto"/>
              </w:rPr>
            </w:pPr>
          </w:p>
        </w:tc>
        <w:tc>
          <w:tcPr>
            <w:tcW w:w="4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 gain on foreign exchange transactions</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4,210</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11,325</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1,901</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-83.2%</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-54.8%</w:t>
            </w:r>
          </w:p>
        </w:tc>
      </w:tr>
      <w:tr>
        <w:trPr>
          <w:trHeight w:val="216"/>
        </w:trPr>
        <w:tc>
          <w:tcPr>
            <w:tcW w:w="920" w:type="dxa"/>
            <w:vAlign w:val="bottom"/>
          </w:tcPr>
          <w:p>
            <w:pPr>
              <w:spacing w:after="0"/>
              <w:rPr>
                <w:sz w:val="18"/>
                <w:szCs w:val="18"/>
                <w:color w:val="auto"/>
              </w:rPr>
            </w:pPr>
          </w:p>
        </w:tc>
        <w:tc>
          <w:tcPr>
            <w:tcW w:w="4700" w:type="dxa"/>
            <w:vAlign w:val="bottom"/>
            <w:gridSpan w:val="2"/>
          </w:tcPr>
          <w:p>
            <w:pPr>
              <w:ind w:left="40"/>
              <w:spacing w:after="0"/>
              <w:rPr>
                <w:sz w:val="20"/>
                <w:szCs w:val="20"/>
                <w:color w:val="auto"/>
              </w:rPr>
            </w:pPr>
            <w:r>
              <w:rPr>
                <w:rFonts w:ascii="Arial" w:cs="Arial" w:eastAsia="Arial" w:hAnsi="Arial"/>
                <w:sz w:val="18"/>
                <w:szCs w:val="18"/>
                <w:color w:val="auto"/>
              </w:rPr>
              <w:t>Net gain on sales of securities</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29,603</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38,228</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18,789</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-50.9%</w:t>
            </w:r>
          </w:p>
        </w:tc>
        <w:tc>
          <w:tcPr>
            <w:tcW w:w="2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-36.5%</w:t>
            </w:r>
          </w:p>
        </w:tc>
      </w:tr>
      <w:tr>
        <w:trPr>
          <w:trHeight w:val="216"/>
        </w:trPr>
        <w:tc>
          <w:tcPr>
            <w:tcW w:w="920" w:type="dxa"/>
            <w:vAlign w:val="bottom"/>
          </w:tcPr>
          <w:p>
            <w:pPr>
              <w:spacing w:after="0"/>
              <w:rPr>
                <w:sz w:val="18"/>
                <w:szCs w:val="18"/>
                <w:color w:val="auto"/>
              </w:rPr>
            </w:pPr>
          </w:p>
        </w:tc>
        <w:tc>
          <w:tcPr>
            <w:tcW w:w="4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2,511</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1,871</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4,223</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125.7%</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68.2%</w:t>
            </w:r>
          </w:p>
        </w:tc>
      </w:tr>
    </w:tbl>
    <w:p>
      <w:pPr>
        <w:spacing w:after="0" w:line="200" w:lineRule="exact"/>
        <w:rPr>
          <w:sz w:val="20"/>
          <w:szCs w:val="20"/>
          <w:color w:val="auto"/>
        </w:rPr>
      </w:pPr>
    </w:p>
    <w:p>
      <w:pPr>
        <w:spacing w:after="0" w:line="23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r>
              <w:rPr>
                <w:rFonts w:ascii="Arial" w:cs="Arial" w:eastAsia="Arial" w:hAnsi="Arial"/>
                <w:sz w:val="18"/>
                <w:szCs w:val="18"/>
                <w:b w:val="1"/>
                <w:bCs w:val="1"/>
                <w:color w:val="auto"/>
              </w:rPr>
              <w:t>11.5</w:t>
            </w:r>
          </w:p>
        </w:tc>
        <w:tc>
          <w:tcPr>
            <w:tcW w:w="5140" w:type="dxa"/>
            <w:vAlign w:val="bottom"/>
            <w:gridSpan w:val="3"/>
          </w:tcPr>
          <w:p>
            <w:pPr>
              <w:ind w:left="180"/>
              <w:spacing w:after="0"/>
              <w:rPr>
                <w:sz w:val="20"/>
                <w:szCs w:val="20"/>
                <w:color w:val="auto"/>
              </w:rPr>
            </w:pPr>
            <w:r>
              <w:rPr>
                <w:rFonts w:ascii="Arial" w:cs="Arial" w:eastAsia="Arial" w:hAnsi="Arial"/>
                <w:sz w:val="18"/>
                <w:szCs w:val="18"/>
                <w:b w:val="1"/>
                <w:bCs w:val="1"/>
                <w:color w:val="auto"/>
              </w:rPr>
              <w:t>Atlantic Security Bank</w:t>
            </w: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ASB</w:t>
            </w: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8"/>
              </w:rPr>
              <w:t>Quarter</w:t>
            </w: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gridSpan w:val="3"/>
          </w:tcPr>
          <w:p>
            <w:pPr>
              <w:ind w:left="640"/>
              <w:spacing w:after="0"/>
              <w:rPr>
                <w:sz w:val="20"/>
                <w:szCs w:val="20"/>
                <w:color w:val="auto"/>
              </w:rPr>
            </w:pPr>
            <w:r>
              <w:rPr>
                <w:rFonts w:ascii="Arial" w:cs="Arial" w:eastAsia="Arial" w:hAnsi="Arial"/>
                <w:sz w:val="18"/>
                <w:szCs w:val="18"/>
                <w:b w:val="1"/>
                <w:bCs w:val="1"/>
                <w:color w:val="auto"/>
                <w:w w:val="91"/>
              </w:rPr>
              <w:t>% Change</w:t>
            </w: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US$ 000</w:t>
            </w:r>
          </w:p>
        </w:tc>
        <w:tc>
          <w:tcPr>
            <w:tcW w:w="10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2Q14</w:t>
            </w:r>
          </w:p>
        </w:tc>
        <w:tc>
          <w:tcPr>
            <w:tcW w:w="18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1Q15</w:t>
            </w:r>
          </w:p>
        </w:tc>
        <w:tc>
          <w:tcPr>
            <w:tcW w:w="18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2Q15</w:t>
            </w:r>
          </w:p>
        </w:tc>
        <w:tc>
          <w:tcPr>
            <w:tcW w:w="20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QoQ</w:t>
            </w:r>
          </w:p>
        </w:tc>
        <w:tc>
          <w:tcPr>
            <w:tcW w:w="2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1"/>
              </w:rPr>
              <w:t>YoY</w:t>
            </w:r>
          </w:p>
        </w:tc>
        <w:tc>
          <w:tcPr>
            <w:tcW w:w="2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Total loans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816.1</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856.3</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895.5</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4.6%</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Total investments</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893.5</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902.4</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908.1</w:t>
            </w:r>
          </w:p>
        </w:tc>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0.6%</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1,881.1</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1,909.9</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1,954.5</w:t>
            </w:r>
          </w:p>
        </w:tc>
        <w:tc>
          <w:tcPr>
            <w:tcW w:w="11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Total deposits</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1,539.5</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1,569.0</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1,618.6</w:t>
            </w:r>
          </w:p>
        </w:tc>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0"/>
        </w:trPr>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shareholder’s equity</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216.3</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189.8</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195.6</w:t>
            </w:r>
          </w:p>
        </w:tc>
        <w:tc>
          <w:tcPr>
            <w:tcW w:w="11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3.0%</w:t>
            </w:r>
          </w:p>
        </w:tc>
        <w:tc>
          <w:tcPr>
            <w:tcW w:w="2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700" w:type="dxa"/>
            <w:vAlign w:val="bottom"/>
            <w:gridSpan w:val="2"/>
            <w:vMerge w:val="restart"/>
          </w:tcPr>
          <w:p>
            <w:pPr>
              <w:spacing w:after="0"/>
              <w:rPr>
                <w:sz w:val="20"/>
                <w:szCs w:val="20"/>
                <w:color w:val="auto"/>
              </w:rPr>
            </w:pPr>
            <w:r>
              <w:rPr>
                <w:rFonts w:ascii="Arial" w:cs="Arial" w:eastAsia="Arial" w:hAnsi="Arial"/>
                <w:sz w:val="18"/>
                <w:szCs w:val="18"/>
                <w:color w:val="auto"/>
              </w:rPr>
              <w:t>Net interest income</w:t>
            </w:r>
          </w:p>
        </w:tc>
        <w:tc>
          <w:tcPr>
            <w:tcW w:w="90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700" w:type="dxa"/>
            <w:vAlign w:val="bottom"/>
            <w:gridSpan w:val="2"/>
            <w:vMerge w:val="continue"/>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w:t>
            </w:r>
          </w:p>
        </w:tc>
        <w:tc>
          <w:tcPr>
            <w:tcW w:w="180" w:type="dxa"/>
            <w:vAlign w:val="bottom"/>
            <w:vMerge w:val="continue"/>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9.7</w:t>
            </w:r>
          </w:p>
        </w:tc>
        <w:tc>
          <w:tcPr>
            <w:tcW w:w="180" w:type="dxa"/>
            <w:vAlign w:val="bottom"/>
            <w:vMerge w:val="continue"/>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9.7</w:t>
            </w:r>
          </w:p>
        </w:tc>
        <w:tc>
          <w:tcPr>
            <w:tcW w:w="200" w:type="dxa"/>
            <w:vAlign w:val="bottom"/>
            <w:vMerge w:val="continue"/>
          </w:tcPr>
          <w:p>
            <w:pPr>
              <w:spacing w:after="0"/>
              <w:rPr>
                <w:sz w:val="18"/>
                <w:szCs w:val="18"/>
                <w:color w:val="auto"/>
              </w:rPr>
            </w:pPr>
          </w:p>
        </w:tc>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-0.5%</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 income</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0.5</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0.3</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0.8</w:t>
            </w:r>
          </w:p>
        </w:tc>
        <w:tc>
          <w:tcPr>
            <w:tcW w:w="11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152.8%</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Fee income</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1.9</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2.2</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2.3</w:t>
            </w:r>
          </w:p>
        </w:tc>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7.0%</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gains on foreign exchange transactions</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-0.5</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w:t>
            </w:r>
          </w:p>
        </w:tc>
        <w:tc>
          <w:tcPr>
            <w:tcW w:w="11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-85.6%</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30"/>
        </w:trPr>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Total earnings</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12.2</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11.7</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12.7</w:t>
            </w:r>
          </w:p>
        </w:tc>
        <w:tc>
          <w:tcPr>
            <w:tcW w:w="11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8.8%</w:t>
            </w:r>
          </w:p>
        </w:tc>
        <w:tc>
          <w:tcPr>
            <w:tcW w:w="28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7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Net Provisions</w:t>
            </w:r>
          </w:p>
        </w:tc>
        <w:tc>
          <w:tcPr>
            <w:tcW w:w="90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700" w:type="dxa"/>
            <w:vAlign w:val="bottom"/>
            <w:gridSpan w:val="2"/>
            <w:vMerge w:val="continue"/>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80" w:type="dxa"/>
            <w:vAlign w:val="bottom"/>
            <w:vMerge w:val="continue"/>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80" w:type="dxa"/>
            <w:vAlign w:val="bottom"/>
            <w:vMerge w:val="continue"/>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0" w:type="dxa"/>
            <w:vAlign w:val="bottom"/>
            <w:vMerge w:val="continue"/>
            <w:shd w:val="clear" w:color="auto" w:fill="CCEEFF"/>
          </w:tcPr>
          <w:p>
            <w:pPr>
              <w:spacing w:after="0"/>
              <w:rPr>
                <w:sz w:val="18"/>
                <w:szCs w:val="18"/>
                <w:color w:val="auto"/>
              </w:rPr>
            </w:pPr>
          </w:p>
        </w:tc>
        <w:tc>
          <w:tcPr>
            <w:tcW w:w="11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0.0%</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Net gains from sale of securities</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4.9</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-1.4</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0.1</w:t>
            </w:r>
          </w:p>
        </w:tc>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-107.2%</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-97.9%</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14.6</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w:t>
            </w:r>
          </w:p>
        </w:tc>
        <w:tc>
          <w:tcPr>
            <w:tcW w:w="11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-118.5%</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30"/>
        </w:trPr>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-2.8</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-2.6</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-2.8</w:t>
            </w:r>
          </w:p>
        </w:tc>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8.0%</w:t>
            </w:r>
          </w:p>
        </w:tc>
        <w:tc>
          <w:tcPr>
            <w:tcW w:w="28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0"/>
        </w:trPr>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7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28.9</w:t>
            </w:r>
          </w:p>
        </w:tc>
        <w:tc>
          <w:tcPr>
            <w:tcW w:w="1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w:t>
            </w:r>
          </w:p>
        </w:tc>
        <w:tc>
          <w:tcPr>
            <w:tcW w:w="1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9.7</w:t>
            </w: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51.4</w:t>
            </w:r>
          </w:p>
        </w:tc>
        <w:tc>
          <w:tcPr>
            <w:tcW w:w="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-66.5</w:t>
            </w:r>
          </w:p>
        </w:tc>
        <w:tc>
          <w:tcPr>
            <w:tcW w:w="200" w:type="dxa"/>
            <w:vAlign w:val="bottom"/>
            <w:tcBorders>
              <w:top w:val="single" w:sz="8" w:color="CCEEFF"/>
              <w:lef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0"/>
        </w:trPr>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Net income/share</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426"/>
        </w:trPr>
        <w:tc>
          <w:tcPr>
            <w:tcW w:w="562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Interest earning assets</w:t>
            </w: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Interest earning assets*</w:t>
            </w: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8"/>
              </w:rPr>
              <w:t>Quarter</w:t>
            </w: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gridSpan w:val="3"/>
          </w:tcPr>
          <w:p>
            <w:pPr>
              <w:ind w:left="660"/>
              <w:spacing w:after="0"/>
              <w:rPr>
                <w:sz w:val="20"/>
                <w:szCs w:val="20"/>
                <w:color w:val="auto"/>
              </w:rPr>
            </w:pPr>
            <w:r>
              <w:rPr>
                <w:rFonts w:ascii="Arial" w:cs="Arial" w:eastAsia="Arial" w:hAnsi="Arial"/>
                <w:sz w:val="18"/>
                <w:szCs w:val="18"/>
                <w:b w:val="1"/>
                <w:bCs w:val="1"/>
                <w:color w:val="auto"/>
                <w:w w:val="92"/>
              </w:rPr>
              <w:t>% change</w:t>
            </w: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US$ 000</w:t>
            </w:r>
          </w:p>
        </w:tc>
        <w:tc>
          <w:tcPr>
            <w:tcW w:w="10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2Q14</w:t>
            </w:r>
          </w:p>
        </w:tc>
        <w:tc>
          <w:tcPr>
            <w:tcW w:w="18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1Q15</w:t>
            </w:r>
          </w:p>
        </w:tc>
        <w:tc>
          <w:tcPr>
            <w:tcW w:w="18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2Q15</w:t>
            </w:r>
          </w:p>
        </w:tc>
        <w:tc>
          <w:tcPr>
            <w:tcW w:w="20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QoQ</w:t>
            </w:r>
          </w:p>
        </w:tc>
        <w:tc>
          <w:tcPr>
            <w:tcW w:w="2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1"/>
              </w:rPr>
              <w:t>YoY</w:t>
            </w:r>
          </w:p>
        </w:tc>
        <w:tc>
          <w:tcPr>
            <w:tcW w:w="2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Due from banks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Loans</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816</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856</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895</w:t>
            </w:r>
          </w:p>
        </w:tc>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4.6%</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30"/>
        </w:trPr>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800</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805</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805</w:t>
            </w:r>
          </w:p>
        </w:tc>
        <w:tc>
          <w:tcPr>
            <w:tcW w:w="11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0.0%</w:t>
            </w:r>
          </w:p>
        </w:tc>
        <w:tc>
          <w:tcPr>
            <w:tcW w:w="2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0"/>
        </w:trPr>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Total interest earning assets</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1,754</w:t>
            </w:r>
          </w:p>
        </w:tc>
        <w:tc>
          <w:tcPr>
            <w:tcW w:w="18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1,774</w:t>
            </w:r>
          </w:p>
        </w:tc>
        <w:tc>
          <w:tcPr>
            <w:tcW w:w="18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1,813</w:t>
            </w:r>
          </w:p>
        </w:tc>
        <w:tc>
          <w:tcPr>
            <w:tcW w:w="20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w:t>
            </w:r>
          </w:p>
        </w:tc>
        <w:tc>
          <w:tcPr>
            <w:tcW w:w="280" w:type="dxa"/>
            <w:vAlign w:val="bottom"/>
          </w:tcPr>
          <w:p>
            <w:pPr>
              <w:spacing w:after="0"/>
              <w:rPr>
                <w:sz w:val="20"/>
                <w:szCs w:val="20"/>
                <w:color w:val="auto"/>
              </w:rPr>
            </w:pPr>
            <w:r>
              <w:rPr>
                <w:rFonts w:ascii="Arial" w:cs="Arial" w:eastAsia="Arial" w:hAnsi="Arial"/>
                <w:sz w:val="18"/>
                <w:szCs w:val="18"/>
                <w:b w:val="1"/>
                <w:bCs w:val="1"/>
                <w:color w:val="auto"/>
              </w:rPr>
              <w:t>%</w:t>
            </w:r>
          </w:p>
        </w:tc>
        <w:tc>
          <w:tcPr>
            <w:tcW w:w="2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0"/>
        </w:trPr>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 Excludes investments in equities and mutual funds.</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562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Liabilities</w:t>
            </w: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8"/>
              </w:rPr>
              <w:t>Quarter</w:t>
            </w: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gridSpan w:val="3"/>
          </w:tcPr>
          <w:p>
            <w:pPr>
              <w:ind w:left="660"/>
              <w:spacing w:after="0"/>
              <w:rPr>
                <w:sz w:val="20"/>
                <w:szCs w:val="20"/>
                <w:color w:val="auto"/>
              </w:rPr>
            </w:pPr>
            <w:r>
              <w:rPr>
                <w:rFonts w:ascii="Arial" w:cs="Arial" w:eastAsia="Arial" w:hAnsi="Arial"/>
                <w:sz w:val="18"/>
                <w:szCs w:val="18"/>
                <w:b w:val="1"/>
                <w:bCs w:val="1"/>
                <w:color w:val="auto"/>
                <w:w w:val="92"/>
              </w:rPr>
              <w:t>% change</w:t>
            </w: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US$ 000</w:t>
            </w:r>
          </w:p>
        </w:tc>
        <w:tc>
          <w:tcPr>
            <w:tcW w:w="10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2Q14</w:t>
            </w:r>
          </w:p>
        </w:tc>
        <w:tc>
          <w:tcPr>
            <w:tcW w:w="18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1Q15</w:t>
            </w:r>
          </w:p>
        </w:tc>
        <w:tc>
          <w:tcPr>
            <w:tcW w:w="18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2Q15</w:t>
            </w:r>
          </w:p>
        </w:tc>
        <w:tc>
          <w:tcPr>
            <w:tcW w:w="20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QoQ</w:t>
            </w:r>
          </w:p>
        </w:tc>
        <w:tc>
          <w:tcPr>
            <w:tcW w:w="2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1"/>
              </w:rPr>
              <w:t>YoY</w:t>
            </w:r>
          </w:p>
        </w:tc>
        <w:tc>
          <w:tcPr>
            <w:tcW w:w="2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Deposits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3.2%</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Borrowed Funds</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101</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88</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115</w:t>
            </w:r>
          </w:p>
        </w:tc>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31.3%</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30"/>
        </w:trPr>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w:t>
            </w:r>
          </w:p>
        </w:tc>
        <w:tc>
          <w:tcPr>
            <w:tcW w:w="11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-60.0%</w:t>
            </w:r>
          </w:p>
        </w:tc>
        <w:tc>
          <w:tcPr>
            <w:tcW w:w="2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0"/>
        </w:trPr>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1,665</w:t>
            </w:r>
          </w:p>
        </w:tc>
        <w:tc>
          <w:tcPr>
            <w:tcW w:w="18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1,720</w:t>
            </w:r>
          </w:p>
        </w:tc>
        <w:tc>
          <w:tcPr>
            <w:tcW w:w="18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1,759</w:t>
            </w:r>
          </w:p>
        </w:tc>
        <w:tc>
          <w:tcPr>
            <w:tcW w:w="20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2.3</w:t>
            </w:r>
          </w:p>
        </w:tc>
        <w:tc>
          <w:tcPr>
            <w:tcW w:w="280" w:type="dxa"/>
            <w:vAlign w:val="bottom"/>
          </w:tcPr>
          <w:p>
            <w:pPr>
              <w:spacing w:after="0"/>
              <w:rPr>
                <w:sz w:val="20"/>
                <w:szCs w:val="20"/>
                <w:color w:val="auto"/>
              </w:rPr>
            </w:pPr>
            <w:r>
              <w:rPr>
                <w:rFonts w:ascii="Arial" w:cs="Arial" w:eastAsia="Arial" w:hAnsi="Arial"/>
                <w:sz w:val="18"/>
                <w:szCs w:val="18"/>
                <w:b w:val="1"/>
                <w:bCs w:val="1"/>
                <w:color w:val="auto"/>
              </w:rPr>
              <w:t>%</w:t>
            </w:r>
          </w:p>
        </w:tc>
        <w:tc>
          <w:tcPr>
            <w:tcW w:w="2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5.7</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i w:val="1"/>
          <w:iCs w:val="1"/>
          <w:color w:val="auto"/>
        </w:rPr>
        <w:t>Assets under management and Deposits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Assets Under Management and Deposits (US$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1900555</wp:posOffset>
            </wp:positionH>
            <wp:positionV relativeFrom="paragraph">
              <wp:posOffset>154940</wp:posOffset>
            </wp:positionV>
            <wp:extent cx="3456305" cy="16465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56305" cy="1646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distribution as of June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2165985</wp:posOffset>
            </wp:positionH>
            <wp:positionV relativeFrom="paragraph">
              <wp:posOffset>152400</wp:posOffset>
            </wp:positionV>
            <wp:extent cx="3447415" cy="20497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47415" cy="204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34"/>
        </w:trPr>
        <w:tc>
          <w:tcPr>
            <w:tcW w:w="48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w w:val="85"/>
              </w:rPr>
              <w:t>11.6</w:t>
            </w:r>
          </w:p>
        </w:tc>
        <w:tc>
          <w:tcPr>
            <w:tcW w:w="3880" w:type="dxa"/>
            <w:vAlign w:val="bottom"/>
          </w:tcPr>
          <w:p>
            <w:pPr>
              <w:ind w:left="180"/>
              <w:spacing w:after="0"/>
              <w:rPr>
                <w:sz w:val="20"/>
                <w:szCs w:val="20"/>
                <w:color w:val="auto"/>
              </w:rPr>
            </w:pPr>
            <w:r>
              <w:rPr>
                <w:rFonts w:ascii="Arial" w:cs="Arial" w:eastAsia="Arial" w:hAnsi="Arial"/>
                <w:sz w:val="18"/>
                <w:szCs w:val="18"/>
                <w:b w:val="1"/>
                <w:bCs w:val="1"/>
                <w:color w:val="auto"/>
              </w:rPr>
              <w:t>Grupo Pacifico</w:t>
            </w:r>
          </w:p>
        </w:tc>
        <w:tc>
          <w:tcPr>
            <w:tcW w:w="6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3200" w:type="dxa"/>
            <w:vAlign w:val="bottom"/>
            <w:gridSpan w:val="5"/>
          </w:tcPr>
          <w:p>
            <w:pPr>
              <w:jc w:val="center"/>
              <w:ind w:right="500"/>
              <w:spacing w:after="0"/>
              <w:rPr>
                <w:sz w:val="20"/>
                <w:szCs w:val="20"/>
                <w:color w:val="auto"/>
              </w:rPr>
            </w:pPr>
            <w:r>
              <w:rPr>
                <w:rFonts w:ascii="Arial" w:cs="Arial" w:eastAsia="Arial" w:hAnsi="Arial"/>
                <w:sz w:val="18"/>
                <w:szCs w:val="18"/>
                <w:b w:val="1"/>
                <w:bCs w:val="1"/>
                <w:color w:val="auto"/>
              </w:rPr>
              <w:t>GRUPO PACIFICO*</w:t>
            </w: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3200" w:type="dxa"/>
            <w:vAlign w:val="bottom"/>
            <w:gridSpan w:val="5"/>
          </w:tcPr>
          <w:p>
            <w:pPr>
              <w:jc w:val="center"/>
              <w:ind w:right="480"/>
              <w:spacing w:after="0"/>
              <w:rPr>
                <w:sz w:val="20"/>
                <w:szCs w:val="20"/>
                <w:color w:val="auto"/>
              </w:rPr>
            </w:pPr>
            <w:r>
              <w:rPr>
                <w:rFonts w:ascii="Arial" w:cs="Arial" w:eastAsia="Arial" w:hAnsi="Arial"/>
                <w:sz w:val="18"/>
                <w:szCs w:val="18"/>
                <w:b w:val="1"/>
                <w:bCs w:val="1"/>
                <w:color w:val="auto"/>
                <w:w w:val="87"/>
              </w:rPr>
              <w:t>(In thousand Nuevos Soles)</w:t>
            </w: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Quarter</w:t>
            </w: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60" w:type="dxa"/>
            <w:vAlign w:val="bottom"/>
            <w:gridSpan w:val="3"/>
          </w:tcPr>
          <w:p>
            <w:pPr>
              <w:ind w:left="720"/>
              <w:spacing w:after="0"/>
              <w:rPr>
                <w:sz w:val="20"/>
                <w:szCs w:val="20"/>
                <w:color w:val="auto"/>
              </w:rPr>
            </w:pPr>
            <w:r>
              <w:rPr>
                <w:rFonts w:ascii="Arial" w:cs="Arial" w:eastAsia="Arial" w:hAnsi="Arial"/>
                <w:sz w:val="18"/>
                <w:szCs w:val="18"/>
                <w:b w:val="1"/>
                <w:bCs w:val="1"/>
                <w:color w:val="auto"/>
                <w:w w:val="94"/>
              </w:rPr>
              <w:t>% Change</w:t>
            </w: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300" w:type="dxa"/>
            <w:vAlign w:val="bottom"/>
            <w:gridSpan w:val="2"/>
          </w:tcPr>
          <w:p>
            <w:pPr>
              <w:ind w:left="300"/>
              <w:spacing w:after="0"/>
              <w:rPr>
                <w:sz w:val="20"/>
                <w:szCs w:val="20"/>
                <w:color w:val="auto"/>
              </w:rPr>
            </w:pPr>
            <w:r>
              <w:rPr>
                <w:rFonts w:ascii="Arial" w:cs="Arial" w:eastAsia="Arial" w:hAnsi="Arial"/>
                <w:sz w:val="18"/>
                <w:szCs w:val="18"/>
                <w:b w:val="1"/>
                <w:bCs w:val="1"/>
                <w:color w:val="auto"/>
              </w:rPr>
              <w:t>2Q14</w:t>
            </w: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1Q15</w:t>
            </w:r>
          </w:p>
        </w:tc>
        <w:tc>
          <w:tcPr>
            <w:tcW w:w="1300" w:type="dxa"/>
            <w:vAlign w:val="bottom"/>
            <w:gridSpan w:val="2"/>
          </w:tcPr>
          <w:p>
            <w:pPr>
              <w:ind w:left="280"/>
              <w:spacing w:after="0"/>
              <w:rPr>
                <w:sz w:val="20"/>
                <w:szCs w:val="20"/>
                <w:color w:val="auto"/>
              </w:rPr>
            </w:pPr>
            <w:r>
              <w:rPr>
                <w:rFonts w:ascii="Arial" w:cs="Arial" w:eastAsia="Arial" w:hAnsi="Arial"/>
                <w:sz w:val="18"/>
                <w:szCs w:val="18"/>
                <w:b w:val="1"/>
                <w:bCs w:val="1"/>
                <w:color w:val="auto"/>
              </w:rPr>
              <w:t>2Q15</w:t>
            </w:r>
          </w:p>
        </w:tc>
        <w:tc>
          <w:tcPr>
            <w:tcW w:w="1560" w:type="dxa"/>
            <w:vAlign w:val="bottom"/>
            <w:gridSpan w:val="3"/>
          </w:tcPr>
          <w:p>
            <w:pPr>
              <w:ind w:left="300"/>
              <w:spacing w:after="0"/>
              <w:rPr>
                <w:sz w:val="20"/>
                <w:szCs w:val="20"/>
                <w:color w:val="auto"/>
              </w:rPr>
            </w:pPr>
            <w:r>
              <w:rPr>
                <w:rFonts w:ascii="Arial" w:cs="Arial" w:eastAsia="Arial" w:hAnsi="Arial"/>
                <w:sz w:val="18"/>
                <w:szCs w:val="18"/>
                <w:b w:val="1"/>
                <w:bCs w:val="1"/>
                <w:color w:val="auto"/>
              </w:rPr>
              <w:t>QoQ</w:t>
            </w:r>
          </w:p>
        </w:tc>
        <w:tc>
          <w:tcPr>
            <w:tcW w:w="9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6"/>
              </w:rPr>
              <w:t>YoY</w:t>
            </w: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3880" w:type="dxa"/>
            <w:vAlign w:val="bottom"/>
            <w:tcBorders>
              <w:top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b w:val="1"/>
                <w:bCs w:val="1"/>
                <w:color w:val="auto"/>
                <w:w w:val="89"/>
              </w:rPr>
              <w:t>Balance (end of period)</w:t>
            </w:r>
          </w:p>
        </w:tc>
        <w:tc>
          <w:tcPr>
            <w:tcW w:w="6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7,895,296</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8,785,361</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8,719,342</w:t>
            </w:r>
          </w:p>
        </w:tc>
        <w:tc>
          <w:tcPr>
            <w:tcW w:w="3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-0.8%</w:t>
            </w:r>
          </w:p>
        </w:tc>
        <w:tc>
          <w:tcPr>
            <w:tcW w:w="2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57"/>
        </w:trPr>
        <w:tc>
          <w:tcPr>
            <w:tcW w:w="120" w:type="dxa"/>
            <w:vAlign w:val="bottom"/>
          </w:tcPr>
          <w:p>
            <w:pPr>
              <w:spacing w:after="0"/>
              <w:rPr>
                <w:sz w:val="22"/>
                <w:szCs w:val="22"/>
                <w:color w:val="auto"/>
              </w:rPr>
            </w:pPr>
          </w:p>
        </w:tc>
        <w:tc>
          <w:tcPr>
            <w:tcW w:w="42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Invesment on securities </w:t>
            </w:r>
            <w:r>
              <w:rPr>
                <w:rFonts w:ascii="Arial" w:cs="Arial" w:eastAsia="Arial" w:hAnsi="Arial"/>
                <w:sz w:val="29"/>
                <w:szCs w:val="29"/>
                <w:color w:val="auto"/>
                <w:vertAlign w:val="superscript"/>
              </w:rPr>
              <w:t>(1)</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4,909,974</w:t>
            </w: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6,293,815</w:t>
            </w: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6,415,552</w:t>
            </w:r>
          </w:p>
        </w:tc>
        <w:tc>
          <w:tcPr>
            <w:tcW w:w="30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w:t>
            </w:r>
          </w:p>
        </w:tc>
        <w:tc>
          <w:tcPr>
            <w:tcW w:w="28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Technical reserves</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5,136,815</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5,624,277</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5,819,066</w:t>
            </w:r>
          </w:p>
        </w:tc>
        <w:tc>
          <w:tcPr>
            <w:tcW w:w="3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3.5%</w:t>
            </w:r>
          </w:p>
        </w:tc>
        <w:tc>
          <w:tcPr>
            <w:tcW w:w="2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equity</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1,452,715</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1,879,396</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1,745,821</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80" w:type="dxa"/>
            <w:vAlign w:val="bottom"/>
            <w:shd w:val="clear" w:color="auto" w:fill="CCEEFF"/>
          </w:tcPr>
          <w:p>
            <w:pPr>
              <w:jc w:val="center"/>
              <w:ind w:left="30"/>
              <w:spacing w:after="0"/>
              <w:rPr>
                <w:sz w:val="20"/>
                <w:szCs w:val="20"/>
                <w:color w:val="auto"/>
              </w:rPr>
            </w:pPr>
            <w:r>
              <w:rPr>
                <w:rFonts w:ascii="Arial" w:cs="Arial" w:eastAsia="Arial" w:hAnsi="Arial"/>
                <w:sz w:val="18"/>
                <w:szCs w:val="18"/>
                <w:b w:val="1"/>
                <w:bCs w:val="1"/>
                <w:color w:val="auto"/>
                <w:w w:val="90"/>
              </w:rPr>
              <w:t>Quarterly income statement</w:t>
            </w:r>
          </w:p>
        </w:tc>
        <w:tc>
          <w:tcPr>
            <w:tcW w:w="6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Net earned premiums</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544,306</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410,598</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434,266</w:t>
            </w:r>
          </w:p>
        </w:tc>
        <w:tc>
          <w:tcPr>
            <w:tcW w:w="3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5.8%</w:t>
            </w:r>
          </w:p>
        </w:tc>
        <w:tc>
          <w:tcPr>
            <w:tcW w:w="2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claims</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356,355</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232,274</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255,383</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Net fees</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99,233</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102,266</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101,964</w:t>
            </w:r>
          </w:p>
        </w:tc>
        <w:tc>
          <w:tcPr>
            <w:tcW w:w="3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-0.3%</w:t>
            </w:r>
          </w:p>
        </w:tc>
        <w:tc>
          <w:tcPr>
            <w:tcW w:w="2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underwriting expenses</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14,090</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13,357</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12,134</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b w:val="1"/>
                <w:bCs w:val="1"/>
                <w:color w:val="auto"/>
              </w:rPr>
              <w:t>Underwriting result before Medical services</w:t>
            </w: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rPr>
              <w:t>74,629</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62,700</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64,785</w:t>
            </w:r>
          </w:p>
        </w:tc>
        <w:tc>
          <w:tcPr>
            <w:tcW w:w="3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3.3%</w:t>
            </w:r>
          </w:p>
        </w:tc>
        <w:tc>
          <w:tcPr>
            <w:tcW w:w="2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-13.2%</w:t>
            </w:r>
          </w:p>
        </w:tc>
        <w:tc>
          <w:tcPr>
            <w:tcW w:w="0" w:type="dxa"/>
            <w:vAlign w:val="bottom"/>
          </w:tcPr>
          <w:p>
            <w:pPr>
              <w:spacing w:after="0"/>
              <w:rPr>
                <w:sz w:val="1"/>
                <w:szCs w:val="1"/>
                <w:color w:val="auto"/>
              </w:rPr>
            </w:pPr>
          </w:p>
        </w:tc>
      </w:tr>
      <w:tr>
        <w:trPr>
          <w:trHeight w:val="216"/>
        </w:trPr>
        <w:tc>
          <w:tcPr>
            <w:tcW w:w="120" w:type="dxa"/>
            <w:vAlign w:val="bottom"/>
            <w:vMerge w:val="restart"/>
          </w:tcPr>
          <w:p>
            <w:pPr>
              <w:spacing w:after="0"/>
              <w:rPr>
                <w:sz w:val="18"/>
                <w:szCs w:val="18"/>
                <w:color w:val="auto"/>
              </w:rPr>
            </w:pPr>
          </w:p>
        </w:tc>
        <w:tc>
          <w:tcPr>
            <w:tcW w:w="4240" w:type="dxa"/>
            <w:vAlign w:val="bottom"/>
            <w:gridSpan w:val="2"/>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vMerge w:val="continue"/>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Medical services gross margin</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25,242</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income, net</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77,457</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84,836</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97,425</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14.8%</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6"/>
        </w:trPr>
        <w:tc>
          <w:tcPr>
            <w:tcW w:w="120" w:type="dxa"/>
            <w:vAlign w:val="bottom"/>
            <w:vMerge w:val="restart"/>
          </w:tcPr>
          <w:p>
            <w:pPr>
              <w:spacing w:after="0"/>
              <w:rPr>
                <w:sz w:val="18"/>
                <w:szCs w:val="18"/>
                <w:color w:val="auto"/>
              </w:rPr>
            </w:pPr>
          </w:p>
        </w:tc>
        <w:tc>
          <w:tcPr>
            <w:tcW w:w="4240" w:type="dxa"/>
            <w:vAlign w:val="bottom"/>
            <w:gridSpan w:val="2"/>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vMerge w:val="continue"/>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131,759</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88,734</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97,758</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6"/>
        </w:trPr>
        <w:tc>
          <w:tcPr>
            <w:tcW w:w="120" w:type="dxa"/>
            <w:vAlign w:val="bottom"/>
            <w:vMerge w:val="restart"/>
          </w:tcPr>
          <w:p>
            <w:pPr>
              <w:spacing w:after="0"/>
              <w:rPr>
                <w:sz w:val="18"/>
                <w:szCs w:val="18"/>
                <w:color w:val="auto"/>
              </w:rPr>
            </w:pPr>
          </w:p>
        </w:tc>
        <w:tc>
          <w:tcPr>
            <w:tcW w:w="4240" w:type="dxa"/>
            <w:vAlign w:val="bottom"/>
            <w:gridSpan w:val="2"/>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vMerge w:val="continue"/>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5,635</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5,386</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5,404</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Traslations results</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1,235</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4,177</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4,868</w:t>
            </w:r>
          </w:p>
        </w:tc>
        <w:tc>
          <w:tcPr>
            <w:tcW w:w="3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16.5%</w:t>
            </w:r>
          </w:p>
        </w:tc>
        <w:tc>
          <w:tcPr>
            <w:tcW w:w="2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294.3%</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Gain (loss) from Pacífico and Banmedica joint venture</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146,819</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-100.2%</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Income tax</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4,697</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44,615</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7,520</w:t>
            </w:r>
          </w:p>
        </w:tc>
        <w:tc>
          <w:tcPr>
            <w:tcW w:w="3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-83.1%</w:t>
            </w:r>
          </w:p>
        </w:tc>
        <w:tc>
          <w:tcPr>
            <w:tcW w:w="2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16"/>
        </w:trPr>
        <w:tc>
          <w:tcPr>
            <w:tcW w:w="120" w:type="dxa"/>
            <w:vAlign w:val="bottom"/>
            <w:vMerge w:val="restart"/>
          </w:tcPr>
          <w:p>
            <w:pPr>
              <w:spacing w:after="0"/>
              <w:rPr>
                <w:sz w:val="18"/>
                <w:szCs w:val="18"/>
                <w:color w:val="auto"/>
              </w:rPr>
            </w:pPr>
          </w:p>
        </w:tc>
        <w:tc>
          <w:tcPr>
            <w:tcW w:w="4240" w:type="dxa"/>
            <w:vAlign w:val="bottom"/>
            <w:gridSpan w:val="2"/>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vMerge w:val="continue"/>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b w:val="1"/>
                <w:bCs w:val="1"/>
                <w:color w:val="auto"/>
              </w:rPr>
              <w:t>Income before minority interest</w:t>
            </w: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rPr>
              <w:t>47,742</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170,568</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66,976</w:t>
            </w:r>
          </w:p>
        </w:tc>
        <w:tc>
          <w:tcPr>
            <w:tcW w:w="3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-60.7%</w:t>
            </w:r>
          </w:p>
        </w:tc>
        <w:tc>
          <w:tcPr>
            <w:tcW w:w="2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40.3%</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5,909</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6,925</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7,010</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120" w:type="dxa"/>
            <w:vAlign w:val="bottom"/>
            <w:vMerge w:val="restart"/>
          </w:tcPr>
          <w:p>
            <w:pPr>
              <w:spacing w:after="0"/>
              <w:rPr>
                <w:sz w:val="18"/>
                <w:szCs w:val="18"/>
                <w:color w:val="auto"/>
              </w:rPr>
            </w:pPr>
          </w:p>
        </w:tc>
        <w:tc>
          <w:tcPr>
            <w:tcW w:w="4240" w:type="dxa"/>
            <w:vAlign w:val="bottom"/>
            <w:gridSpan w:val="2"/>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vMerge w:val="continue"/>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41,833</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163,643</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59,966</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-63.4%</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5622290</wp:posOffset>
            </wp:positionH>
            <wp:positionV relativeFrom="paragraph">
              <wp:posOffset>137160</wp:posOffset>
            </wp:positionV>
            <wp:extent cx="1560830" cy="1371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560830" cy="137160"/>
                    </a:xfrm>
                    <a:prstGeom prst="rect">
                      <a:avLst/>
                    </a:prstGeom>
                    <a:noFill/>
                  </pic:spPr>
                </pic:pic>
              </a:graphicData>
            </a:graphic>
          </wp:anchor>
        </w:drawing>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2100"/>
              <w:spacing w:after="0"/>
              <w:rPr>
                <w:sz w:val="20"/>
                <w:szCs w:val="20"/>
                <w:color w:val="auto"/>
              </w:rPr>
            </w:pPr>
            <w:r>
              <w:rPr>
                <w:rFonts w:ascii="Arial" w:cs="Arial" w:eastAsia="Arial" w:hAnsi="Arial"/>
                <w:sz w:val="18"/>
                <w:szCs w:val="18"/>
                <w:b w:val="1"/>
                <w:bCs w:val="1"/>
                <w:color w:val="auto"/>
              </w:rPr>
              <w:t>Ratios</w:t>
            </w:r>
          </w:p>
        </w:tc>
        <w:tc>
          <w:tcPr>
            <w:tcW w:w="16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Ceded</w:t>
            </w:r>
          </w:p>
        </w:tc>
        <w:tc>
          <w:tcPr>
            <w:tcW w:w="1640" w:type="dxa"/>
            <w:vAlign w:val="bottom"/>
          </w:tcPr>
          <w:p>
            <w:pPr>
              <w:jc w:val="right"/>
              <w:ind w:right="350"/>
              <w:spacing w:after="0"/>
              <w:rPr>
                <w:sz w:val="20"/>
                <w:szCs w:val="20"/>
                <w:color w:val="auto"/>
              </w:rPr>
            </w:pPr>
            <w:r>
              <w:rPr>
                <w:rFonts w:ascii="Arial" w:cs="Arial" w:eastAsia="Arial" w:hAnsi="Arial"/>
                <w:sz w:val="18"/>
                <w:szCs w:val="18"/>
                <w:color w:val="auto"/>
              </w:rPr>
              <w:t>16.1%</w:t>
            </w:r>
          </w:p>
        </w:tc>
        <w:tc>
          <w:tcPr>
            <w:tcW w:w="1300" w:type="dxa"/>
            <w:vAlign w:val="bottom"/>
          </w:tcPr>
          <w:p>
            <w:pPr>
              <w:ind w:left="400"/>
              <w:spacing w:after="0"/>
              <w:rPr>
                <w:sz w:val="20"/>
                <w:szCs w:val="20"/>
                <w:color w:val="auto"/>
              </w:rPr>
            </w:pPr>
            <w:r>
              <w:rPr>
                <w:rFonts w:ascii="Arial" w:cs="Arial" w:eastAsia="Arial" w:hAnsi="Arial"/>
                <w:sz w:val="18"/>
                <w:szCs w:val="18"/>
                <w:color w:val="auto"/>
              </w:rPr>
              <w:t>13.5%</w:t>
            </w:r>
          </w:p>
        </w:tc>
        <w:tc>
          <w:tcPr>
            <w:tcW w:w="3480" w:type="dxa"/>
            <w:vAlign w:val="bottom"/>
          </w:tcPr>
          <w:p>
            <w:pPr>
              <w:jc w:val="right"/>
              <w:ind w:right="253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Loss ratio</w:t>
            </w:r>
          </w:p>
        </w:tc>
        <w:tc>
          <w:tcPr>
            <w:tcW w:w="16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65.5%</w:t>
            </w:r>
          </w:p>
        </w:tc>
        <w:tc>
          <w:tcPr>
            <w:tcW w:w="1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56.6%</w:t>
            </w:r>
          </w:p>
        </w:tc>
        <w:tc>
          <w:tcPr>
            <w:tcW w:w="3480" w:type="dxa"/>
            <w:vAlign w:val="bottom"/>
            <w:shd w:val="clear" w:color="auto" w:fill="CCEEFF"/>
          </w:tcPr>
          <w:p>
            <w:pPr>
              <w:jc w:val="right"/>
              <w:ind w:right="2530"/>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Fees + underwriting expenses, net / net earned premiums</w:t>
            </w:r>
          </w:p>
        </w:tc>
        <w:tc>
          <w:tcPr>
            <w:tcW w:w="1640" w:type="dxa"/>
            <w:vAlign w:val="bottom"/>
          </w:tcPr>
          <w:p>
            <w:pPr>
              <w:jc w:val="right"/>
              <w:ind w:right="350"/>
              <w:spacing w:after="0"/>
              <w:rPr>
                <w:sz w:val="20"/>
                <w:szCs w:val="20"/>
                <w:color w:val="auto"/>
              </w:rPr>
            </w:pPr>
            <w:r>
              <w:rPr>
                <w:rFonts w:ascii="Arial" w:cs="Arial" w:eastAsia="Arial" w:hAnsi="Arial"/>
                <w:sz w:val="18"/>
                <w:szCs w:val="18"/>
                <w:color w:val="auto"/>
              </w:rPr>
              <w:t>20.8%</w:t>
            </w:r>
          </w:p>
        </w:tc>
        <w:tc>
          <w:tcPr>
            <w:tcW w:w="1300" w:type="dxa"/>
            <w:vAlign w:val="bottom"/>
          </w:tcPr>
          <w:p>
            <w:pPr>
              <w:ind w:left="400"/>
              <w:spacing w:after="0"/>
              <w:rPr>
                <w:sz w:val="20"/>
                <w:szCs w:val="20"/>
                <w:color w:val="auto"/>
              </w:rPr>
            </w:pPr>
            <w:r>
              <w:rPr>
                <w:rFonts w:ascii="Arial" w:cs="Arial" w:eastAsia="Arial" w:hAnsi="Arial"/>
                <w:sz w:val="18"/>
                <w:szCs w:val="18"/>
                <w:color w:val="auto"/>
              </w:rPr>
              <w:t>28.2%</w:t>
            </w:r>
          </w:p>
        </w:tc>
        <w:tc>
          <w:tcPr>
            <w:tcW w:w="3480" w:type="dxa"/>
            <w:vAlign w:val="bottom"/>
          </w:tcPr>
          <w:p>
            <w:pPr>
              <w:jc w:val="right"/>
              <w:ind w:right="253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Underwriting results / net earned premiums</w:t>
            </w:r>
          </w:p>
        </w:tc>
        <w:tc>
          <w:tcPr>
            <w:tcW w:w="16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13.7%</w:t>
            </w:r>
          </w:p>
        </w:tc>
        <w:tc>
          <w:tcPr>
            <w:tcW w:w="1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15.3%</w:t>
            </w:r>
          </w:p>
        </w:tc>
        <w:tc>
          <w:tcPr>
            <w:tcW w:w="3480" w:type="dxa"/>
            <w:vAlign w:val="bottom"/>
            <w:shd w:val="clear" w:color="auto" w:fill="CCEEFF"/>
          </w:tcPr>
          <w:p>
            <w:pPr>
              <w:jc w:val="right"/>
              <w:ind w:right="253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Operating expenses / net earned premiums</w:t>
            </w:r>
          </w:p>
        </w:tc>
        <w:tc>
          <w:tcPr>
            <w:tcW w:w="1640" w:type="dxa"/>
            <w:vAlign w:val="bottom"/>
          </w:tcPr>
          <w:p>
            <w:pPr>
              <w:jc w:val="right"/>
              <w:ind w:right="350"/>
              <w:spacing w:after="0"/>
              <w:rPr>
                <w:sz w:val="20"/>
                <w:szCs w:val="20"/>
                <w:color w:val="auto"/>
              </w:rPr>
            </w:pPr>
            <w:r>
              <w:rPr>
                <w:rFonts w:ascii="Arial" w:cs="Arial" w:eastAsia="Arial" w:hAnsi="Arial"/>
                <w:sz w:val="18"/>
                <w:szCs w:val="18"/>
                <w:color w:val="auto"/>
              </w:rPr>
              <w:t>24.2%</w:t>
            </w:r>
          </w:p>
        </w:tc>
        <w:tc>
          <w:tcPr>
            <w:tcW w:w="1300" w:type="dxa"/>
            <w:vAlign w:val="bottom"/>
          </w:tcPr>
          <w:p>
            <w:pPr>
              <w:ind w:left="400"/>
              <w:spacing w:after="0"/>
              <w:rPr>
                <w:sz w:val="20"/>
                <w:szCs w:val="20"/>
                <w:color w:val="auto"/>
              </w:rPr>
            </w:pPr>
            <w:r>
              <w:rPr>
                <w:rFonts w:ascii="Arial" w:cs="Arial" w:eastAsia="Arial" w:hAnsi="Arial"/>
                <w:sz w:val="18"/>
                <w:szCs w:val="18"/>
                <w:color w:val="auto"/>
              </w:rPr>
              <w:t>21.6%</w:t>
            </w:r>
          </w:p>
        </w:tc>
        <w:tc>
          <w:tcPr>
            <w:tcW w:w="3480" w:type="dxa"/>
            <w:vAlign w:val="bottom"/>
          </w:tcPr>
          <w:p>
            <w:pPr>
              <w:jc w:val="right"/>
              <w:ind w:right="253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760" w:type="dxa"/>
            <w:vAlign w:val="bottom"/>
            <w:shd w:val="clear" w:color="auto" w:fill="CCEEFF"/>
          </w:tcPr>
          <w:p>
            <w:pPr>
              <w:spacing w:after="0" w:line="256" w:lineRule="exact"/>
              <w:rPr>
                <w:sz w:val="20"/>
                <w:szCs w:val="20"/>
                <w:color w:val="auto"/>
              </w:rPr>
            </w:pPr>
            <w:r>
              <w:rPr>
                <w:rFonts w:ascii="Arial" w:cs="Arial" w:eastAsia="Arial" w:hAnsi="Arial"/>
                <w:sz w:val="29"/>
                <w:szCs w:val="29"/>
                <w:color w:val="auto"/>
                <w:vertAlign w:val="subscript"/>
              </w:rPr>
              <w:t>ROAE</w:t>
            </w:r>
            <w:r>
              <w:rPr>
                <w:rFonts w:ascii="Arial" w:cs="Arial" w:eastAsia="Arial" w:hAnsi="Arial"/>
                <w:sz w:val="13"/>
                <w:szCs w:val="13"/>
                <w:color w:val="auto"/>
              </w:rPr>
              <w:t xml:space="preserve"> (2)(3)</w:t>
            </w:r>
          </w:p>
        </w:tc>
        <w:tc>
          <w:tcPr>
            <w:tcW w:w="16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11.0%</w:t>
            </w:r>
          </w:p>
        </w:tc>
        <w:tc>
          <w:tcPr>
            <w:tcW w:w="1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36.4%</w:t>
            </w:r>
          </w:p>
        </w:tc>
        <w:tc>
          <w:tcPr>
            <w:tcW w:w="3480" w:type="dxa"/>
            <w:vAlign w:val="bottom"/>
            <w:shd w:val="clear" w:color="auto" w:fill="CCEEFF"/>
          </w:tcPr>
          <w:p>
            <w:pPr>
              <w:jc w:val="right"/>
              <w:ind w:right="253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Return on written premiums</w:t>
            </w:r>
          </w:p>
        </w:tc>
        <w:tc>
          <w:tcPr>
            <w:tcW w:w="1640" w:type="dxa"/>
            <w:vAlign w:val="bottom"/>
          </w:tcPr>
          <w:p>
            <w:pPr>
              <w:jc w:val="right"/>
              <w:ind w:right="350"/>
              <w:spacing w:after="0"/>
              <w:rPr>
                <w:sz w:val="20"/>
                <w:szCs w:val="20"/>
                <w:color w:val="auto"/>
              </w:rPr>
            </w:pPr>
            <w:r>
              <w:rPr>
                <w:rFonts w:ascii="Arial" w:cs="Arial" w:eastAsia="Arial" w:hAnsi="Arial"/>
                <w:sz w:val="18"/>
                <w:szCs w:val="18"/>
                <w:color w:val="auto"/>
              </w:rPr>
              <w:t>5.4%</w:t>
            </w:r>
          </w:p>
        </w:tc>
        <w:tc>
          <w:tcPr>
            <w:tcW w:w="1300" w:type="dxa"/>
            <w:vAlign w:val="bottom"/>
          </w:tcPr>
          <w:p>
            <w:pPr>
              <w:ind w:left="400"/>
              <w:spacing w:after="0"/>
              <w:rPr>
                <w:sz w:val="20"/>
                <w:szCs w:val="20"/>
                <w:color w:val="auto"/>
              </w:rPr>
            </w:pPr>
            <w:r>
              <w:rPr>
                <w:rFonts w:ascii="Arial" w:cs="Arial" w:eastAsia="Arial" w:hAnsi="Arial"/>
                <w:sz w:val="18"/>
                <w:szCs w:val="18"/>
                <w:color w:val="auto"/>
              </w:rPr>
              <w:t>25.6%</w:t>
            </w:r>
          </w:p>
        </w:tc>
        <w:tc>
          <w:tcPr>
            <w:tcW w:w="3480" w:type="dxa"/>
            <w:vAlign w:val="bottom"/>
          </w:tcPr>
          <w:p>
            <w:pPr>
              <w:jc w:val="right"/>
              <w:ind w:right="253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vMerge w:val="continue"/>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b w:val="1"/>
                <w:bCs w:val="1"/>
                <w:color w:val="auto"/>
              </w:rPr>
              <w:t>Combined ratio of P&amp;C</w:t>
            </w:r>
          </w:p>
        </w:tc>
        <w:tc>
          <w:tcPr>
            <w:tcW w:w="1640" w:type="dxa"/>
            <w:vAlign w:val="bottom"/>
          </w:tcPr>
          <w:p>
            <w:pPr>
              <w:jc w:val="right"/>
              <w:ind w:right="310"/>
              <w:spacing w:after="0"/>
              <w:rPr>
                <w:sz w:val="20"/>
                <w:szCs w:val="20"/>
                <w:color w:val="auto"/>
              </w:rPr>
            </w:pPr>
            <w:r>
              <w:rPr>
                <w:rFonts w:ascii="Arial" w:cs="Arial" w:eastAsia="Arial" w:hAnsi="Arial"/>
                <w:sz w:val="18"/>
                <w:szCs w:val="18"/>
                <w:b w:val="1"/>
                <w:bCs w:val="1"/>
                <w:color w:val="auto"/>
              </w:rPr>
              <w:t>100.3%</w:t>
            </w:r>
          </w:p>
        </w:tc>
        <w:tc>
          <w:tcPr>
            <w:tcW w:w="1300" w:type="dxa"/>
            <w:vAlign w:val="bottom"/>
          </w:tcPr>
          <w:p>
            <w:pPr>
              <w:ind w:left="400"/>
              <w:spacing w:after="0"/>
              <w:rPr>
                <w:sz w:val="20"/>
                <w:szCs w:val="20"/>
                <w:color w:val="auto"/>
              </w:rPr>
            </w:pPr>
            <w:r>
              <w:rPr>
                <w:rFonts w:ascii="Arial" w:cs="Arial" w:eastAsia="Arial" w:hAnsi="Arial"/>
                <w:sz w:val="18"/>
                <w:szCs w:val="18"/>
                <w:b w:val="1"/>
                <w:bCs w:val="1"/>
                <w:color w:val="auto"/>
              </w:rPr>
              <w:t>92.8%</w:t>
            </w:r>
          </w:p>
        </w:tc>
        <w:tc>
          <w:tcPr>
            <w:tcW w:w="3480" w:type="dxa"/>
            <w:vAlign w:val="bottom"/>
          </w:tcPr>
          <w:p>
            <w:pPr>
              <w:jc w:val="right"/>
              <w:ind w:right="2490"/>
              <w:spacing w:after="0"/>
              <w:rPr>
                <w:sz w:val="20"/>
                <w:szCs w:val="20"/>
                <w:color w:val="auto"/>
              </w:rPr>
            </w:pPr>
            <w:r>
              <w:rPr>
                <w:rFonts w:ascii="Arial" w:cs="Arial" w:eastAsia="Arial" w:hAnsi="Arial"/>
                <w:sz w:val="18"/>
                <w:szCs w:val="18"/>
                <w:b w:val="1"/>
                <w:bCs w:val="1"/>
                <w:color w:val="auto"/>
              </w:rPr>
              <w:t>90.6%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5622290</wp:posOffset>
            </wp:positionH>
            <wp:positionV relativeFrom="paragraph">
              <wp:posOffset>-1123950</wp:posOffset>
            </wp:positionV>
            <wp:extent cx="1560830" cy="1371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560830" cy="137160"/>
                    </a:xfrm>
                    <a:prstGeom prst="rect">
                      <a:avLst/>
                    </a:prstGeom>
                    <a:noFill/>
                  </pic:spPr>
                </pic:pic>
              </a:graphicData>
            </a:graphic>
          </wp:anchor>
        </w:drawing>
        <w:drawing>
          <wp:anchor simplePos="0" relativeHeight="251657728" behindDoc="1" locked="0" layoutInCell="0" allowOverlap="1">
            <wp:simplePos x="0" y="0"/>
            <wp:positionH relativeFrom="column">
              <wp:posOffset>5622290</wp:posOffset>
            </wp:positionH>
            <wp:positionV relativeFrom="paragraph">
              <wp:posOffset>-849630</wp:posOffset>
            </wp:positionV>
            <wp:extent cx="1560830" cy="1371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560830" cy="137160"/>
                    </a:xfrm>
                    <a:prstGeom prst="rect">
                      <a:avLst/>
                    </a:prstGeom>
                    <a:noFill/>
                  </pic:spPr>
                </pic:pic>
              </a:graphicData>
            </a:graphic>
          </wp:anchor>
        </w:drawing>
        <w:drawing>
          <wp:anchor simplePos="0" relativeHeight="251657728" behindDoc="1" locked="0" layoutInCell="0" allowOverlap="1">
            <wp:simplePos x="0" y="0"/>
            <wp:positionH relativeFrom="column">
              <wp:posOffset>5622290</wp:posOffset>
            </wp:positionH>
            <wp:positionV relativeFrom="paragraph">
              <wp:posOffset>-575310</wp:posOffset>
            </wp:positionV>
            <wp:extent cx="1560830" cy="16319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560830" cy="163195"/>
                    </a:xfrm>
                    <a:prstGeom prst="rect">
                      <a:avLst/>
                    </a:prstGeom>
                    <a:noFill/>
                  </pic:spPr>
                </pic:pic>
              </a:graphicData>
            </a:graphic>
          </wp:anchor>
        </w:drawing>
        <w:drawing>
          <wp:anchor simplePos="0" relativeHeight="251657728" behindDoc="1" locked="0" layoutInCell="0" allowOverlap="1">
            <wp:simplePos x="0" y="0"/>
            <wp:positionH relativeFrom="column">
              <wp:posOffset>5622290</wp:posOffset>
            </wp:positionH>
            <wp:positionV relativeFrom="paragraph">
              <wp:posOffset>-274955</wp:posOffset>
            </wp:positionV>
            <wp:extent cx="1560830" cy="1371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56083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*Financial statements without consolidation adjustments.</w:t>
      </w:r>
    </w:p>
    <w:p>
      <w:pPr>
        <w:spacing w:after="0" w:line="7" w:lineRule="exact"/>
        <w:rPr>
          <w:sz w:val="20"/>
          <w:szCs w:val="20"/>
          <w:color w:val="auto"/>
        </w:rPr>
      </w:pPr>
    </w:p>
    <w:p>
      <w:pPr>
        <w:ind w:left="260" w:hanging="252"/>
        <w:spacing w:after="0"/>
        <w:tabs>
          <w:tab w:leader="none" w:pos="2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Excluding investments in real estate.</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Includes unrealized gains.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Annualized and average are determined as the average of period beginning and period ending.</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From 1Q15 and on, Grupo Pacifico’s financial statements reflect the joint venture with Banmedica (to parrticipate as equal partners, 50/50). This partnership includes:</w:t>
      </w:r>
    </w:p>
    <w:p>
      <w:pPr>
        <w:spacing w:after="0" w:line="170" w:lineRule="exact"/>
        <w:rPr>
          <w:sz w:val="20"/>
          <w:szCs w:val="20"/>
          <w:color w:val="auto"/>
        </w:rPr>
      </w:pPr>
    </w:p>
    <w:p>
      <w:pPr>
        <w:ind w:left="660" w:hanging="652"/>
        <w:spacing w:after="0"/>
        <w:tabs>
          <w:tab w:leader="none" w:pos="6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private health insurance business, which is managed by Grupo Pacifico and incorporated in each line of Grupo Pacifico’s financial statements;</w:t>
      </w:r>
    </w:p>
    <w:p>
      <w:pPr>
        <w:spacing w:after="0" w:line="200" w:lineRule="exact"/>
        <w:rPr>
          <w:sz w:val="20"/>
          <w:szCs w:val="20"/>
          <w:color w:val="auto"/>
        </w:rPr>
      </w:pPr>
    </w:p>
    <w:p>
      <w:pPr>
        <w:spacing w:after="0" w:line="257" w:lineRule="exact"/>
        <w:rPr>
          <w:sz w:val="20"/>
          <w:szCs w:val="20"/>
          <w:color w:val="auto"/>
        </w:rPr>
      </w:pPr>
    </w:p>
    <w:p>
      <w:pPr>
        <w:jc w:val="right"/>
        <w:spacing w:after="0"/>
        <w:rPr>
          <w:sz w:val="20"/>
          <w:szCs w:val="20"/>
          <w:color w:val="auto"/>
        </w:rPr>
      </w:pPr>
      <w:r>
        <w:rPr>
          <w:rFonts w:ascii="Arial" w:cs="Arial" w:eastAsia="Arial" w:hAnsi="Arial"/>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7" w:name="page58"/>
    <w:bookmarkEnd w:id="57"/>
    <w:p>
      <w:pPr>
        <w:ind w:left="660" w:hanging="652"/>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corporate health insurance for payroll employees; and</w:t>
      </w:r>
    </w:p>
    <w:p>
      <w:pPr>
        <w:spacing w:after="0" w:line="23" w:lineRule="exact"/>
        <w:rPr>
          <w:rFonts w:ascii="Arial" w:cs="Arial" w:eastAsia="Arial" w:hAnsi="Arial"/>
          <w:sz w:val="18"/>
          <w:szCs w:val="18"/>
          <w:color w:val="auto"/>
        </w:rPr>
      </w:pPr>
    </w:p>
    <w:p>
      <w:pPr>
        <w:ind w:left="660" w:hanging="652"/>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medical services.</w:t>
      </w:r>
    </w:p>
    <w:p>
      <w:pPr>
        <w:spacing w:after="0" w:line="21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businesses described in ii) and iii) are managed by Banmedica, therefore they do not consolidate in Grupo Pacifico’s financial statements. The 50% of net income generated by Banmedica is recorded in Grupo Pacifico’s Income Statement as a gain/loss on investments in subsidiaries.</w:t>
      </w:r>
    </w:p>
    <w:p>
      <w:pPr>
        <w:spacing w:after="0" w:line="143"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color w:val="auto"/>
        </w:rPr>
        <w:t xml:space="preserve">As explained before, </w:t>
      </w:r>
      <w:r>
        <w:rPr>
          <w:rFonts w:ascii="Arial" w:cs="Arial" w:eastAsia="Arial" w:hAnsi="Arial"/>
          <w:sz w:val="18"/>
          <w:szCs w:val="18"/>
          <w:b w:val="1"/>
          <w:bCs w:val="1"/>
          <w:color w:val="auto"/>
        </w:rPr>
        <w:t>corporate health insurance</w:t>
      </w:r>
      <w:r>
        <w:rPr>
          <w:rFonts w:ascii="Arial" w:cs="Arial" w:eastAsia="Arial" w:hAnsi="Arial"/>
          <w:sz w:val="18"/>
          <w:szCs w:val="18"/>
          <w:color w:val="auto"/>
        </w:rPr>
        <w:t xml:space="preserve"> and </w:t>
      </w:r>
      <w:r>
        <w:rPr>
          <w:rFonts w:ascii="Arial" w:cs="Arial" w:eastAsia="Arial" w:hAnsi="Arial"/>
          <w:sz w:val="18"/>
          <w:szCs w:val="18"/>
          <w:b w:val="1"/>
          <w:bCs w:val="1"/>
          <w:color w:val="auto"/>
        </w:rPr>
        <w:t>medical services</w:t>
      </w:r>
      <w:r>
        <w:rPr>
          <w:rFonts w:ascii="Arial" w:cs="Arial" w:eastAsia="Arial" w:hAnsi="Arial"/>
          <w:sz w:val="18"/>
          <w:szCs w:val="18"/>
          <w:color w:val="auto"/>
        </w:rPr>
        <w:t xml:space="preserve"> businesses are consolidated by Banmedica. The following table reflects the consolidated results from which Grupo Pacifico receives the 50% net income.</w:t>
      </w:r>
    </w:p>
    <w:p>
      <w:pPr>
        <w:spacing w:after="0" w:line="162"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Corporate health insurance</w:t>
      </w:r>
    </w:p>
    <w:p>
      <w:pPr>
        <w:spacing w:after="0" w:line="27"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(In thousand Nuevos Soles)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Quarter</w:t>
            </w: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gridSpan w:val="3"/>
          </w:tcPr>
          <w:p>
            <w:pPr>
              <w:ind w:left="760"/>
              <w:spacing w:after="0"/>
              <w:rPr>
                <w:sz w:val="20"/>
                <w:szCs w:val="20"/>
                <w:color w:val="auto"/>
              </w:rPr>
            </w:pPr>
            <w:r>
              <w:rPr>
                <w:rFonts w:ascii="Arial" w:cs="Arial" w:eastAsia="Arial" w:hAnsi="Arial"/>
                <w:sz w:val="18"/>
                <w:szCs w:val="18"/>
                <w:b w:val="1"/>
                <w:bCs w:val="1"/>
                <w:color w:val="auto"/>
                <w:w w:val="96"/>
              </w:rPr>
              <w:t>% Change</w:t>
            </w: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1240" w:type="dxa"/>
            <w:vAlign w:val="bottom"/>
            <w:gridSpan w:val="2"/>
          </w:tcPr>
          <w:p>
            <w:pPr>
              <w:ind w:left="300"/>
              <w:spacing w:after="0"/>
              <w:rPr>
                <w:sz w:val="20"/>
                <w:szCs w:val="20"/>
                <w:color w:val="auto"/>
              </w:rPr>
            </w:pPr>
            <w:r>
              <w:rPr>
                <w:rFonts w:ascii="Arial" w:cs="Arial" w:eastAsia="Arial" w:hAnsi="Arial"/>
                <w:sz w:val="18"/>
                <w:szCs w:val="18"/>
                <w:b w:val="1"/>
                <w:bCs w:val="1"/>
                <w:color w:val="auto"/>
              </w:rPr>
              <w:t>2Q14</w:t>
            </w:r>
          </w:p>
        </w:tc>
        <w:tc>
          <w:tcPr>
            <w:tcW w:w="12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1Q15</w:t>
            </w:r>
          </w:p>
        </w:tc>
        <w:tc>
          <w:tcPr>
            <w:tcW w:w="1220" w:type="dxa"/>
            <w:vAlign w:val="bottom"/>
            <w:gridSpan w:val="2"/>
          </w:tcPr>
          <w:p>
            <w:pPr>
              <w:ind w:left="300"/>
              <w:spacing w:after="0"/>
              <w:rPr>
                <w:sz w:val="20"/>
                <w:szCs w:val="20"/>
                <w:color w:val="auto"/>
              </w:rPr>
            </w:pPr>
            <w:r>
              <w:rPr>
                <w:rFonts w:ascii="Arial" w:cs="Arial" w:eastAsia="Arial" w:hAnsi="Arial"/>
                <w:sz w:val="18"/>
                <w:szCs w:val="18"/>
                <w:b w:val="1"/>
                <w:bCs w:val="1"/>
                <w:color w:val="auto"/>
              </w:rPr>
              <w:t>2Q15</w:t>
            </w:r>
          </w:p>
        </w:tc>
        <w:tc>
          <w:tcPr>
            <w:tcW w:w="1620" w:type="dxa"/>
            <w:vAlign w:val="bottom"/>
            <w:gridSpan w:val="3"/>
          </w:tcPr>
          <w:p>
            <w:pPr>
              <w:ind w:left="320"/>
              <w:spacing w:after="0"/>
              <w:rPr>
                <w:sz w:val="20"/>
                <w:szCs w:val="20"/>
                <w:color w:val="auto"/>
              </w:rPr>
            </w:pPr>
            <w:r>
              <w:rPr>
                <w:rFonts w:ascii="Arial" w:cs="Arial" w:eastAsia="Arial" w:hAnsi="Arial"/>
                <w:sz w:val="18"/>
                <w:szCs w:val="18"/>
                <w:b w:val="1"/>
                <w:bCs w:val="1"/>
                <w:color w:val="auto"/>
              </w:rPr>
              <w:t>QoQ</w:t>
            </w:r>
          </w:p>
        </w:tc>
        <w:tc>
          <w:tcPr>
            <w:tcW w:w="9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6"/>
              </w:rPr>
              <w:t>YoY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Borders>
              <w:top w:val="single" w:sz="8" w:color="CCEEFF"/>
            </w:tcBorders>
            <w:shd w:val="clear" w:color="auto" w:fill="CCEEFF"/>
          </w:tcPr>
          <w:p>
            <w:pPr>
              <w:ind w:left="1540"/>
              <w:spacing w:after="0"/>
              <w:rPr>
                <w:sz w:val="20"/>
                <w:szCs w:val="20"/>
                <w:color w:val="auto"/>
              </w:rPr>
            </w:pPr>
            <w:r>
              <w:rPr>
                <w:rFonts w:ascii="Arial" w:cs="Arial" w:eastAsia="Arial" w:hAnsi="Arial"/>
                <w:sz w:val="18"/>
                <w:szCs w:val="18"/>
                <w:b w:val="1"/>
                <w:bCs w:val="1"/>
                <w:color w:val="auto"/>
              </w:rPr>
              <w:t>Results</w:t>
            </w: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Net earned premiums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184,708</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199,810</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201,807</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Net claims</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-157,314</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-166,510</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-168,690</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Net fees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-8,329</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-9,376</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-9,130</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-2.6%</w:t>
            </w:r>
          </w:p>
        </w:tc>
        <w:tc>
          <w:tcPr>
            <w:tcW w:w="3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Net underwriting expenses</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-3,173</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-3,347</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-3,002</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b w:val="1"/>
                <w:bCs w:val="1"/>
                <w:color w:val="auto"/>
              </w:rPr>
              <w:t>Underwriting result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15,891</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20,577</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20,984</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2.0%</w:t>
            </w:r>
          </w:p>
        </w:tc>
        <w:tc>
          <w:tcPr>
            <w:tcW w:w="3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Financial income, net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720</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840</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1,156</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37.6%</w:t>
            </w:r>
          </w:p>
        </w:tc>
        <w:tc>
          <w:tcPr>
            <w:tcW w:w="3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-15,897</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-15,242</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-16,418</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Other income</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1,445</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487</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613</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25.8%</w:t>
            </w:r>
          </w:p>
        </w:tc>
        <w:tc>
          <w:tcPr>
            <w:tcW w:w="3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Traslations results</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151</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35.4%</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Income tax</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-616</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-3,156</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-3,473</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10.1%</w:t>
            </w:r>
          </w:p>
        </w:tc>
        <w:tc>
          <w:tcPr>
            <w:tcW w:w="3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463.8%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b w:val="1"/>
                <w:bCs w:val="1"/>
                <w:color w:val="auto"/>
              </w:rPr>
              <w:t>Net income before medical services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1,467</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3,618</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3,013</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-16.7%</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105.4%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b w:val="1"/>
                <w:bCs w:val="1"/>
                <w:color w:val="auto"/>
              </w:rPr>
              <w:t>Net income of medical services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-54</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6,459</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2,992</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-53.7%</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5611.2%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520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1,412</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10,077</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6,005</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-40.4%</w:t>
            </w:r>
          </w:p>
        </w:tc>
        <w:tc>
          <w:tcPr>
            <w:tcW w:w="3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325.2%</w:t>
            </w:r>
          </w:p>
        </w:tc>
        <w:tc>
          <w:tcPr>
            <w:tcW w:w="0" w:type="dxa"/>
            <w:vAlign w:val="bottom"/>
          </w:tcPr>
          <w:p>
            <w:pPr>
              <w:spacing w:after="0"/>
              <w:rPr>
                <w:sz w:val="1"/>
                <w:szCs w:val="1"/>
                <w:color w:val="auto"/>
              </w:rPr>
            </w:pPr>
          </w:p>
        </w:tc>
      </w:tr>
      <w:tr>
        <w:trPr>
          <w:trHeight w:val="657"/>
        </w:trPr>
        <w:tc>
          <w:tcPr>
            <w:tcW w:w="20" w:type="dxa"/>
            <w:vAlign w:val="bottom"/>
          </w:tcPr>
          <w:p>
            <w:pPr>
              <w:spacing w:after="0"/>
              <w:rPr>
                <w:sz w:val="24"/>
                <w:szCs w:val="24"/>
                <w:color w:val="auto"/>
              </w:rPr>
            </w:pPr>
          </w:p>
        </w:tc>
        <w:tc>
          <w:tcPr>
            <w:tcW w:w="5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22"/>
                <w:szCs w:val="22"/>
                <w:color w:val="auto"/>
              </w:rPr>
              <w:t>57</w:t>
            </w:r>
          </w:p>
        </w:tc>
        <w:tc>
          <w:tcPr>
            <w:tcW w:w="0" w:type="dxa"/>
            <w:vAlign w:val="bottom"/>
          </w:tcPr>
          <w:p>
            <w:pPr>
              <w:spacing w:after="0"/>
              <w:rPr>
                <w:sz w:val="1"/>
                <w:szCs w:val="1"/>
                <w:color w:val="auto"/>
              </w:rPr>
            </w:pPr>
          </w:p>
        </w:tc>
      </w:tr>
    </w:tbl>
    <w:p>
      <w:pPr>
        <w:sectPr>
          <w:pgSz w:w="11900" w:h="16838" w:orient="portrait"/>
          <w:cols w:equalWidth="0" w:num="1">
            <w:col w:w="11420"/>
          </w:cols>
          <w:pgMar w:left="240" w:top="909" w:right="239" w:bottom="1440" w:gutter="0" w:footer="0" w:header="0"/>
        </w:sectPr>
      </w:pPr>
    </w:p>
    <w:bookmarkStart w:id="58" w:name="page59"/>
    <w:bookmarkEnd w:id="5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jc w:val="right"/>
              <w:spacing w:after="0"/>
              <w:rPr>
                <w:sz w:val="20"/>
                <w:szCs w:val="20"/>
                <w:color w:val="auto"/>
              </w:rPr>
            </w:pPr>
            <w:r>
              <w:rPr>
                <w:rFonts w:ascii="Arial" w:cs="Arial" w:eastAsia="Arial" w:hAnsi="Arial"/>
                <w:sz w:val="18"/>
                <w:szCs w:val="18"/>
                <w:b w:val="1"/>
                <w:bCs w:val="1"/>
                <w:color w:val="auto"/>
                <w:w w:val="85"/>
              </w:rPr>
              <w:t>11.7</w:t>
            </w:r>
          </w:p>
        </w:tc>
        <w:tc>
          <w:tcPr>
            <w:tcW w:w="4820" w:type="dxa"/>
            <w:vAlign w:val="bottom"/>
            <w:gridSpan w:val="2"/>
          </w:tcPr>
          <w:p>
            <w:pPr>
              <w:ind w:left="320"/>
              <w:spacing w:after="0"/>
              <w:rPr>
                <w:sz w:val="20"/>
                <w:szCs w:val="20"/>
                <w:color w:val="auto"/>
              </w:rPr>
            </w:pPr>
            <w:r>
              <w:rPr>
                <w:rFonts w:ascii="Arial" w:cs="Arial" w:eastAsia="Arial" w:hAnsi="Arial"/>
                <w:sz w:val="18"/>
                <w:szCs w:val="18"/>
                <w:b w:val="1"/>
                <w:bCs w:val="1"/>
                <w:color w:val="auto"/>
              </w:rPr>
              <w:t>Prima AFP</w:t>
            </w: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340" w:type="dxa"/>
            <w:vAlign w:val="bottom"/>
          </w:tcPr>
          <w:p>
            <w:pPr>
              <w:spacing w:after="0"/>
              <w:rPr>
                <w:sz w:val="24"/>
                <w:szCs w:val="24"/>
                <w:color w:val="auto"/>
              </w:rPr>
            </w:pPr>
          </w:p>
        </w:tc>
        <w:tc>
          <w:tcPr>
            <w:tcW w:w="4820" w:type="dxa"/>
            <w:vAlign w:val="bottom"/>
            <w:gridSpan w:val="2"/>
          </w:tcPr>
          <w:p>
            <w:pPr>
              <w:spacing w:after="0"/>
              <w:rPr>
                <w:sz w:val="20"/>
                <w:szCs w:val="20"/>
                <w:color w:val="auto"/>
              </w:rPr>
            </w:pPr>
            <w:r>
              <w:rPr>
                <w:rFonts w:ascii="Arial" w:cs="Arial" w:eastAsia="Arial" w:hAnsi="Arial"/>
                <w:sz w:val="18"/>
                <w:szCs w:val="18"/>
                <w:b w:val="1"/>
                <w:bCs w:val="1"/>
                <w:color w:val="auto"/>
              </w:rPr>
              <w:t>Main financial indicators</w:t>
            </w: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Quarter</w:t>
            </w: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40" w:type="dxa"/>
            <w:vAlign w:val="bottom"/>
            <w:gridSpan w:val="3"/>
          </w:tcPr>
          <w:p>
            <w:pPr>
              <w:ind w:left="740"/>
              <w:spacing w:after="0"/>
              <w:rPr>
                <w:sz w:val="20"/>
                <w:szCs w:val="20"/>
                <w:color w:val="auto"/>
              </w:rPr>
            </w:pPr>
            <w:r>
              <w:rPr>
                <w:rFonts w:ascii="Arial" w:cs="Arial" w:eastAsia="Arial" w:hAnsi="Arial"/>
                <w:sz w:val="18"/>
                <w:szCs w:val="18"/>
                <w:b w:val="1"/>
                <w:bCs w:val="1"/>
                <w:color w:val="auto"/>
                <w:w w:val="92"/>
              </w:rPr>
              <w:t>% change</w:t>
            </w: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12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2Q14</w:t>
            </w:r>
          </w:p>
        </w:tc>
        <w:tc>
          <w:tcPr>
            <w:tcW w:w="30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1Q15</w:t>
            </w:r>
          </w:p>
        </w:tc>
        <w:tc>
          <w:tcPr>
            <w:tcW w:w="30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2Q15</w:t>
            </w:r>
          </w:p>
        </w:tc>
        <w:tc>
          <w:tcPr>
            <w:tcW w:w="30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YoY</w:t>
            </w:r>
          </w:p>
        </w:tc>
        <w:tc>
          <w:tcPr>
            <w:tcW w:w="2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781,871</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971,211</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775,713</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-20.1%</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286,870</w:t>
            </w:r>
          </w:p>
        </w:tc>
        <w:tc>
          <w:tcPr>
            <w:tcW w:w="980" w:type="dxa"/>
            <w:vAlign w:val="bottom"/>
          </w:tcPr>
          <w:p>
            <w:pPr>
              <w:jc w:val="right"/>
              <w:spacing w:after="0"/>
              <w:rPr>
                <w:sz w:val="20"/>
                <w:szCs w:val="20"/>
                <w:color w:val="auto"/>
              </w:rPr>
            </w:pPr>
            <w:r>
              <w:rPr>
                <w:rFonts w:ascii="Arial" w:cs="Arial" w:eastAsia="Arial" w:hAnsi="Arial"/>
                <w:sz w:val="18"/>
                <w:szCs w:val="18"/>
                <w:color w:val="auto"/>
              </w:rPr>
              <w:t>509,697</w:t>
            </w:r>
          </w:p>
        </w:tc>
        <w:tc>
          <w:tcPr>
            <w:tcW w:w="30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267,060</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-47.6%</w:t>
            </w:r>
          </w:p>
        </w:tc>
        <w:tc>
          <w:tcPr>
            <w:tcW w:w="2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shareholders’ equity</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495,001</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461,536</w:t>
            </w: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508,653</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w:t>
            </w:r>
          </w:p>
        </w:tc>
        <w:tc>
          <w:tcPr>
            <w:tcW w:w="2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820" w:type="dxa"/>
            <w:vAlign w:val="bottom"/>
            <w:gridSpan w:val="2"/>
            <w:vMerge w:val="restart"/>
          </w:tcPr>
          <w:p>
            <w:pPr>
              <w:spacing w:after="0"/>
              <w:rPr>
                <w:sz w:val="20"/>
                <w:szCs w:val="20"/>
                <w:color w:val="auto"/>
              </w:rPr>
            </w:pPr>
            <w:r>
              <w:rPr>
                <w:rFonts w:ascii="Arial" w:cs="Arial" w:eastAsia="Arial" w:hAnsi="Arial"/>
                <w:sz w:val="18"/>
                <w:szCs w:val="18"/>
                <w:color w:val="auto"/>
              </w:rPr>
              <w:t>Income from commissions</w:t>
            </w:r>
          </w:p>
        </w:tc>
        <w:tc>
          <w:tcPr>
            <w:tcW w:w="9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4820" w:type="dxa"/>
            <w:vAlign w:val="bottom"/>
            <w:gridSpan w:val="2"/>
            <w:vMerge w:val="continue"/>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92,370</w:t>
            </w:r>
          </w:p>
        </w:tc>
        <w:tc>
          <w:tcPr>
            <w:tcW w:w="300" w:type="dxa"/>
            <w:vAlign w:val="bottom"/>
            <w:vMerge w:val="continue"/>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98,394</w:t>
            </w:r>
          </w:p>
        </w:tc>
        <w:tc>
          <w:tcPr>
            <w:tcW w:w="300" w:type="dxa"/>
            <w:vAlign w:val="bottom"/>
            <w:vMerge w:val="continue"/>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101,079</w:t>
            </w:r>
          </w:p>
        </w:tc>
        <w:tc>
          <w:tcPr>
            <w:tcW w:w="300" w:type="dxa"/>
            <w:vAlign w:val="bottom"/>
            <w:vMerge w:val="continue"/>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2.7%</w:t>
            </w:r>
          </w:p>
        </w:tc>
        <w:tc>
          <w:tcPr>
            <w:tcW w:w="2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Administrative and sale expenses</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(34,475)</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(37,012)</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(39,230)</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(5,050)</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(4,880)</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(4,742)</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-2.8%</w:t>
            </w:r>
          </w:p>
        </w:tc>
        <w:tc>
          <w:tcPr>
            <w:tcW w:w="2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operating income</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52,846</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56,502</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57,107</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1.1%</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8.1%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Other income and expenses, net</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4,459</w:t>
            </w: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956</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(823)</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-186.1%</w:t>
            </w:r>
          </w:p>
        </w:tc>
        <w:tc>
          <w:tcPr>
            <w:tcW w:w="2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-118.5%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(16,613)</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(17,076)</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(13,885)</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-18.7%</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b w:val="1"/>
                <w:bCs w:val="1"/>
                <w:color w:val="auto"/>
              </w:rPr>
              <w:t>Net income before translation results</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40,692</w:t>
            </w:r>
          </w:p>
        </w:tc>
        <w:tc>
          <w:tcPr>
            <w:tcW w:w="12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40,382</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42,400</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5.0%</w:t>
            </w:r>
          </w:p>
        </w:tc>
        <w:tc>
          <w:tcPr>
            <w:tcW w:w="2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Translations results</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96</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(95)</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938</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40,787</w:t>
            </w:r>
          </w:p>
        </w:tc>
        <w:tc>
          <w:tcPr>
            <w:tcW w:w="12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40,287</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43,338</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7.6%</w:t>
            </w:r>
          </w:p>
        </w:tc>
        <w:tc>
          <w:tcPr>
            <w:tcW w:w="2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6.3%</w:t>
            </w:r>
          </w:p>
        </w:tc>
        <w:tc>
          <w:tcPr>
            <w:tcW w:w="0" w:type="dxa"/>
            <w:vAlign w:val="bottom"/>
          </w:tcPr>
          <w:p>
            <w:pPr>
              <w:spacing w:after="0"/>
              <w:rPr>
                <w:sz w:val="1"/>
                <w:szCs w:val="1"/>
                <w:color w:val="auto"/>
              </w:rPr>
            </w:pPr>
          </w:p>
        </w:tc>
      </w:tr>
      <w:tr>
        <w:trPr>
          <w:trHeight w:val="257"/>
        </w:trPr>
        <w:tc>
          <w:tcPr>
            <w:tcW w:w="340" w:type="dxa"/>
            <w:vAlign w:val="bottom"/>
          </w:tcPr>
          <w:p>
            <w:pPr>
              <w:spacing w:after="0"/>
              <w:rPr>
                <w:sz w:val="22"/>
                <w:szCs w:val="22"/>
                <w:color w:val="auto"/>
              </w:rPr>
            </w:pPr>
          </w:p>
        </w:tc>
        <w:tc>
          <w:tcPr>
            <w:tcW w:w="48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b w:val="1"/>
                <w:bCs w:val="1"/>
                <w:color w:val="auto"/>
              </w:rPr>
              <w:t xml:space="preserve">ROAE </w:t>
            </w:r>
            <w:r>
              <w:rPr>
                <w:rFonts w:ascii="Arial" w:cs="Arial" w:eastAsia="Arial" w:hAnsi="Arial"/>
                <w:sz w:val="29"/>
                <w:szCs w:val="29"/>
                <w:b w:val="1"/>
                <w:bCs w:val="1"/>
                <w:color w:val="auto"/>
                <w:vertAlign w:val="superscript"/>
              </w:rPr>
              <w:t>(1)</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34.8%</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30.5%</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35.7%</w:t>
            </w:r>
          </w:p>
        </w:tc>
        <w:tc>
          <w:tcPr>
            <w:tcW w:w="9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5622290</wp:posOffset>
            </wp:positionH>
            <wp:positionV relativeFrom="paragraph">
              <wp:posOffset>-162560</wp:posOffset>
            </wp:positionV>
            <wp:extent cx="1612265" cy="16319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612265" cy="16319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6740" w:type="dxa"/>
            <w:vAlign w:val="bottom"/>
            <w:gridSpan w:val="7"/>
          </w:tcPr>
          <w:p>
            <w:pPr>
              <w:ind w:left="340"/>
              <w:spacing w:after="0"/>
              <w:rPr>
                <w:sz w:val="20"/>
                <w:szCs w:val="20"/>
                <w:color w:val="auto"/>
              </w:rPr>
            </w:pPr>
            <w:r>
              <w:rPr>
                <w:rFonts w:ascii="Arial" w:cs="Arial" w:eastAsia="Arial" w:hAnsi="Arial"/>
                <w:sz w:val="18"/>
                <w:szCs w:val="18"/>
                <w:color w:val="auto"/>
                <w:w w:val="92"/>
              </w:rPr>
              <w:t>(1) Net shareholder’s equity include unrealized gains from Prima’s investment portfolio.</w:t>
            </w: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8"/>
        </w:trPr>
        <w:tc>
          <w:tcPr>
            <w:tcW w:w="37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Funds under management</w:t>
            </w: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46"/>
        </w:trPr>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Funds under management</w:t>
            </w:r>
          </w:p>
        </w:tc>
        <w:tc>
          <w:tcPr>
            <w:tcW w:w="80" w:type="dxa"/>
            <w:vAlign w:val="bottom"/>
            <w:tcBorders>
              <w:bottom w:val="single" w:sz="8" w:color="CCEEFF"/>
            </w:tcBorders>
          </w:tcPr>
          <w:p>
            <w:pPr>
              <w:spacing w:after="0"/>
              <w:rPr>
                <w:sz w:val="24"/>
                <w:szCs w:val="24"/>
                <w:color w:val="auto"/>
              </w:rPr>
            </w:pPr>
          </w:p>
        </w:tc>
        <w:tc>
          <w:tcPr>
            <w:tcW w:w="11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Mar 15</w:t>
            </w:r>
          </w:p>
        </w:tc>
        <w:tc>
          <w:tcPr>
            <w:tcW w:w="160" w:type="dxa"/>
            <w:vAlign w:val="bottom"/>
            <w:tcBorders>
              <w:bottom w:val="single" w:sz="8" w:color="CCEEFF"/>
            </w:tcBorders>
          </w:tcPr>
          <w:p>
            <w:pPr>
              <w:spacing w:after="0"/>
              <w:rPr>
                <w:sz w:val="24"/>
                <w:szCs w:val="24"/>
                <w:color w:val="auto"/>
              </w:rPr>
            </w:pPr>
          </w:p>
        </w:tc>
        <w:tc>
          <w:tcPr>
            <w:tcW w:w="11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 share</w:t>
            </w:r>
          </w:p>
        </w:tc>
        <w:tc>
          <w:tcPr>
            <w:tcW w:w="24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4"/>
              </w:rPr>
              <w:t>Jun 15</w:t>
            </w:r>
          </w:p>
        </w:tc>
        <w:tc>
          <w:tcPr>
            <w:tcW w:w="160" w:type="dxa"/>
            <w:vAlign w:val="bottom"/>
            <w:tcBorders>
              <w:bottom w:val="single" w:sz="8" w:color="CCEEFF"/>
            </w:tcBorders>
          </w:tcPr>
          <w:p>
            <w:pPr>
              <w:spacing w:after="0"/>
              <w:rPr>
                <w:sz w:val="24"/>
                <w:szCs w:val="24"/>
                <w:color w:val="auto"/>
              </w:rPr>
            </w:pPr>
          </w:p>
        </w:tc>
        <w:tc>
          <w:tcPr>
            <w:tcW w:w="11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 share</w:t>
            </w:r>
          </w:p>
        </w:tc>
        <w:tc>
          <w:tcPr>
            <w:tcW w:w="160" w:type="dxa"/>
            <w:vAlign w:val="bottom"/>
            <w:tcBorders>
              <w:bottom w:val="single" w:sz="8" w:color="CCEEFF"/>
            </w:tcBorders>
          </w:tcPr>
          <w:p>
            <w:pPr>
              <w:spacing w:after="0"/>
              <w:rPr>
                <w:sz w:val="24"/>
                <w:szCs w:val="24"/>
                <w:color w:val="auto"/>
              </w:rPr>
            </w:pPr>
          </w:p>
        </w:tc>
      </w:tr>
      <w:tr>
        <w:trPr>
          <w:trHeight w:val="210"/>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Fund 1</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4,599</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4,771</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Fund 2</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25,228</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66.5%</w:t>
            </w:r>
          </w:p>
        </w:tc>
        <w:tc>
          <w:tcPr>
            <w:tcW w:w="2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26,087</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66.9%</w:t>
            </w:r>
          </w:p>
        </w:tc>
      </w:tr>
      <w:tr>
        <w:trPr>
          <w:trHeight w:val="230"/>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Fund 3</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8,129</w:t>
            </w: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8,146</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w:t>
            </w:r>
          </w:p>
        </w:tc>
      </w:tr>
      <w:tr>
        <w:trPr>
          <w:trHeight w:val="210"/>
        </w:trPr>
        <w:tc>
          <w:tcPr>
            <w:tcW w:w="3700" w:type="dxa"/>
            <w:vAlign w:val="bottom"/>
            <w:gridSpan w:val="2"/>
          </w:tcPr>
          <w:p>
            <w:pPr>
              <w:spacing w:after="0"/>
              <w:rPr>
                <w:sz w:val="20"/>
                <w:szCs w:val="20"/>
                <w:color w:val="auto"/>
              </w:rPr>
            </w:pPr>
            <w:r>
              <w:rPr>
                <w:rFonts w:ascii="Arial" w:cs="Arial" w:eastAsia="Arial" w:hAnsi="Arial"/>
                <w:sz w:val="18"/>
                <w:szCs w:val="18"/>
                <w:color w:val="auto"/>
              </w:rPr>
              <w:t>Total S/. Million</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37,956</w:t>
            </w:r>
          </w:p>
        </w:tc>
        <w:tc>
          <w:tcPr>
            <w:tcW w:w="16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2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39,004</w:t>
            </w:r>
          </w:p>
        </w:tc>
        <w:tc>
          <w:tcPr>
            <w:tcW w:w="16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r>
      <w:tr>
        <w:trPr>
          <w:trHeight w:val="210"/>
        </w:trPr>
        <w:tc>
          <w:tcPr>
            <w:tcW w:w="3700" w:type="dxa"/>
            <w:vAlign w:val="bottom"/>
            <w:gridSpan w:val="2"/>
          </w:tcPr>
          <w:p>
            <w:pPr>
              <w:spacing w:after="0"/>
              <w:rPr>
                <w:sz w:val="20"/>
                <w:szCs w:val="20"/>
                <w:color w:val="auto"/>
              </w:rPr>
            </w:pPr>
            <w:r>
              <w:rPr>
                <w:rFonts w:ascii="Arial" w:cs="Arial" w:eastAsia="Arial" w:hAnsi="Arial"/>
                <w:sz w:val="18"/>
                <w:szCs w:val="18"/>
                <w:color w:val="auto"/>
              </w:rPr>
              <w:t>Source: SBS.</w:t>
            </w: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431"/>
        </w:trPr>
        <w:tc>
          <w:tcPr>
            <w:tcW w:w="370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96"/>
              </w:rPr>
              <w:t>Nominal profitability over the last 12 months</w:t>
            </w: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80" w:type="dxa"/>
            <w:vAlign w:val="bottom"/>
          </w:tcPr>
          <w:p>
            <w:pPr>
              <w:spacing w:after="0"/>
              <w:rPr>
                <w:sz w:val="20"/>
                <w:szCs w:val="20"/>
                <w:color w:val="auto"/>
              </w:rPr>
            </w:pPr>
          </w:p>
        </w:tc>
        <w:tc>
          <w:tcPr>
            <w:tcW w:w="3200" w:type="dxa"/>
            <w:vAlign w:val="bottom"/>
            <w:gridSpan w:val="10"/>
          </w:tcPr>
          <w:p>
            <w:pPr>
              <w:jc w:val="center"/>
              <w:ind w:right="540"/>
              <w:spacing w:after="0"/>
              <w:rPr>
                <w:sz w:val="20"/>
                <w:szCs w:val="20"/>
                <w:color w:val="auto"/>
              </w:rPr>
            </w:pPr>
            <w:r>
              <w:rPr>
                <w:rFonts w:ascii="Arial" w:cs="Arial" w:eastAsia="Arial" w:hAnsi="Arial"/>
                <w:sz w:val="18"/>
                <w:szCs w:val="18"/>
                <w:b w:val="1"/>
                <w:bCs w:val="1"/>
                <w:color w:val="auto"/>
                <w:w w:val="97"/>
              </w:rPr>
              <w:t>Mar 15 / Mar 14   Jun 15 / Jun 14</w:t>
            </w: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Fund 1</w:t>
            </w: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80" w:type="dxa"/>
            <w:vAlign w:val="bottom"/>
            <w:vMerge w:val="continue"/>
            <w:shd w:val="clear" w:color="auto" w:fill="CCEEFF"/>
          </w:tcPr>
          <w:p>
            <w:pPr>
              <w:spacing w:after="0"/>
              <w:rPr>
                <w:sz w:val="18"/>
                <w:szCs w:val="18"/>
                <w:color w:val="auto"/>
              </w:rPr>
            </w:pPr>
          </w:p>
        </w:tc>
        <w:tc>
          <w:tcPr>
            <w:tcW w:w="14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9.2%</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center"/>
              <w:ind w:left="330"/>
              <w:spacing w:after="0"/>
              <w:rPr>
                <w:sz w:val="20"/>
                <w:szCs w:val="20"/>
                <w:color w:val="auto"/>
              </w:rPr>
            </w:pPr>
            <w:r>
              <w:rPr>
                <w:rFonts w:ascii="Arial" w:cs="Arial" w:eastAsia="Arial" w:hAnsi="Arial"/>
                <w:sz w:val="18"/>
                <w:szCs w:val="18"/>
                <w:color w:val="auto"/>
                <w:w w:val="92"/>
              </w:rPr>
              <w:t>7.1%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ind w:left="20"/>
              <w:spacing w:after="0"/>
              <w:rPr>
                <w:sz w:val="20"/>
                <w:szCs w:val="20"/>
                <w:color w:val="auto"/>
              </w:rPr>
            </w:pPr>
            <w:r>
              <w:rPr>
                <w:rFonts w:ascii="Arial" w:cs="Arial" w:eastAsia="Arial" w:hAnsi="Arial"/>
                <w:sz w:val="18"/>
                <w:szCs w:val="18"/>
                <w:color w:val="auto"/>
              </w:rPr>
              <w:t>Fund 2</w:t>
            </w:r>
          </w:p>
        </w:tc>
        <w:tc>
          <w:tcPr>
            <w:tcW w:w="1480" w:type="dxa"/>
            <w:vAlign w:val="bottom"/>
            <w:gridSpan w:val="4"/>
          </w:tcPr>
          <w:p>
            <w:pPr>
              <w:jc w:val="right"/>
              <w:ind w:right="60"/>
              <w:spacing w:after="0"/>
              <w:rPr>
                <w:sz w:val="20"/>
                <w:szCs w:val="20"/>
                <w:color w:val="auto"/>
              </w:rPr>
            </w:pPr>
            <w:r>
              <w:rPr>
                <w:rFonts w:ascii="Arial" w:cs="Arial" w:eastAsia="Arial" w:hAnsi="Arial"/>
                <w:sz w:val="18"/>
                <w:szCs w:val="18"/>
                <w:color w:val="auto"/>
              </w:rPr>
              <w:t>11.1%</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center"/>
              <w:ind w:left="330"/>
              <w:spacing w:after="0"/>
              <w:rPr>
                <w:sz w:val="20"/>
                <w:szCs w:val="20"/>
                <w:color w:val="auto"/>
              </w:rPr>
            </w:pPr>
            <w:r>
              <w:rPr>
                <w:rFonts w:ascii="Arial" w:cs="Arial" w:eastAsia="Arial" w:hAnsi="Arial"/>
                <w:sz w:val="18"/>
                <w:szCs w:val="18"/>
                <w:color w:val="auto"/>
                <w:w w:val="92"/>
              </w:rPr>
              <w:t>8.7%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Fund 3</w:t>
            </w:r>
          </w:p>
        </w:tc>
        <w:tc>
          <w:tcPr>
            <w:tcW w:w="14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8.7%</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center"/>
              <w:ind w:left="330"/>
              <w:spacing w:after="0"/>
              <w:rPr>
                <w:sz w:val="20"/>
                <w:szCs w:val="20"/>
                <w:color w:val="auto"/>
              </w:rPr>
            </w:pPr>
            <w:r>
              <w:rPr>
                <w:rFonts w:ascii="Arial" w:cs="Arial" w:eastAsia="Arial" w:hAnsi="Arial"/>
                <w:sz w:val="18"/>
                <w:szCs w:val="18"/>
                <w:color w:val="auto"/>
                <w:w w:val="92"/>
              </w:rPr>
              <w:t>7.0%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880" w:type="dxa"/>
            <w:vAlign w:val="bottom"/>
          </w:tcPr>
          <w:p>
            <w:pPr>
              <w:spacing w:after="0"/>
              <w:rPr>
                <w:sz w:val="20"/>
                <w:szCs w:val="20"/>
                <w:color w:val="auto"/>
              </w:rPr>
            </w:pPr>
            <w:r>
              <w:rPr>
                <w:rFonts w:ascii="Arial" w:cs="Arial" w:eastAsia="Arial" w:hAnsi="Arial"/>
                <w:sz w:val="18"/>
                <w:szCs w:val="18"/>
                <w:b w:val="1"/>
                <w:bCs w:val="1"/>
                <w:i w:val="1"/>
                <w:iCs w:val="1"/>
                <w:color w:val="auto"/>
              </w:rPr>
              <w:t>AFP commissions</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880" w:type="dxa"/>
            <w:vAlign w:val="bottom"/>
          </w:tcPr>
          <w:p>
            <w:pPr>
              <w:spacing w:after="0"/>
              <w:rPr>
                <w:sz w:val="20"/>
                <w:szCs w:val="20"/>
                <w:color w:val="auto"/>
              </w:rPr>
            </w:pPr>
            <w:r>
              <w:rPr>
                <w:rFonts w:ascii="Arial" w:cs="Arial" w:eastAsia="Arial" w:hAnsi="Arial"/>
                <w:sz w:val="18"/>
                <w:szCs w:val="18"/>
                <w:b w:val="1"/>
                <w:bCs w:val="1"/>
                <w:color w:val="auto"/>
              </w:rPr>
              <w:t>Fee based on flow</w:t>
            </w:r>
          </w:p>
        </w:tc>
        <w:tc>
          <w:tcPr>
            <w:tcW w:w="4440" w:type="dxa"/>
            <w:vAlign w:val="bottom"/>
            <w:gridSpan w:val="12"/>
          </w:tcPr>
          <w:p>
            <w:pPr>
              <w:ind w:left="200"/>
              <w:spacing w:after="0"/>
              <w:rPr>
                <w:sz w:val="20"/>
                <w:szCs w:val="20"/>
                <w:color w:val="auto"/>
              </w:rPr>
            </w:pPr>
            <w:r>
              <w:rPr>
                <w:rFonts w:ascii="Arial" w:cs="Arial" w:eastAsia="Arial" w:hAnsi="Arial"/>
                <w:sz w:val="18"/>
                <w:szCs w:val="18"/>
                <w:color w:val="auto"/>
                <w:w w:val="99"/>
              </w:rPr>
              <w:t>1.60%  applied to the affiliates’ monthly remuneration</w:t>
            </w: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880" w:type="dxa"/>
            <w:vAlign w:val="bottom"/>
          </w:tcPr>
          <w:p>
            <w:pPr>
              <w:spacing w:after="0"/>
              <w:rPr>
                <w:sz w:val="20"/>
                <w:szCs w:val="20"/>
                <w:color w:val="auto"/>
              </w:rPr>
            </w:pPr>
            <w:r>
              <w:rPr>
                <w:rFonts w:ascii="Arial" w:cs="Arial" w:eastAsia="Arial" w:hAnsi="Arial"/>
                <w:sz w:val="18"/>
                <w:szCs w:val="18"/>
                <w:b w:val="1"/>
                <w:bCs w:val="1"/>
                <w:color w:val="auto"/>
              </w:rPr>
              <w:t>Mixed fee</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Flow</w:t>
            </w:r>
          </w:p>
        </w:tc>
        <w:tc>
          <w:tcPr>
            <w:tcW w:w="6940" w:type="dxa"/>
            <w:vAlign w:val="bottom"/>
            <w:gridSpan w:val="17"/>
          </w:tcPr>
          <w:p>
            <w:pPr>
              <w:ind w:left="200"/>
              <w:spacing w:after="0"/>
              <w:rPr>
                <w:sz w:val="20"/>
                <w:szCs w:val="20"/>
                <w:color w:val="auto"/>
              </w:rPr>
            </w:pPr>
            <w:r>
              <w:rPr>
                <w:rFonts w:ascii="Arial" w:cs="Arial" w:eastAsia="Arial" w:hAnsi="Arial"/>
                <w:sz w:val="18"/>
                <w:szCs w:val="18"/>
                <w:color w:val="auto"/>
                <w:w w:val="92"/>
              </w:rPr>
              <w:t>1.19%  applied to the affiliates’ monthly remuneration (since February 2015. Before 1.51%)</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20" w:type="dxa"/>
            <w:vAlign w:val="bottom"/>
            <w:gridSpan w:val="19"/>
          </w:tcPr>
          <w:p>
            <w:pPr>
              <w:ind w:left="60"/>
              <w:spacing w:after="0"/>
              <w:rPr>
                <w:sz w:val="20"/>
                <w:szCs w:val="20"/>
                <w:color w:val="auto"/>
              </w:rPr>
            </w:pPr>
            <w:r>
              <w:rPr>
                <w:rFonts w:ascii="Arial" w:cs="Arial" w:eastAsia="Arial" w:hAnsi="Arial"/>
                <w:sz w:val="18"/>
                <w:szCs w:val="18"/>
                <w:color w:val="auto"/>
                <w:w w:val="90"/>
              </w:rPr>
              <w:t>applied to the new balance since February 2013 for new affiliates to the system and beginning June 2013</w:t>
            </w:r>
          </w:p>
        </w:tc>
        <w:tc>
          <w:tcPr>
            <w:tcW w:w="0" w:type="dxa"/>
            <w:vAlign w:val="bottom"/>
          </w:tcPr>
          <w:p>
            <w:pPr>
              <w:spacing w:after="0"/>
              <w:rPr>
                <w:sz w:val="1"/>
                <w:szCs w:val="1"/>
                <w:color w:val="auto"/>
              </w:rPr>
            </w:pPr>
          </w:p>
        </w:tc>
      </w:tr>
      <w:tr>
        <w:trPr>
          <w:trHeight w:val="230"/>
        </w:trPr>
        <w:tc>
          <w:tcPr>
            <w:tcW w:w="2880" w:type="dxa"/>
            <w:vAlign w:val="bottom"/>
          </w:tcPr>
          <w:p>
            <w:pPr>
              <w:spacing w:after="0"/>
              <w:rPr>
                <w:sz w:val="20"/>
                <w:szCs w:val="20"/>
                <w:color w:val="auto"/>
              </w:rPr>
            </w:pPr>
            <w:r>
              <w:rPr>
                <w:rFonts w:ascii="Arial" w:cs="Arial" w:eastAsia="Arial" w:hAnsi="Arial"/>
                <w:sz w:val="18"/>
                <w:szCs w:val="18"/>
                <w:color w:val="auto"/>
              </w:rPr>
              <w:t>Balance</w:t>
            </w:r>
          </w:p>
        </w:tc>
        <w:tc>
          <w:tcPr>
            <w:tcW w:w="5640" w:type="dxa"/>
            <w:vAlign w:val="bottom"/>
            <w:gridSpan w:val="14"/>
          </w:tcPr>
          <w:p>
            <w:pPr>
              <w:ind w:left="200"/>
              <w:spacing w:after="0"/>
              <w:rPr>
                <w:sz w:val="20"/>
                <w:szCs w:val="20"/>
                <w:color w:val="auto"/>
              </w:rPr>
            </w:pPr>
            <w:r>
              <w:rPr>
                <w:rFonts w:ascii="Arial" w:cs="Arial" w:eastAsia="Arial" w:hAnsi="Arial"/>
                <w:sz w:val="18"/>
                <w:szCs w:val="18"/>
                <w:color w:val="auto"/>
              </w:rPr>
              <w:t>1.25%  for old affiliates who have chosen this commission scheme.</w:t>
            </w: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880" w:type="dxa"/>
            <w:vAlign w:val="bottom"/>
          </w:tcPr>
          <w:p>
            <w:pPr>
              <w:spacing w:after="0"/>
              <w:rPr>
                <w:sz w:val="20"/>
                <w:szCs w:val="20"/>
                <w:color w:val="auto"/>
              </w:rPr>
            </w:pPr>
            <w:r>
              <w:rPr>
                <w:rFonts w:ascii="Arial" w:cs="Arial" w:eastAsia="Arial" w:hAnsi="Arial"/>
                <w:sz w:val="18"/>
                <w:szCs w:val="18"/>
                <w:b w:val="1"/>
                <w:bCs w:val="1"/>
                <w:i w:val="1"/>
                <w:iCs w:val="1"/>
                <w:color w:val="auto"/>
              </w:rPr>
              <w:t>Main indicators</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2880" w:type="dxa"/>
            <w:vAlign w:val="bottom"/>
          </w:tcPr>
          <w:p>
            <w:pPr>
              <w:spacing w:after="0"/>
              <w:rPr>
                <w:sz w:val="20"/>
                <w:szCs w:val="20"/>
                <w:color w:val="auto"/>
              </w:rPr>
            </w:pPr>
            <w:r>
              <w:rPr>
                <w:rFonts w:ascii="Arial" w:cs="Arial" w:eastAsia="Arial" w:hAnsi="Arial"/>
                <w:sz w:val="18"/>
                <w:szCs w:val="18"/>
                <w:b w:val="1"/>
                <w:bCs w:val="1"/>
                <w:color w:val="auto"/>
              </w:rPr>
              <w:t>Quarterly main indicators and</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95"/>
              </w:rPr>
              <w:t>Prima</w:t>
            </w:r>
          </w:p>
        </w:tc>
        <w:tc>
          <w:tcPr>
            <w:tcW w:w="118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87"/>
              </w:rPr>
              <w:t>System</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 Part.</w:t>
            </w:r>
          </w:p>
        </w:tc>
        <w:tc>
          <w:tcPr>
            <w:tcW w:w="12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Prima</w:t>
            </w:r>
          </w:p>
        </w:tc>
        <w:tc>
          <w:tcPr>
            <w:tcW w:w="130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7"/>
              </w:rPr>
              <w:t>System</w:t>
            </w:r>
          </w:p>
        </w:tc>
        <w:tc>
          <w:tcPr>
            <w:tcW w:w="1400" w:type="dxa"/>
            <w:vAlign w:val="bottom"/>
            <w:gridSpan w:val="3"/>
          </w:tcPr>
          <w:p>
            <w:pPr>
              <w:ind w:left="60"/>
              <w:spacing w:after="0"/>
              <w:rPr>
                <w:sz w:val="20"/>
                <w:szCs w:val="20"/>
                <w:color w:val="auto"/>
              </w:rPr>
            </w:pPr>
            <w:r>
              <w:rPr>
                <w:rFonts w:ascii="Arial" w:cs="Arial" w:eastAsia="Arial" w:hAnsi="Arial"/>
                <w:sz w:val="18"/>
                <w:szCs w:val="18"/>
                <w:b w:val="1"/>
                <w:bCs w:val="1"/>
                <w:color w:val="auto"/>
              </w:rPr>
              <w:t>% Part.</w:t>
            </w:r>
          </w:p>
        </w:tc>
        <w:tc>
          <w:tcPr>
            <w:tcW w:w="0" w:type="dxa"/>
            <w:vAlign w:val="bottom"/>
          </w:tcPr>
          <w:p>
            <w:pPr>
              <w:spacing w:after="0"/>
              <w:rPr>
                <w:sz w:val="1"/>
                <w:szCs w:val="1"/>
                <w:color w:val="auto"/>
              </w:rPr>
            </w:pPr>
          </w:p>
        </w:tc>
      </w:tr>
      <w:tr>
        <w:trPr>
          <w:trHeight w:val="234"/>
        </w:trPr>
        <w:tc>
          <w:tcPr>
            <w:tcW w:w="2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market share</w:t>
            </w:r>
          </w:p>
        </w:tc>
        <w:tc>
          <w:tcPr>
            <w:tcW w:w="7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5"/>
              </w:rPr>
              <w:t>1Q15</w:t>
            </w:r>
          </w:p>
        </w:tc>
        <w:tc>
          <w:tcPr>
            <w:tcW w:w="22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0"/>
              </w:rPr>
              <w:t>1Q15</w:t>
            </w:r>
          </w:p>
        </w:tc>
        <w:tc>
          <w:tcPr>
            <w:tcW w:w="22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1Q15</w:t>
            </w:r>
          </w:p>
        </w:tc>
        <w:tc>
          <w:tcPr>
            <w:tcW w:w="26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2Q15</w:t>
            </w:r>
          </w:p>
        </w:tc>
        <w:tc>
          <w:tcPr>
            <w:tcW w:w="22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2Q15</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2Q15</w:t>
            </w:r>
          </w:p>
        </w:tc>
        <w:tc>
          <w:tcPr>
            <w:tcW w:w="160" w:type="dxa"/>
            <w:vAlign w:val="bottom"/>
            <w:tcBorders>
              <w:bottom w:val="single" w:sz="8" w:color="CCEEFF"/>
            </w:tcBorders>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Affiliates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1,457,713</w:t>
            </w:r>
          </w:p>
        </w:tc>
        <w:tc>
          <w:tcPr>
            <w:tcW w:w="2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center"/>
              <w:ind w:left="150"/>
              <w:spacing w:after="0"/>
              <w:rPr>
                <w:sz w:val="20"/>
                <w:szCs w:val="20"/>
                <w:color w:val="auto"/>
              </w:rPr>
            </w:pPr>
            <w:r>
              <w:rPr>
                <w:rFonts w:ascii="Arial" w:cs="Arial" w:eastAsia="Arial" w:hAnsi="Arial"/>
                <w:sz w:val="18"/>
                <w:szCs w:val="18"/>
                <w:color w:val="auto"/>
                <w:w w:val="89"/>
              </w:rPr>
              <w:t>5,789,608</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25.2%</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1,455,214</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5,844,589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24.9%</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880" w:type="dxa"/>
            <w:vAlign w:val="bottom"/>
          </w:tcPr>
          <w:p>
            <w:pPr>
              <w:spacing w:after="0" w:line="256" w:lineRule="exact"/>
              <w:rPr>
                <w:sz w:val="20"/>
                <w:szCs w:val="20"/>
                <w:color w:val="auto"/>
              </w:rPr>
            </w:pPr>
            <w:r>
              <w:rPr>
                <w:rFonts w:ascii="Arial" w:cs="Arial" w:eastAsia="Arial" w:hAnsi="Arial"/>
                <w:sz w:val="18"/>
                <w:szCs w:val="18"/>
                <w:color w:val="auto"/>
              </w:rPr>
              <w:t xml:space="preserve">New affiliations </w:t>
            </w:r>
            <w:r>
              <w:rPr>
                <w:rFonts w:ascii="Arial" w:cs="Arial" w:eastAsia="Arial" w:hAnsi="Arial"/>
                <w:sz w:val="29"/>
                <w:szCs w:val="29"/>
                <w:color w:val="auto"/>
                <w:vertAlign w:val="superscript"/>
              </w:rPr>
              <w:t>(1)</w:t>
            </w:r>
          </w:p>
        </w:tc>
        <w:tc>
          <w:tcPr>
            <w:tcW w:w="1800" w:type="dxa"/>
            <w:vAlign w:val="bottom"/>
            <w:gridSpan w:val="5"/>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180" w:type="dxa"/>
            <w:vAlign w:val="bottom"/>
            <w:gridSpan w:val="4"/>
          </w:tcPr>
          <w:p>
            <w:pPr>
              <w:jc w:val="right"/>
              <w:ind w:right="220"/>
              <w:spacing w:after="0"/>
              <w:rPr>
                <w:sz w:val="20"/>
                <w:szCs w:val="20"/>
                <w:color w:val="auto"/>
              </w:rPr>
            </w:pPr>
            <w:r>
              <w:rPr>
                <w:rFonts w:ascii="Arial" w:cs="Arial" w:eastAsia="Arial" w:hAnsi="Arial"/>
                <w:sz w:val="18"/>
                <w:szCs w:val="18"/>
                <w:color w:val="auto"/>
              </w:rPr>
              <w:t>71,671</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65,506</w:t>
            </w:r>
          </w:p>
        </w:tc>
        <w:tc>
          <w:tcPr>
            <w:tcW w:w="120" w:type="dxa"/>
            <w:vAlign w:val="bottom"/>
          </w:tcPr>
          <w:p>
            <w:pPr>
              <w:spacing w:after="0"/>
              <w:rPr>
                <w:sz w:val="22"/>
                <w:szCs w:val="22"/>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Funds under management (S/. Million)</w:t>
            </w:r>
          </w:p>
        </w:tc>
        <w:tc>
          <w:tcPr>
            <w:tcW w:w="2020" w:type="dxa"/>
            <w:vAlign w:val="bottom"/>
            <w:gridSpan w:val="6"/>
            <w:shd w:val="clear" w:color="auto" w:fill="CCEEFF"/>
          </w:tcPr>
          <w:p>
            <w:pPr>
              <w:jc w:val="right"/>
              <w:ind w:right="220"/>
              <w:spacing w:after="0"/>
              <w:rPr>
                <w:sz w:val="20"/>
                <w:szCs w:val="20"/>
                <w:color w:val="auto"/>
              </w:rPr>
            </w:pPr>
            <w:r>
              <w:rPr>
                <w:rFonts w:ascii="Arial" w:cs="Arial" w:eastAsia="Arial" w:hAnsi="Arial"/>
                <w:sz w:val="18"/>
                <w:szCs w:val="18"/>
                <w:color w:val="auto"/>
              </w:rPr>
              <w:t>37,957</w:t>
            </w:r>
          </w:p>
        </w:tc>
        <w:tc>
          <w:tcPr>
            <w:tcW w:w="11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118,500</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32.0%</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39,004</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122,057</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32.0%</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880" w:type="dxa"/>
            <w:vAlign w:val="bottom"/>
          </w:tcPr>
          <w:p>
            <w:pPr>
              <w:spacing w:after="0" w:line="256" w:lineRule="exact"/>
              <w:rPr>
                <w:sz w:val="20"/>
                <w:szCs w:val="20"/>
                <w:color w:val="auto"/>
              </w:rPr>
            </w:pPr>
            <w:r>
              <w:rPr>
                <w:rFonts w:ascii="Arial" w:cs="Arial" w:eastAsia="Arial" w:hAnsi="Arial"/>
                <w:sz w:val="18"/>
                <w:szCs w:val="18"/>
                <w:color w:val="auto"/>
              </w:rPr>
              <w:t xml:space="preserve">Collections (S/. Million) </w:t>
            </w:r>
            <w:r>
              <w:rPr>
                <w:rFonts w:ascii="Arial" w:cs="Arial" w:eastAsia="Arial" w:hAnsi="Arial"/>
                <w:sz w:val="29"/>
                <w:szCs w:val="29"/>
                <w:color w:val="auto"/>
                <w:vertAlign w:val="superscript"/>
              </w:rPr>
              <w:t>(1)</w:t>
            </w:r>
          </w:p>
        </w:tc>
        <w:tc>
          <w:tcPr>
            <w:tcW w:w="2020" w:type="dxa"/>
            <w:vAlign w:val="bottom"/>
            <w:gridSpan w:val="6"/>
          </w:tcPr>
          <w:p>
            <w:pPr>
              <w:jc w:val="right"/>
              <w:ind w:right="220"/>
              <w:spacing w:after="0"/>
              <w:rPr>
                <w:sz w:val="20"/>
                <w:szCs w:val="20"/>
                <w:color w:val="auto"/>
              </w:rPr>
            </w:pPr>
            <w:r>
              <w:rPr>
                <w:rFonts w:ascii="Arial" w:cs="Arial" w:eastAsia="Arial" w:hAnsi="Arial"/>
                <w:sz w:val="18"/>
                <w:szCs w:val="18"/>
                <w:color w:val="auto"/>
              </w:rPr>
              <w:t>714</w:t>
            </w:r>
          </w:p>
        </w:tc>
        <w:tc>
          <w:tcPr>
            <w:tcW w:w="1180" w:type="dxa"/>
            <w:vAlign w:val="bottom"/>
            <w:gridSpan w:val="4"/>
          </w:tcPr>
          <w:p>
            <w:pPr>
              <w:jc w:val="right"/>
              <w:ind w:right="220"/>
              <w:spacing w:after="0"/>
              <w:rPr>
                <w:sz w:val="20"/>
                <w:szCs w:val="20"/>
                <w:color w:val="auto"/>
              </w:rPr>
            </w:pPr>
            <w:r>
              <w:rPr>
                <w:rFonts w:ascii="Arial" w:cs="Arial" w:eastAsia="Arial" w:hAnsi="Arial"/>
                <w:sz w:val="18"/>
                <w:szCs w:val="18"/>
                <w:color w:val="auto"/>
              </w:rPr>
              <w:t>2,146</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33.3%</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741</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2,228</w:t>
            </w:r>
          </w:p>
        </w:tc>
        <w:tc>
          <w:tcPr>
            <w:tcW w:w="120" w:type="dxa"/>
            <w:vAlign w:val="bottom"/>
          </w:tcPr>
          <w:p>
            <w:pPr>
              <w:spacing w:after="0"/>
              <w:rPr>
                <w:sz w:val="22"/>
                <w:szCs w:val="22"/>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33.2%</w:t>
            </w:r>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Voluntary contributions (S/. Million)</w:t>
            </w:r>
          </w:p>
        </w:tc>
        <w:tc>
          <w:tcPr>
            <w:tcW w:w="2020" w:type="dxa"/>
            <w:vAlign w:val="bottom"/>
            <w:gridSpan w:val="6"/>
            <w:shd w:val="clear" w:color="auto" w:fill="CCEEFF"/>
          </w:tcPr>
          <w:p>
            <w:pPr>
              <w:jc w:val="right"/>
              <w:ind w:right="220"/>
              <w:spacing w:after="0"/>
              <w:rPr>
                <w:sz w:val="20"/>
                <w:szCs w:val="20"/>
                <w:color w:val="auto"/>
              </w:rPr>
            </w:pPr>
            <w:r>
              <w:rPr>
                <w:rFonts w:ascii="Arial" w:cs="Arial" w:eastAsia="Arial" w:hAnsi="Arial"/>
                <w:sz w:val="18"/>
                <w:szCs w:val="18"/>
                <w:color w:val="auto"/>
              </w:rPr>
              <w:t>267</w:t>
            </w:r>
          </w:p>
        </w:tc>
        <w:tc>
          <w:tcPr>
            <w:tcW w:w="11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591</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45.2%</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281</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640</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44.0%</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880" w:type="dxa"/>
            <w:vAlign w:val="bottom"/>
          </w:tcPr>
          <w:p>
            <w:pPr>
              <w:spacing w:after="0" w:line="242" w:lineRule="exact"/>
              <w:rPr>
                <w:sz w:val="20"/>
                <w:szCs w:val="20"/>
                <w:color w:val="auto"/>
              </w:rPr>
            </w:pPr>
            <w:r>
              <w:rPr>
                <w:rFonts w:ascii="Arial" w:cs="Arial" w:eastAsia="Arial" w:hAnsi="Arial"/>
                <w:sz w:val="17"/>
                <w:szCs w:val="17"/>
                <w:color w:val="auto"/>
              </w:rPr>
              <w:t xml:space="preserve">RAM (S/. Million) </w:t>
            </w:r>
            <w:r>
              <w:rPr>
                <w:rFonts w:ascii="Arial" w:cs="Arial" w:eastAsia="Arial" w:hAnsi="Arial"/>
                <w:sz w:val="28"/>
                <w:szCs w:val="28"/>
                <w:color w:val="auto"/>
                <w:vertAlign w:val="superscript"/>
              </w:rPr>
              <w:t>(2)</w:t>
            </w:r>
          </w:p>
        </w:tc>
        <w:tc>
          <w:tcPr>
            <w:tcW w:w="2020" w:type="dxa"/>
            <w:vAlign w:val="bottom"/>
            <w:gridSpan w:val="6"/>
          </w:tcPr>
          <w:p>
            <w:pPr>
              <w:jc w:val="right"/>
              <w:ind w:right="220"/>
              <w:spacing w:after="0"/>
              <w:rPr>
                <w:sz w:val="20"/>
                <w:szCs w:val="20"/>
                <w:color w:val="auto"/>
              </w:rPr>
            </w:pPr>
            <w:r>
              <w:rPr>
                <w:rFonts w:ascii="Arial" w:cs="Arial" w:eastAsia="Arial" w:hAnsi="Arial"/>
                <w:sz w:val="18"/>
                <w:szCs w:val="18"/>
                <w:color w:val="auto"/>
              </w:rPr>
              <w:t>2,076</w:t>
            </w:r>
          </w:p>
        </w:tc>
        <w:tc>
          <w:tcPr>
            <w:tcW w:w="1180" w:type="dxa"/>
            <w:vAlign w:val="bottom"/>
            <w:gridSpan w:val="4"/>
          </w:tcPr>
          <w:p>
            <w:pPr>
              <w:jc w:val="right"/>
              <w:ind w:right="220"/>
              <w:spacing w:after="0"/>
              <w:rPr>
                <w:sz w:val="20"/>
                <w:szCs w:val="20"/>
                <w:color w:val="auto"/>
              </w:rPr>
            </w:pPr>
            <w:r>
              <w:rPr>
                <w:rFonts w:ascii="Arial" w:cs="Arial" w:eastAsia="Arial" w:hAnsi="Arial"/>
                <w:sz w:val="18"/>
                <w:szCs w:val="18"/>
                <w:color w:val="auto"/>
              </w:rPr>
              <w:t>6,310</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32.9%</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2,152</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6,525</w:t>
            </w:r>
          </w:p>
        </w:tc>
        <w:tc>
          <w:tcPr>
            <w:tcW w:w="12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33.0</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880" w:type="dxa"/>
            <w:vAlign w:val="bottom"/>
          </w:tcPr>
          <w:p>
            <w:pPr>
              <w:spacing w:after="0"/>
              <w:rPr>
                <w:sz w:val="20"/>
                <w:szCs w:val="20"/>
                <w:color w:val="auto"/>
              </w:rPr>
            </w:pPr>
            <w:r>
              <w:rPr>
                <w:rFonts w:ascii="Arial" w:cs="Arial" w:eastAsia="Arial" w:hAnsi="Arial"/>
                <w:sz w:val="18"/>
                <w:szCs w:val="18"/>
                <w:color w:val="auto"/>
              </w:rPr>
              <w:t>Source: SBS</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Accumulated to the quarter. Prima AFP’s ne affiliations correponds to fishing workers.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Prima AFP estimate: average of aggregated income during the last 4 months excluding special collections and voluntary contribution fees.</w:t>
      </w: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34"/>
        </w:trPr>
        <w:tc>
          <w:tcPr>
            <w:tcW w:w="4520" w:type="dxa"/>
            <w:vAlign w:val="bottom"/>
            <w:gridSpan w:val="2"/>
          </w:tcPr>
          <w:p>
            <w:pPr>
              <w:spacing w:after="0"/>
              <w:rPr>
                <w:sz w:val="20"/>
                <w:szCs w:val="20"/>
                <w:color w:val="auto"/>
              </w:rPr>
            </w:pPr>
            <w:r>
              <w:rPr>
                <w:rFonts w:ascii="Arial" w:cs="Arial" w:eastAsia="Arial" w:hAnsi="Arial"/>
                <w:sz w:val="18"/>
                <w:szCs w:val="18"/>
                <w:b w:val="1"/>
                <w:bCs w:val="1"/>
                <w:color w:val="auto"/>
              </w:rPr>
              <w:t>11.8  EEFF Credicorp</w:t>
            </w:r>
          </w:p>
        </w:tc>
        <w:tc>
          <w:tcPr>
            <w:tcW w:w="7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660" w:type="dxa"/>
            <w:vAlign w:val="bottom"/>
            <w:gridSpan w:val="6"/>
          </w:tcPr>
          <w:p>
            <w:pPr>
              <w:jc w:val="center"/>
              <w:ind w:left="3650"/>
              <w:spacing w:after="0"/>
              <w:rPr>
                <w:sz w:val="20"/>
                <w:szCs w:val="20"/>
                <w:color w:val="auto"/>
              </w:rPr>
            </w:pPr>
            <w:r>
              <w:rPr>
                <w:rFonts w:ascii="Arial" w:cs="Arial" w:eastAsia="Arial" w:hAnsi="Arial"/>
                <w:sz w:val="18"/>
                <w:szCs w:val="18"/>
                <w:b w:val="1"/>
                <w:bCs w:val="1"/>
                <w:color w:val="auto"/>
                <w:w w:val="99"/>
              </w:rPr>
              <w:t>CREDICORP LTD. AND SUBSIDIARIES</w:t>
            </w: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6"/>
          </w:tcPr>
          <w:p>
            <w:pPr>
              <w:jc w:val="center"/>
              <w:ind w:left="3650"/>
              <w:spacing w:after="0"/>
              <w:rPr>
                <w:sz w:val="20"/>
                <w:szCs w:val="20"/>
                <w:color w:val="auto"/>
              </w:rPr>
            </w:pPr>
            <w:r>
              <w:rPr>
                <w:rFonts w:ascii="Arial" w:cs="Arial" w:eastAsia="Arial" w:hAnsi="Arial"/>
                <w:sz w:val="18"/>
                <w:szCs w:val="18"/>
                <w:b w:val="1"/>
                <w:bCs w:val="1"/>
                <w:color w:val="auto"/>
                <w:w w:val="99"/>
              </w:rPr>
              <w:t>CONSOLIDATED BALANCE SHEETS</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3160" w:type="dxa"/>
            <w:vAlign w:val="bottom"/>
            <w:gridSpan w:val="5"/>
          </w:tcPr>
          <w:p>
            <w:pPr>
              <w:jc w:val="center"/>
              <w:ind w:right="780"/>
              <w:spacing w:after="0"/>
              <w:rPr>
                <w:sz w:val="20"/>
                <w:szCs w:val="20"/>
                <w:color w:val="auto"/>
              </w:rPr>
            </w:pPr>
            <w:r>
              <w:rPr>
                <w:rFonts w:ascii="Arial" w:cs="Arial" w:eastAsia="Arial" w:hAnsi="Arial"/>
                <w:sz w:val="18"/>
                <w:szCs w:val="18"/>
                <w:b w:val="1"/>
                <w:bCs w:val="1"/>
                <w:color w:val="auto"/>
                <w:w w:val="92"/>
              </w:rPr>
              <w:t>(In S/. thousands, IFRS)</w:t>
            </w: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As of</w:t>
            </w: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gridSpan w:val="3"/>
          </w:tcPr>
          <w:p>
            <w:pPr>
              <w:ind w:left="760"/>
              <w:spacing w:after="0"/>
              <w:rPr>
                <w:sz w:val="20"/>
                <w:szCs w:val="20"/>
                <w:color w:val="auto"/>
              </w:rPr>
            </w:pPr>
            <w:r>
              <w:rPr>
                <w:rFonts w:ascii="Arial" w:cs="Arial" w:eastAsia="Arial" w:hAnsi="Arial"/>
                <w:sz w:val="18"/>
                <w:szCs w:val="18"/>
                <w:b w:val="1"/>
                <w:bCs w:val="1"/>
                <w:color w:val="auto"/>
                <w:w w:val="96"/>
              </w:rPr>
              <w:t>% Change</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Jun 14</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Mar 15</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Jun 15</w:t>
            </w:r>
          </w:p>
        </w:tc>
        <w:tc>
          <w:tcPr>
            <w:tcW w:w="1620" w:type="dxa"/>
            <w:vAlign w:val="bottom"/>
            <w:gridSpan w:val="3"/>
          </w:tcPr>
          <w:p>
            <w:pPr>
              <w:ind w:left="320"/>
              <w:spacing w:after="0"/>
              <w:rPr>
                <w:sz w:val="20"/>
                <w:szCs w:val="20"/>
                <w:color w:val="auto"/>
              </w:rPr>
            </w:pPr>
            <w:r>
              <w:rPr>
                <w:rFonts w:ascii="Arial" w:cs="Arial" w:eastAsia="Arial" w:hAnsi="Arial"/>
                <w:sz w:val="18"/>
                <w:szCs w:val="18"/>
                <w:b w:val="1"/>
                <w:bCs w:val="1"/>
                <w:color w:val="auto"/>
              </w:rPr>
              <w:t>QoQ</w:t>
            </w:r>
          </w:p>
        </w:tc>
        <w:tc>
          <w:tcPr>
            <w:tcW w:w="9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6"/>
              </w:rPr>
              <w:t>YoY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jc w:val="center"/>
              <w:ind w:left="490"/>
              <w:spacing w:after="0"/>
              <w:rPr>
                <w:sz w:val="20"/>
                <w:szCs w:val="20"/>
                <w:color w:val="auto"/>
              </w:rPr>
            </w:pPr>
            <w:r>
              <w:rPr>
                <w:rFonts w:ascii="Arial" w:cs="Arial" w:eastAsia="Arial" w:hAnsi="Arial"/>
                <w:sz w:val="18"/>
                <w:szCs w:val="18"/>
                <w:b w:val="1"/>
                <w:bCs w:val="1"/>
                <w:color w:val="auto"/>
                <w:w w:val="94"/>
              </w:rPr>
              <w:t>ASSETS</w:t>
            </w:r>
          </w:p>
        </w:tc>
        <w:tc>
          <w:tcPr>
            <w:tcW w:w="7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b w:val="1"/>
                <w:bCs w:val="1"/>
                <w:color w:val="auto"/>
              </w:rPr>
              <w:t>Cash and due from banks</w:t>
            </w: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Non-interest bearing</w:t>
            </w:r>
          </w:p>
        </w:tc>
        <w:tc>
          <w:tcPr>
            <w:tcW w:w="1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3,481,347</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4,928,093</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3,818,604</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-22.5%</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160"/>
              <w:spacing w:after="0"/>
              <w:rPr>
                <w:sz w:val="20"/>
                <w:szCs w:val="20"/>
                <w:color w:val="auto"/>
              </w:rPr>
            </w:pPr>
            <w:r>
              <w:rPr>
                <w:rFonts w:ascii="Arial" w:cs="Arial" w:eastAsia="Arial" w:hAnsi="Arial"/>
                <w:sz w:val="18"/>
                <w:szCs w:val="18"/>
                <w:color w:val="auto"/>
              </w:rPr>
              <w:t>Interest bearing</w:t>
            </w:r>
          </w:p>
        </w:tc>
        <w:tc>
          <w:tcPr>
            <w:tcW w:w="1940" w:type="dxa"/>
            <w:vAlign w:val="bottom"/>
            <w:gridSpan w:val="3"/>
          </w:tcPr>
          <w:p>
            <w:pPr>
              <w:jc w:val="right"/>
              <w:ind w:right="220"/>
              <w:spacing w:after="0"/>
              <w:rPr>
                <w:sz w:val="20"/>
                <w:szCs w:val="20"/>
                <w:color w:val="auto"/>
              </w:rPr>
            </w:pPr>
            <w:r>
              <w:rPr>
                <w:rFonts w:ascii="Arial" w:cs="Arial" w:eastAsia="Arial" w:hAnsi="Arial"/>
                <w:sz w:val="18"/>
                <w:szCs w:val="18"/>
                <w:color w:val="auto"/>
              </w:rPr>
              <w:t>19,627,203</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21,839,400</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24,789,029</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13.5%</w:t>
            </w:r>
          </w:p>
        </w:tc>
        <w:tc>
          <w:tcPr>
            <w:tcW w:w="3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Total cash and due from banks</w:t>
            </w:r>
          </w:p>
        </w:tc>
        <w:tc>
          <w:tcPr>
            <w:tcW w:w="1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23,108,550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26,767,493</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28,607,633</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6.9%</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Trading securities, net</w:t>
            </w:r>
          </w:p>
        </w:tc>
        <w:tc>
          <w:tcPr>
            <w:tcW w:w="1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2,249,019</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2,847,236</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2,130,997</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-25.2%</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Loans</w:t>
            </w:r>
          </w:p>
        </w:tc>
        <w:tc>
          <w:tcPr>
            <w:tcW w:w="1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73,464,928</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81,620,723</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83,503,212</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2.3%</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160"/>
              <w:spacing w:after="0"/>
              <w:rPr>
                <w:sz w:val="20"/>
                <w:szCs w:val="20"/>
                <w:color w:val="auto"/>
              </w:rPr>
            </w:pPr>
            <w:r>
              <w:rPr>
                <w:rFonts w:ascii="Arial" w:cs="Arial" w:eastAsia="Arial" w:hAnsi="Arial"/>
                <w:sz w:val="18"/>
                <w:szCs w:val="18"/>
                <w:color w:val="auto"/>
              </w:rPr>
              <w:t>Current</w:t>
            </w:r>
          </w:p>
        </w:tc>
        <w:tc>
          <w:tcPr>
            <w:tcW w:w="1940" w:type="dxa"/>
            <w:vAlign w:val="bottom"/>
            <w:gridSpan w:val="3"/>
          </w:tcPr>
          <w:p>
            <w:pPr>
              <w:jc w:val="right"/>
              <w:ind w:right="220"/>
              <w:spacing w:after="0"/>
              <w:rPr>
                <w:sz w:val="20"/>
                <w:szCs w:val="20"/>
                <w:color w:val="auto"/>
              </w:rPr>
            </w:pPr>
            <w:r>
              <w:rPr>
                <w:rFonts w:ascii="Arial" w:cs="Arial" w:eastAsia="Arial" w:hAnsi="Arial"/>
                <w:sz w:val="18"/>
                <w:szCs w:val="18"/>
                <w:color w:val="auto"/>
              </w:rPr>
              <w:t>71,524,773</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79,512,894</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81,227,832</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Past due</w:t>
            </w:r>
          </w:p>
        </w:tc>
        <w:tc>
          <w:tcPr>
            <w:tcW w:w="1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1,940,155</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2,107,829</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2,275,380</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160"/>
              <w:spacing w:after="0"/>
              <w:rPr>
                <w:sz w:val="20"/>
                <w:szCs w:val="20"/>
                <w:color w:val="auto"/>
              </w:rPr>
            </w:pPr>
            <w:r>
              <w:rPr>
                <w:rFonts w:ascii="Arial" w:cs="Arial" w:eastAsia="Arial" w:hAnsi="Arial"/>
                <w:sz w:val="18"/>
                <w:szCs w:val="18"/>
                <w:color w:val="auto"/>
              </w:rPr>
              <w:t>Less - net provisions for loan losses</w:t>
            </w:r>
          </w:p>
        </w:tc>
        <w:tc>
          <w:tcPr>
            <w:tcW w:w="1940" w:type="dxa"/>
            <w:vAlign w:val="bottom"/>
            <w:gridSpan w:val="3"/>
          </w:tcPr>
          <w:p>
            <w:pPr>
              <w:jc w:val="right"/>
              <w:ind w:right="160"/>
              <w:spacing w:after="0"/>
              <w:rPr>
                <w:sz w:val="20"/>
                <w:szCs w:val="20"/>
                <w:color w:val="auto"/>
              </w:rPr>
            </w:pPr>
            <w:r>
              <w:rPr>
                <w:rFonts w:ascii="Arial" w:cs="Arial" w:eastAsia="Arial" w:hAnsi="Arial"/>
                <w:sz w:val="18"/>
                <w:szCs w:val="18"/>
                <w:color w:val="auto"/>
              </w:rPr>
              <w:t>(3,072,244)</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(3,466,341)</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(3,622,632)</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4.5%</w:t>
            </w:r>
          </w:p>
        </w:tc>
        <w:tc>
          <w:tcPr>
            <w:tcW w:w="3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Loans, net</w:t>
            </w:r>
          </w:p>
        </w:tc>
        <w:tc>
          <w:tcPr>
            <w:tcW w:w="1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70,392,684</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78,154,382</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79,880,580</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2.2%</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Investments securities available for sale</w:t>
            </w:r>
          </w:p>
        </w:tc>
        <w:tc>
          <w:tcPr>
            <w:tcW w:w="1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17,745,695</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17,905,751</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17,772,153</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-0.7%</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b w:val="1"/>
                <w:bCs w:val="1"/>
                <w:color w:val="auto"/>
              </w:rPr>
              <w:t>Investments held to maturity</w:t>
            </w:r>
          </w:p>
        </w:tc>
        <w:tc>
          <w:tcPr>
            <w:tcW w:w="1940" w:type="dxa"/>
            <w:vAlign w:val="bottom"/>
            <w:gridSpan w:val="3"/>
          </w:tcPr>
          <w:p>
            <w:pPr>
              <w:jc w:val="right"/>
              <w:ind w:right="220"/>
              <w:spacing w:after="0"/>
              <w:rPr>
                <w:sz w:val="20"/>
                <w:szCs w:val="20"/>
                <w:color w:val="auto"/>
              </w:rPr>
            </w:pPr>
            <w:r>
              <w:rPr>
                <w:rFonts w:ascii="Arial" w:cs="Arial" w:eastAsia="Arial" w:hAnsi="Arial"/>
                <w:sz w:val="18"/>
                <w:szCs w:val="18"/>
                <w:color w:val="auto"/>
              </w:rPr>
              <w:t>1,760,576</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2,640,261</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2,970,260</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12.5%</w:t>
            </w:r>
          </w:p>
        </w:tc>
        <w:tc>
          <w:tcPr>
            <w:tcW w:w="3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Reinsurance assets</w:t>
            </w:r>
          </w:p>
        </w:tc>
        <w:tc>
          <w:tcPr>
            <w:tcW w:w="1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491,821</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455,668</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402,426</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-11.7%</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b w:val="1"/>
                <w:bCs w:val="1"/>
                <w:color w:val="auto"/>
              </w:rPr>
              <w:t>Premiums and other policyholder receivables</w:t>
            </w:r>
          </w:p>
        </w:tc>
        <w:tc>
          <w:tcPr>
            <w:tcW w:w="1940" w:type="dxa"/>
            <w:vAlign w:val="bottom"/>
            <w:gridSpan w:val="3"/>
          </w:tcPr>
          <w:p>
            <w:pPr>
              <w:jc w:val="right"/>
              <w:ind w:right="220"/>
              <w:spacing w:after="0"/>
              <w:rPr>
                <w:sz w:val="20"/>
                <w:szCs w:val="20"/>
                <w:color w:val="auto"/>
              </w:rPr>
            </w:pPr>
            <w:r>
              <w:rPr>
                <w:rFonts w:ascii="Arial" w:cs="Arial" w:eastAsia="Arial" w:hAnsi="Arial"/>
                <w:sz w:val="18"/>
                <w:szCs w:val="18"/>
                <w:color w:val="auto"/>
              </w:rPr>
              <w:t>584,692</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622,377</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571,066</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-8.2%</w:t>
            </w:r>
          </w:p>
        </w:tc>
        <w:tc>
          <w:tcPr>
            <w:tcW w:w="3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1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2,163,838</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1,904,196</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1,878,261</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b w:val="1"/>
                <w:bCs w:val="1"/>
                <w:color w:val="auto"/>
              </w:rPr>
              <w:t>Due from customers on acceptances</w:t>
            </w:r>
          </w:p>
        </w:tc>
        <w:tc>
          <w:tcPr>
            <w:tcW w:w="1940" w:type="dxa"/>
            <w:vAlign w:val="bottom"/>
            <w:gridSpan w:val="3"/>
          </w:tcPr>
          <w:p>
            <w:pPr>
              <w:jc w:val="right"/>
              <w:ind w:right="220"/>
              <w:spacing w:after="0"/>
              <w:rPr>
                <w:sz w:val="20"/>
                <w:szCs w:val="20"/>
                <w:color w:val="auto"/>
              </w:rPr>
            </w:pPr>
            <w:r>
              <w:rPr>
                <w:rFonts w:ascii="Arial" w:cs="Arial" w:eastAsia="Arial" w:hAnsi="Arial"/>
                <w:sz w:val="18"/>
                <w:szCs w:val="18"/>
                <w:color w:val="auto"/>
              </w:rPr>
              <w:t>152,901</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169,480</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151,952</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-10.3%</w:t>
            </w:r>
          </w:p>
        </w:tc>
        <w:tc>
          <w:tcPr>
            <w:tcW w:w="3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00" w:type="dxa"/>
            <w:vAlign w:val="bottom"/>
            <w:shd w:val="clear" w:color="auto" w:fill="CCEEFF"/>
          </w:tcPr>
          <w:p>
            <w:pPr>
              <w:spacing w:after="0" w:line="256" w:lineRule="exact"/>
              <w:rPr>
                <w:sz w:val="20"/>
                <w:szCs w:val="20"/>
                <w:color w:val="auto"/>
              </w:rPr>
            </w:pPr>
            <w:r>
              <w:rPr>
                <w:rFonts w:ascii="Arial" w:cs="Arial" w:eastAsia="Arial" w:hAnsi="Arial"/>
                <w:sz w:val="18"/>
                <w:szCs w:val="18"/>
                <w:b w:val="1"/>
                <w:bCs w:val="1"/>
                <w:color w:val="auto"/>
              </w:rPr>
              <w:t xml:space="preserve">Investments in associates </w:t>
            </w:r>
            <w:r>
              <w:rPr>
                <w:rFonts w:ascii="Arial" w:cs="Arial" w:eastAsia="Arial" w:hAnsi="Arial"/>
                <w:sz w:val="29"/>
                <w:szCs w:val="29"/>
                <w:b w:val="1"/>
                <w:bCs w:val="1"/>
                <w:color w:val="auto"/>
                <w:vertAlign w:val="superscript"/>
              </w:rPr>
              <w:t>(1)</w:t>
            </w:r>
          </w:p>
        </w:tc>
        <w:tc>
          <w:tcPr>
            <w:tcW w:w="1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36,759</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559,867</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544,257</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w:t>
            </w:r>
          </w:p>
        </w:tc>
        <w:tc>
          <w:tcPr>
            <w:tcW w:w="30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1380.6%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00" w:type="dxa"/>
            <w:vAlign w:val="bottom"/>
          </w:tcPr>
          <w:p>
            <w:pPr>
              <w:spacing w:after="0" w:line="256" w:lineRule="exact"/>
              <w:rPr>
                <w:sz w:val="20"/>
                <w:szCs w:val="20"/>
                <w:color w:val="auto"/>
              </w:rPr>
            </w:pPr>
            <w:r>
              <w:rPr>
                <w:rFonts w:ascii="Arial" w:cs="Arial" w:eastAsia="Arial" w:hAnsi="Arial"/>
                <w:sz w:val="18"/>
                <w:szCs w:val="18"/>
                <w:b w:val="1"/>
                <w:bCs w:val="1"/>
                <w:color w:val="auto"/>
              </w:rPr>
              <w:t xml:space="preserve">Other assets </w:t>
            </w:r>
            <w:r>
              <w:rPr>
                <w:rFonts w:ascii="Arial" w:cs="Arial" w:eastAsia="Arial" w:hAnsi="Arial"/>
                <w:sz w:val="29"/>
                <w:szCs w:val="29"/>
                <w:b w:val="1"/>
                <w:bCs w:val="1"/>
                <w:color w:val="auto"/>
                <w:vertAlign w:val="superscript"/>
              </w:rPr>
              <w:t>(2)</w:t>
            </w:r>
          </w:p>
        </w:tc>
        <w:tc>
          <w:tcPr>
            <w:tcW w:w="1940" w:type="dxa"/>
            <w:vAlign w:val="bottom"/>
            <w:gridSpan w:val="3"/>
          </w:tcPr>
          <w:p>
            <w:pPr>
              <w:jc w:val="right"/>
              <w:ind w:right="220"/>
              <w:spacing w:after="0"/>
              <w:rPr>
                <w:sz w:val="20"/>
                <w:szCs w:val="20"/>
                <w:color w:val="auto"/>
              </w:rPr>
            </w:pPr>
            <w:r>
              <w:rPr>
                <w:rFonts w:ascii="Arial" w:cs="Arial" w:eastAsia="Arial" w:hAnsi="Arial"/>
                <w:sz w:val="18"/>
                <w:szCs w:val="18"/>
                <w:color w:val="auto"/>
              </w:rPr>
              <w:t>8,454,883</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8,837,181</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8,329,829</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-5.7%</w:t>
            </w:r>
          </w:p>
        </w:tc>
        <w:tc>
          <w:tcPr>
            <w:tcW w:w="300" w:type="dxa"/>
            <w:vAlign w:val="bottom"/>
          </w:tcPr>
          <w:p>
            <w:pPr>
              <w:spacing w:after="0"/>
              <w:rPr>
                <w:sz w:val="22"/>
                <w:szCs w:val="22"/>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jc w:val="center"/>
              <w:ind w:left="490"/>
              <w:spacing w:after="0"/>
              <w:rPr>
                <w:sz w:val="20"/>
                <w:szCs w:val="20"/>
                <w:color w:val="auto"/>
              </w:rPr>
            </w:pPr>
            <w:r>
              <w:rPr>
                <w:rFonts w:ascii="Arial" w:cs="Arial" w:eastAsia="Arial" w:hAnsi="Arial"/>
                <w:sz w:val="18"/>
                <w:szCs w:val="18"/>
                <w:b w:val="1"/>
                <w:bCs w:val="1"/>
                <w:color w:val="auto"/>
                <w:w w:val="84"/>
              </w:rPr>
              <w:t>Total assets</w:t>
            </w:r>
          </w:p>
        </w:tc>
        <w:tc>
          <w:tcPr>
            <w:tcW w:w="194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127,141,417</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7"/>
              </w:rPr>
              <w:t>140,863,892</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9"/>
              </w:rPr>
              <w:t>143,239,414</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1.7%</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4"/>
          </w:tcPr>
          <w:p>
            <w:pPr>
              <w:ind w:left="500"/>
              <w:spacing w:after="0" w:line="207" w:lineRule="exact"/>
              <w:rPr>
                <w:sz w:val="20"/>
                <w:szCs w:val="20"/>
                <w:color w:val="auto"/>
              </w:rPr>
            </w:pPr>
            <w:r>
              <w:rPr>
                <w:rFonts w:ascii="Arial" w:cs="Arial" w:eastAsia="Arial" w:hAnsi="Arial"/>
                <w:sz w:val="18"/>
                <w:szCs w:val="18"/>
                <w:b w:val="1"/>
                <w:bCs w:val="1"/>
                <w:color w:val="auto"/>
              </w:rPr>
              <w:t>LIABILITIES AND NET SHAREHOLDERS</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EQUITY</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Deposits and obligations</w:t>
            </w:r>
          </w:p>
        </w:tc>
        <w:tc>
          <w:tcPr>
            <w:tcW w:w="7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160"/>
              <w:spacing w:after="0"/>
              <w:rPr>
                <w:sz w:val="20"/>
                <w:szCs w:val="20"/>
                <w:color w:val="auto"/>
              </w:rPr>
            </w:pPr>
            <w:r>
              <w:rPr>
                <w:rFonts w:ascii="Arial" w:cs="Arial" w:eastAsia="Arial" w:hAnsi="Arial"/>
                <w:sz w:val="18"/>
                <w:szCs w:val="18"/>
                <w:color w:val="auto"/>
              </w:rPr>
              <w:t>Non-interest bearing</w:t>
            </w:r>
          </w:p>
        </w:tc>
        <w:tc>
          <w:tcPr>
            <w:tcW w:w="1940" w:type="dxa"/>
            <w:vAlign w:val="bottom"/>
            <w:gridSpan w:val="3"/>
          </w:tcPr>
          <w:p>
            <w:pPr>
              <w:jc w:val="right"/>
              <w:ind w:right="220"/>
              <w:spacing w:after="0"/>
              <w:rPr>
                <w:sz w:val="20"/>
                <w:szCs w:val="20"/>
                <w:color w:val="auto"/>
              </w:rPr>
            </w:pPr>
            <w:r>
              <w:rPr>
                <w:rFonts w:ascii="Arial" w:cs="Arial" w:eastAsia="Arial" w:hAnsi="Arial"/>
                <w:sz w:val="18"/>
                <w:szCs w:val="18"/>
                <w:color w:val="auto"/>
              </w:rPr>
              <w:t>19,669,034</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21,498,770</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23,707,385</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10.3%</w:t>
            </w:r>
          </w:p>
        </w:tc>
        <w:tc>
          <w:tcPr>
            <w:tcW w:w="3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bearing</w:t>
            </w:r>
          </w:p>
        </w:tc>
        <w:tc>
          <w:tcPr>
            <w:tcW w:w="1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55,942,026</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57,644,133</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57,203,238</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-0.8%</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160"/>
              <w:spacing w:after="0"/>
              <w:rPr>
                <w:sz w:val="20"/>
                <w:szCs w:val="20"/>
                <w:color w:val="auto"/>
              </w:rPr>
            </w:pPr>
            <w:r>
              <w:rPr>
                <w:rFonts w:ascii="Arial" w:cs="Arial" w:eastAsia="Arial" w:hAnsi="Arial"/>
                <w:sz w:val="18"/>
                <w:szCs w:val="18"/>
                <w:b w:val="1"/>
                <w:bCs w:val="1"/>
                <w:color w:val="auto"/>
              </w:rPr>
              <w:t>Total deposits and obligations</w:t>
            </w:r>
          </w:p>
        </w:tc>
        <w:tc>
          <w:tcPr>
            <w:tcW w:w="194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75,611,060</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79,142,903</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80,910,623</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2.2%</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b w:val="1"/>
                <w:bCs w:val="1"/>
                <w:color w:val="auto"/>
              </w:rPr>
              <w:t>Due to banks and correspondents</w:t>
            </w:r>
          </w:p>
        </w:tc>
        <w:tc>
          <w:tcPr>
            <w:tcW w:w="1940" w:type="dxa"/>
            <w:vAlign w:val="bottom"/>
            <w:gridSpan w:val="3"/>
          </w:tcPr>
          <w:p>
            <w:pPr>
              <w:jc w:val="right"/>
              <w:ind w:right="220"/>
              <w:spacing w:after="0"/>
              <w:rPr>
                <w:sz w:val="20"/>
                <w:szCs w:val="20"/>
                <w:color w:val="auto"/>
              </w:rPr>
            </w:pPr>
            <w:r>
              <w:rPr>
                <w:rFonts w:ascii="Arial" w:cs="Arial" w:eastAsia="Arial" w:hAnsi="Arial"/>
                <w:sz w:val="18"/>
                <w:szCs w:val="18"/>
                <w:color w:val="auto"/>
              </w:rPr>
              <w:t>10,435,500</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9,936,209</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9,180,228</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-7.6%</w:t>
            </w:r>
          </w:p>
        </w:tc>
        <w:tc>
          <w:tcPr>
            <w:tcW w:w="3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BCRP instruments</w:t>
            </w:r>
          </w:p>
        </w:tc>
        <w:tc>
          <w:tcPr>
            <w:tcW w:w="1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1,223,753</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7,956,780</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10,012,756</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25.8%</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b w:val="1"/>
                <w:bCs w:val="1"/>
                <w:color w:val="auto"/>
              </w:rPr>
              <w:t>Acceptances outstanding</w:t>
            </w:r>
          </w:p>
        </w:tc>
        <w:tc>
          <w:tcPr>
            <w:tcW w:w="1940" w:type="dxa"/>
            <w:vAlign w:val="bottom"/>
            <w:gridSpan w:val="3"/>
          </w:tcPr>
          <w:p>
            <w:pPr>
              <w:jc w:val="right"/>
              <w:ind w:right="220"/>
              <w:spacing w:after="0"/>
              <w:rPr>
                <w:sz w:val="20"/>
                <w:szCs w:val="20"/>
                <w:color w:val="auto"/>
              </w:rPr>
            </w:pPr>
            <w:r>
              <w:rPr>
                <w:rFonts w:ascii="Arial" w:cs="Arial" w:eastAsia="Arial" w:hAnsi="Arial"/>
                <w:sz w:val="18"/>
                <w:szCs w:val="18"/>
                <w:color w:val="auto"/>
              </w:rPr>
              <w:t>152,901</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169,480</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151,952</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-10.3%</w:t>
            </w:r>
          </w:p>
        </w:tc>
        <w:tc>
          <w:tcPr>
            <w:tcW w:w="3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Reserves for property and casualty claims</w:t>
            </w:r>
          </w:p>
        </w:tc>
        <w:tc>
          <w:tcPr>
            <w:tcW w:w="1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918,490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800,687</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818,570</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b w:val="1"/>
                <w:bCs w:val="1"/>
                <w:color w:val="auto"/>
              </w:rPr>
              <w:t>Reserve for unearned premiums</w:t>
            </w:r>
          </w:p>
        </w:tc>
        <w:tc>
          <w:tcPr>
            <w:tcW w:w="1940" w:type="dxa"/>
            <w:vAlign w:val="bottom"/>
            <w:gridSpan w:val="3"/>
          </w:tcPr>
          <w:p>
            <w:pPr>
              <w:jc w:val="right"/>
              <w:ind w:right="220"/>
              <w:spacing w:after="0"/>
              <w:rPr>
                <w:sz w:val="20"/>
                <w:szCs w:val="20"/>
                <w:color w:val="auto"/>
              </w:rPr>
            </w:pPr>
            <w:r>
              <w:rPr>
                <w:rFonts w:ascii="Arial" w:cs="Arial" w:eastAsia="Arial" w:hAnsi="Arial"/>
                <w:sz w:val="18"/>
                <w:szCs w:val="18"/>
                <w:color w:val="auto"/>
              </w:rPr>
              <w:t>4,220,503</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4,813,537</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4,993,508</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3.7%</w:t>
            </w:r>
          </w:p>
        </w:tc>
        <w:tc>
          <w:tcPr>
            <w:tcW w:w="3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Reinsurance payable</w:t>
            </w:r>
          </w:p>
        </w:tc>
        <w:tc>
          <w:tcPr>
            <w:tcW w:w="1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229,201</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329,464</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328,381</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b w:val="1"/>
                <w:bCs w:val="1"/>
                <w:color w:val="auto"/>
              </w:rPr>
              <w:t>Bonds and subordinated debt</w:t>
            </w:r>
          </w:p>
        </w:tc>
        <w:tc>
          <w:tcPr>
            <w:tcW w:w="1940" w:type="dxa"/>
            <w:vAlign w:val="bottom"/>
            <w:gridSpan w:val="3"/>
          </w:tcPr>
          <w:p>
            <w:pPr>
              <w:jc w:val="right"/>
              <w:ind w:right="220"/>
              <w:spacing w:after="0"/>
              <w:rPr>
                <w:sz w:val="20"/>
                <w:szCs w:val="20"/>
                <w:color w:val="auto"/>
              </w:rPr>
            </w:pPr>
            <w:r>
              <w:rPr>
                <w:rFonts w:ascii="Arial" w:cs="Arial" w:eastAsia="Arial" w:hAnsi="Arial"/>
                <w:sz w:val="18"/>
                <w:szCs w:val="18"/>
                <w:color w:val="auto"/>
              </w:rPr>
              <w:t>14,910,646</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15,560,444</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15,601,653</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0.3%</w:t>
            </w:r>
          </w:p>
        </w:tc>
        <w:tc>
          <w:tcPr>
            <w:tcW w:w="3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liabilities</w:t>
            </w:r>
          </w:p>
        </w:tc>
        <w:tc>
          <w:tcPr>
            <w:tcW w:w="1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5,805,852</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7,345,728</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5,836,077</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-20.6%</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2080"/>
              <w:spacing w:after="0"/>
              <w:rPr>
                <w:sz w:val="20"/>
                <w:szCs w:val="20"/>
                <w:color w:val="auto"/>
              </w:rPr>
            </w:pPr>
            <w:r>
              <w:rPr>
                <w:rFonts w:ascii="Arial" w:cs="Arial" w:eastAsia="Arial" w:hAnsi="Arial"/>
                <w:sz w:val="18"/>
                <w:szCs w:val="18"/>
                <w:b w:val="1"/>
                <w:bCs w:val="1"/>
                <w:color w:val="auto"/>
              </w:rPr>
              <w:t>Total liabilities</w:t>
            </w:r>
          </w:p>
        </w:tc>
        <w:tc>
          <w:tcPr>
            <w:tcW w:w="194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113,507,906</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7"/>
              </w:rPr>
              <w:t>126,055,232</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9"/>
              </w:rPr>
              <w:t>127,833,748</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1.4%</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12.6%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Capital stock</w:t>
            </w:r>
          </w:p>
        </w:tc>
        <w:tc>
          <w:tcPr>
            <w:tcW w:w="1940" w:type="dxa"/>
            <w:vAlign w:val="bottom"/>
            <w:gridSpan w:val="3"/>
          </w:tcPr>
          <w:p>
            <w:pPr>
              <w:jc w:val="right"/>
              <w:ind w:right="220"/>
              <w:spacing w:after="0"/>
              <w:rPr>
                <w:sz w:val="20"/>
                <w:szCs w:val="20"/>
                <w:color w:val="auto"/>
              </w:rPr>
            </w:pPr>
            <w:r>
              <w:rPr>
                <w:rFonts w:ascii="Arial" w:cs="Arial" w:eastAsia="Arial" w:hAnsi="Arial"/>
                <w:sz w:val="18"/>
                <w:szCs w:val="18"/>
                <w:color w:val="auto"/>
              </w:rPr>
              <w:t>1,318,993</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1,318,993</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1,318,993</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3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Treasury stock</w:t>
            </w:r>
          </w:p>
        </w:tc>
        <w:tc>
          <w:tcPr>
            <w:tcW w:w="1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(208,176)</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(209,671)</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(208,667)</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Capital surplus</w:t>
            </w:r>
          </w:p>
        </w:tc>
        <w:tc>
          <w:tcPr>
            <w:tcW w:w="1940" w:type="dxa"/>
            <w:vAlign w:val="bottom"/>
            <w:gridSpan w:val="3"/>
          </w:tcPr>
          <w:p>
            <w:pPr>
              <w:jc w:val="right"/>
              <w:ind w:right="220"/>
              <w:spacing w:after="0"/>
              <w:rPr>
                <w:sz w:val="20"/>
                <w:szCs w:val="20"/>
                <w:color w:val="auto"/>
              </w:rPr>
            </w:pPr>
            <w:r>
              <w:rPr>
                <w:rFonts w:ascii="Arial" w:cs="Arial" w:eastAsia="Arial" w:hAnsi="Arial"/>
                <w:sz w:val="18"/>
                <w:szCs w:val="18"/>
                <w:color w:val="auto"/>
              </w:rPr>
              <w:t>275,032</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259,859</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291,479</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12.2%</w:t>
            </w:r>
          </w:p>
        </w:tc>
        <w:tc>
          <w:tcPr>
            <w:tcW w:w="3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Reserves</w:t>
            </w:r>
          </w:p>
        </w:tc>
        <w:tc>
          <w:tcPr>
            <w:tcW w:w="1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9,288,799</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11,133,305</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11,112,964</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Unrealized gains</w:t>
            </w:r>
          </w:p>
        </w:tc>
        <w:tc>
          <w:tcPr>
            <w:tcW w:w="1940" w:type="dxa"/>
            <w:vAlign w:val="bottom"/>
            <w:gridSpan w:val="3"/>
          </w:tcPr>
          <w:p>
            <w:pPr>
              <w:jc w:val="right"/>
              <w:ind w:right="220"/>
              <w:spacing w:after="0"/>
              <w:rPr>
                <w:sz w:val="20"/>
                <w:szCs w:val="20"/>
                <w:color w:val="auto"/>
              </w:rPr>
            </w:pPr>
            <w:r>
              <w:rPr>
                <w:rFonts w:ascii="Arial" w:cs="Arial" w:eastAsia="Arial" w:hAnsi="Arial"/>
                <w:sz w:val="18"/>
                <w:szCs w:val="18"/>
                <w:color w:val="auto"/>
              </w:rPr>
              <w:t>811,774</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853,673</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685,935</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-19.6%</w:t>
            </w:r>
          </w:p>
        </w:tc>
        <w:tc>
          <w:tcPr>
            <w:tcW w:w="3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1,320,946</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851,372</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1,603,007</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88.3%</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1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826,144</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601,129</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601,955</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jc w:val="center"/>
              <w:ind w:left="490"/>
              <w:spacing w:after="0"/>
              <w:rPr>
                <w:sz w:val="20"/>
                <w:szCs w:val="20"/>
                <w:color w:val="auto"/>
              </w:rPr>
            </w:pPr>
            <w:r>
              <w:rPr>
                <w:rFonts w:ascii="Arial" w:cs="Arial" w:eastAsia="Arial" w:hAnsi="Arial"/>
                <w:sz w:val="18"/>
                <w:szCs w:val="18"/>
                <w:b w:val="1"/>
                <w:bCs w:val="1"/>
                <w:color w:val="auto"/>
                <w:w w:val="89"/>
              </w:rPr>
              <w:t>Total liabilities and net shareholders´ equity</w:t>
            </w:r>
          </w:p>
        </w:tc>
        <w:tc>
          <w:tcPr>
            <w:tcW w:w="1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127,141,418</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7"/>
              </w:rPr>
              <w:t>140,863,892</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9"/>
              </w:rPr>
              <w:t>143,239,414</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1.7%</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Off balance sheet</w:t>
            </w:r>
          </w:p>
        </w:tc>
        <w:tc>
          <w:tcPr>
            <w:tcW w:w="7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46,931,610</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61,809,100</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60,310,434</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w:t>
            </w:r>
          </w:p>
        </w:tc>
        <w:tc>
          <w:tcPr>
            <w:tcW w:w="3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00" w:hanging="292"/>
        <w:spacing w:after="0"/>
        <w:tabs>
          <w:tab w:leader="none" w:pos="3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Mainly includes JV between Grupo Pacifico and Banmedica.</w:t>
      </w:r>
    </w:p>
    <w:p>
      <w:pPr>
        <w:spacing w:after="0" w:line="23" w:lineRule="exact"/>
        <w:rPr>
          <w:rFonts w:ascii="Arial" w:cs="Arial" w:eastAsia="Arial" w:hAnsi="Arial"/>
          <w:sz w:val="18"/>
          <w:szCs w:val="18"/>
          <w:color w:val="auto"/>
        </w:rPr>
      </w:pPr>
    </w:p>
    <w:p>
      <w:pPr>
        <w:ind w:left="300" w:hanging="292"/>
        <w:spacing w:after="0"/>
        <w:tabs>
          <w:tab w:leader="none" w:pos="3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Mainly includes receivables, goodwill, tax credit, and others.</w:t>
      </w: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506"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CREDICORP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INCOME STATEMENT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S/. thousands, IFRS)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Quarter</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3"/>
          </w:tcPr>
          <w:p>
            <w:pPr>
              <w:ind w:left="600"/>
              <w:spacing w:after="0"/>
              <w:rPr>
                <w:sz w:val="20"/>
                <w:szCs w:val="20"/>
                <w:color w:val="auto"/>
              </w:rPr>
            </w:pPr>
            <w:r>
              <w:rPr>
                <w:rFonts w:ascii="Arial" w:cs="Arial" w:eastAsia="Arial" w:hAnsi="Arial"/>
                <w:sz w:val="14"/>
                <w:szCs w:val="14"/>
                <w:b w:val="1"/>
                <w:bCs w:val="1"/>
                <w:color w:val="auto"/>
                <w:w w:val="97"/>
              </w:rPr>
              <w:t>% change</w:t>
            </w: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3"/>
          </w:tcPr>
          <w:p>
            <w:pPr>
              <w:ind w:left="740"/>
              <w:spacing w:after="0"/>
              <w:rPr>
                <w:sz w:val="20"/>
                <w:szCs w:val="20"/>
                <w:color w:val="auto"/>
              </w:rPr>
            </w:pPr>
            <w:r>
              <w:rPr>
                <w:rFonts w:ascii="Arial" w:cs="Arial" w:eastAsia="Arial" w:hAnsi="Arial"/>
                <w:sz w:val="14"/>
                <w:szCs w:val="14"/>
                <w:b w:val="1"/>
                <w:bCs w:val="1"/>
                <w:color w:val="auto"/>
                <w:w w:val="97"/>
              </w:rPr>
              <w:t>As of</w:t>
            </w: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2Q14</w:t>
            </w:r>
          </w:p>
        </w:tc>
        <w:tc>
          <w:tcPr>
            <w:tcW w:w="10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1Q15</w:t>
            </w:r>
          </w:p>
        </w:tc>
        <w:tc>
          <w:tcPr>
            <w:tcW w:w="10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2Q15</w:t>
            </w:r>
          </w:p>
        </w:tc>
        <w:tc>
          <w:tcPr>
            <w:tcW w:w="1260" w:type="dxa"/>
            <w:vAlign w:val="bottom"/>
            <w:gridSpan w:val="3"/>
          </w:tcPr>
          <w:p>
            <w:pPr>
              <w:ind w:left="240"/>
              <w:spacing w:after="0"/>
              <w:rPr>
                <w:sz w:val="20"/>
                <w:szCs w:val="20"/>
                <w:color w:val="auto"/>
              </w:rPr>
            </w:pPr>
            <w:r>
              <w:rPr>
                <w:rFonts w:ascii="Arial" w:cs="Arial" w:eastAsia="Arial" w:hAnsi="Arial"/>
                <w:sz w:val="14"/>
                <w:szCs w:val="14"/>
                <w:b w:val="1"/>
                <w:bCs w:val="1"/>
                <w:color w:val="auto"/>
              </w:rPr>
              <w:t>QoQ</w:t>
            </w:r>
          </w:p>
        </w:tc>
        <w:tc>
          <w:tcPr>
            <w:tcW w:w="8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YoY</w:t>
            </w:r>
          </w:p>
        </w:tc>
        <w:tc>
          <w:tcPr>
            <w:tcW w:w="1100" w:type="dxa"/>
            <w:vAlign w:val="bottom"/>
            <w:gridSpan w:val="3"/>
          </w:tcPr>
          <w:p>
            <w:pPr>
              <w:ind w:left="180"/>
              <w:spacing w:after="0"/>
              <w:rPr>
                <w:sz w:val="20"/>
                <w:szCs w:val="20"/>
                <w:color w:val="auto"/>
              </w:rPr>
            </w:pPr>
            <w:r>
              <w:rPr>
                <w:rFonts w:ascii="Arial" w:cs="Arial" w:eastAsia="Arial" w:hAnsi="Arial"/>
                <w:sz w:val="14"/>
                <w:szCs w:val="14"/>
                <w:b w:val="1"/>
                <w:bCs w:val="1"/>
                <w:color w:val="auto"/>
              </w:rPr>
              <w:t>Jun 14</w:t>
            </w:r>
          </w:p>
        </w:tc>
        <w:tc>
          <w:tcPr>
            <w:tcW w:w="8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Jun 15</w:t>
            </w:r>
          </w:p>
        </w:tc>
        <w:tc>
          <w:tcPr>
            <w:tcW w:w="11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9"/>
              </w:rPr>
              <w:t>Jun 15/ Jun 14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8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Interest income and expense</w:t>
            </w: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tcPr>
          <w:p>
            <w:pPr>
              <w:ind w:left="160"/>
              <w:spacing w:after="0" w:line="149" w:lineRule="exact"/>
              <w:rPr>
                <w:sz w:val="20"/>
                <w:szCs w:val="20"/>
                <w:color w:val="auto"/>
              </w:rPr>
            </w:pPr>
            <w:r>
              <w:rPr>
                <w:rFonts w:ascii="Arial" w:cs="Arial" w:eastAsia="Arial" w:hAnsi="Arial"/>
                <w:sz w:val="14"/>
                <w:szCs w:val="14"/>
                <w:color w:val="auto"/>
              </w:rPr>
              <w:t>Interest and dividend income</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2,148,020</w:t>
            </w: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2,377,217</w:t>
            </w:r>
          </w:p>
        </w:tc>
        <w:tc>
          <w:tcPr>
            <w:tcW w:w="22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2,457,521</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3.4%</w:t>
            </w:r>
          </w:p>
        </w:tc>
        <w:tc>
          <w:tcPr>
            <w:tcW w:w="2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14.4%</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4,046,356</w:t>
            </w:r>
          </w:p>
        </w:tc>
        <w:tc>
          <w:tcPr>
            <w:tcW w:w="10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4,834,737</w:t>
            </w:r>
          </w:p>
        </w:tc>
        <w:tc>
          <w:tcPr>
            <w:tcW w:w="11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Interest expense</w:t>
            </w: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(537,520)</w:t>
            </w: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(591,854)</w:t>
            </w: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(620,321)</w:t>
            </w: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4.8%</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15.4%</w:t>
            </w: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(1,034,133)</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(1,212,175)</w:t>
            </w:r>
          </w:p>
        </w:tc>
        <w:tc>
          <w:tcPr>
            <w:tcW w:w="11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17.22%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Net interest income</w:t>
            </w: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1,610,499</w:t>
            </w: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1,785,363</w:t>
            </w:r>
          </w:p>
        </w:tc>
        <w:tc>
          <w:tcPr>
            <w:tcW w:w="22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1,837,200</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2.9%</w:t>
            </w:r>
          </w:p>
        </w:tc>
        <w:tc>
          <w:tcPr>
            <w:tcW w:w="22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14.1%</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3,012,223</w:t>
            </w:r>
          </w:p>
        </w:tc>
        <w:tc>
          <w:tcPr>
            <w:tcW w:w="10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3,622,562</w:t>
            </w:r>
          </w:p>
        </w:tc>
        <w:tc>
          <w:tcPr>
            <w:tcW w:w="112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20.3%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2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80" w:type="dxa"/>
            <w:vAlign w:val="bottom"/>
          </w:tcPr>
          <w:p>
            <w:pPr>
              <w:spacing w:after="0" w:line="149" w:lineRule="exact"/>
              <w:rPr>
                <w:sz w:val="20"/>
                <w:szCs w:val="20"/>
                <w:color w:val="auto"/>
              </w:rPr>
            </w:pPr>
            <w:r>
              <w:rPr>
                <w:rFonts w:ascii="Arial" w:cs="Arial" w:eastAsia="Arial" w:hAnsi="Arial"/>
                <w:sz w:val="14"/>
                <w:szCs w:val="14"/>
                <w:b w:val="1"/>
                <w:bCs w:val="1"/>
                <w:color w:val="auto"/>
              </w:rPr>
              <w:t>Net provisions for loan losses</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(480,731)</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(502,136)</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(431,763)</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-14.0%</w:t>
            </w:r>
          </w:p>
        </w:tc>
        <w:tc>
          <w:tcPr>
            <w:tcW w:w="22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-10.2%</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(845,332)</w:t>
            </w:r>
          </w:p>
        </w:tc>
        <w:tc>
          <w:tcPr>
            <w:tcW w:w="10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rPr>
              <w:t>(933,899)</w:t>
            </w:r>
          </w:p>
        </w:tc>
        <w:tc>
          <w:tcPr>
            <w:tcW w:w="112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10.5%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2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80" w:type="dxa"/>
            <w:vAlign w:val="bottom"/>
          </w:tcPr>
          <w:p>
            <w:pPr>
              <w:spacing w:after="0" w:line="149" w:lineRule="exact"/>
              <w:rPr>
                <w:sz w:val="20"/>
                <w:szCs w:val="20"/>
                <w:color w:val="auto"/>
              </w:rPr>
            </w:pPr>
            <w:r>
              <w:rPr>
                <w:rFonts w:ascii="Arial" w:cs="Arial" w:eastAsia="Arial" w:hAnsi="Arial"/>
                <w:sz w:val="14"/>
                <w:szCs w:val="14"/>
                <w:b w:val="1"/>
                <w:bCs w:val="1"/>
                <w:color w:val="auto"/>
              </w:rPr>
              <w:t>Non financial income</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Fee income</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612,585</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685,950</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721,344</w:t>
            </w: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5.2%</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17.8%</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1,221,689</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1,407,294</w:t>
            </w:r>
          </w:p>
        </w:tc>
        <w:tc>
          <w:tcPr>
            <w:tcW w:w="11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tcPr>
          <w:p>
            <w:pPr>
              <w:ind w:left="160"/>
              <w:spacing w:after="0" w:line="149" w:lineRule="exact"/>
              <w:rPr>
                <w:sz w:val="20"/>
                <w:szCs w:val="20"/>
                <w:color w:val="auto"/>
              </w:rPr>
            </w:pPr>
            <w:r>
              <w:rPr>
                <w:rFonts w:ascii="Arial" w:cs="Arial" w:eastAsia="Arial" w:hAnsi="Arial"/>
                <w:sz w:val="14"/>
                <w:szCs w:val="14"/>
                <w:color w:val="auto"/>
              </w:rPr>
              <w:t>Net gain on foreign exchange transactions</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140,839</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200,446</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168,285</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-16.0%</w:t>
            </w:r>
          </w:p>
        </w:tc>
        <w:tc>
          <w:tcPr>
            <w:tcW w:w="2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19.5%</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273,028</w:t>
            </w:r>
          </w:p>
        </w:tc>
        <w:tc>
          <w:tcPr>
            <w:tcW w:w="10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368,731</w:t>
            </w:r>
          </w:p>
        </w:tc>
        <w:tc>
          <w:tcPr>
            <w:tcW w:w="11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35.1%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Net gain on sales of securities</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56,103</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24,886</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20,743</w:t>
            </w: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-16.6%</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-63.0%</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175,621</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45,628</w:t>
            </w:r>
          </w:p>
        </w:tc>
        <w:tc>
          <w:tcPr>
            <w:tcW w:w="11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-74.0%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280" w:type="dxa"/>
            <w:vAlign w:val="bottom"/>
          </w:tcPr>
          <w:p>
            <w:pPr>
              <w:ind w:left="160"/>
              <w:spacing w:after="0" w:line="189" w:lineRule="exact"/>
              <w:rPr>
                <w:sz w:val="20"/>
                <w:szCs w:val="20"/>
                <w:color w:val="auto"/>
              </w:rPr>
            </w:pPr>
            <w:r>
              <w:rPr>
                <w:rFonts w:ascii="Arial" w:cs="Arial" w:eastAsia="Arial" w:hAnsi="Arial"/>
                <w:sz w:val="13"/>
                <w:szCs w:val="13"/>
                <w:color w:val="auto"/>
              </w:rPr>
              <w:t xml:space="preserve">Net gain from subsidiaries </w:t>
            </w:r>
            <w:r>
              <w:rPr>
                <w:rFonts w:ascii="Arial" w:cs="Arial" w:eastAsia="Arial" w:hAnsi="Arial"/>
                <w:sz w:val="21"/>
                <w:szCs w:val="21"/>
                <w:color w:val="auto"/>
                <w:vertAlign w:val="superscript"/>
              </w:rPr>
              <w:t>(1)</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146,818</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-227</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-100.2%</w:t>
            </w:r>
          </w:p>
        </w:tc>
        <w:tc>
          <w:tcPr>
            <w:tcW w:w="220" w:type="dxa"/>
            <w:vAlign w:val="bottom"/>
          </w:tcPr>
          <w:p>
            <w:pPr>
              <w:spacing w:after="0"/>
              <w:rPr>
                <w:sz w:val="16"/>
                <w:szCs w:val="16"/>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146,591</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Other</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64,104</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46,582</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45,189</w:t>
            </w: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-3.0%</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-29.5%</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87,663</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91,771</w:t>
            </w:r>
          </w:p>
        </w:tc>
        <w:tc>
          <w:tcPr>
            <w:tcW w:w="11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Total non financial income, net</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873,631</w:t>
            </w: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1,104,682</w:t>
            </w:r>
          </w:p>
        </w:tc>
        <w:tc>
          <w:tcPr>
            <w:tcW w:w="22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955,334</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-13.5%</w:t>
            </w:r>
          </w:p>
        </w:tc>
        <w:tc>
          <w:tcPr>
            <w:tcW w:w="22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9.4%</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1,758,002</w:t>
            </w:r>
          </w:p>
        </w:tc>
        <w:tc>
          <w:tcPr>
            <w:tcW w:w="10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2,060,015</w:t>
            </w:r>
          </w:p>
        </w:tc>
        <w:tc>
          <w:tcPr>
            <w:tcW w:w="112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17.2%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2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80" w:type="dxa"/>
            <w:vAlign w:val="bottom"/>
          </w:tcPr>
          <w:p>
            <w:pPr>
              <w:spacing w:after="0" w:line="149" w:lineRule="exact"/>
              <w:rPr>
                <w:sz w:val="20"/>
                <w:szCs w:val="20"/>
                <w:color w:val="auto"/>
              </w:rPr>
            </w:pPr>
            <w:r>
              <w:rPr>
                <w:rFonts w:ascii="Arial" w:cs="Arial" w:eastAsia="Arial" w:hAnsi="Arial"/>
                <w:sz w:val="14"/>
                <w:szCs w:val="14"/>
                <w:b w:val="1"/>
                <w:bCs w:val="1"/>
                <w:color w:val="auto"/>
              </w:rPr>
              <w:t>Insurance premiums and claims</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Net premiums earned</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544,731</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404,496</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427,044</w:t>
            </w: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5.6%</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-21.6%</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1,063,228</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831,540</w:t>
            </w:r>
          </w:p>
        </w:tc>
        <w:tc>
          <w:tcPr>
            <w:tcW w:w="11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tcPr>
          <w:p>
            <w:pPr>
              <w:ind w:left="160"/>
              <w:spacing w:after="0" w:line="149" w:lineRule="exact"/>
              <w:rPr>
                <w:sz w:val="20"/>
                <w:szCs w:val="20"/>
                <w:color w:val="auto"/>
              </w:rPr>
            </w:pPr>
            <w:r>
              <w:rPr>
                <w:rFonts w:ascii="Arial" w:cs="Arial" w:eastAsia="Arial" w:hAnsi="Arial"/>
                <w:sz w:val="14"/>
                <w:szCs w:val="14"/>
                <w:color w:val="auto"/>
              </w:rPr>
              <w:t>Net claims incurred</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(356,355)</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(237,205)</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(262,848)</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10.8%</w:t>
            </w:r>
          </w:p>
        </w:tc>
        <w:tc>
          <w:tcPr>
            <w:tcW w:w="2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-26.2%</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(693,185)</w:t>
            </w:r>
          </w:p>
        </w:tc>
        <w:tc>
          <w:tcPr>
            <w:tcW w:w="10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(500,053)</w:t>
            </w:r>
          </w:p>
        </w:tc>
        <w:tc>
          <w:tcPr>
            <w:tcW w:w="11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-27.9%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Net underw riting expenses and fees</w:t>
            </w: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(84,211)</w:t>
            </w: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(118,294)</w:t>
            </w: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(109,453)</w:t>
            </w: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-7.5%</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30.0%</w:t>
            </w: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(168,776)</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(227,746)</w:t>
            </w:r>
          </w:p>
        </w:tc>
        <w:tc>
          <w:tcPr>
            <w:tcW w:w="11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Total insurance services technical result</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104,165</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48,997</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54,743</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11.7%</w:t>
            </w:r>
          </w:p>
        </w:tc>
        <w:tc>
          <w:tcPr>
            <w:tcW w:w="22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-47.4%</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201,267</w:t>
            </w:r>
          </w:p>
        </w:tc>
        <w:tc>
          <w:tcPr>
            <w:tcW w:w="10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103,741</w:t>
            </w:r>
          </w:p>
        </w:tc>
        <w:tc>
          <w:tcPr>
            <w:tcW w:w="112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-48.5%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Gross margin from medical subsidiaries</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25,242</w:t>
            </w: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w:t>
            </w:r>
          </w:p>
        </w:tc>
        <w:tc>
          <w:tcPr>
            <w:tcW w:w="104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82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45,952</w:t>
            </w:r>
          </w:p>
        </w:tc>
        <w:tc>
          <w:tcPr>
            <w:tcW w:w="10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2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80" w:type="dxa"/>
            <w:vAlign w:val="bottom"/>
          </w:tcPr>
          <w:p>
            <w:pPr>
              <w:spacing w:after="0" w:line="149" w:lineRule="exact"/>
              <w:rPr>
                <w:sz w:val="20"/>
                <w:szCs w:val="20"/>
                <w:color w:val="auto"/>
              </w:rPr>
            </w:pPr>
            <w:r>
              <w:rPr>
                <w:rFonts w:ascii="Arial" w:cs="Arial" w:eastAsia="Arial" w:hAnsi="Arial"/>
                <w:sz w:val="14"/>
                <w:szCs w:val="14"/>
                <w:b w:val="1"/>
                <w:bCs w:val="1"/>
                <w:color w:val="auto"/>
              </w:rPr>
              <w:t>Operating expenses</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Salaries and employees benefits</w:t>
            </w: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(699,013)</w:t>
            </w: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(715,195)</w:t>
            </w: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(718,214)</w:t>
            </w: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0.4%</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2.7%</w:t>
            </w: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(1,306,245)</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(1,433,409)</w:t>
            </w:r>
          </w:p>
        </w:tc>
        <w:tc>
          <w:tcPr>
            <w:tcW w:w="11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tcPr>
          <w:p>
            <w:pPr>
              <w:ind w:left="160"/>
              <w:spacing w:after="0" w:line="149" w:lineRule="exact"/>
              <w:rPr>
                <w:sz w:val="20"/>
                <w:szCs w:val="20"/>
                <w:color w:val="auto"/>
              </w:rPr>
            </w:pPr>
            <w:r>
              <w:rPr>
                <w:rFonts w:ascii="Arial" w:cs="Arial" w:eastAsia="Arial" w:hAnsi="Arial"/>
                <w:sz w:val="14"/>
                <w:szCs w:val="14"/>
                <w:color w:val="auto"/>
              </w:rPr>
              <w:t>Administrative, general and tax expenses</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(485,342)</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(431,167)</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(481,985)</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11.8%</w:t>
            </w:r>
          </w:p>
        </w:tc>
        <w:tc>
          <w:tcPr>
            <w:tcW w:w="2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-0.7%</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(876,804)</w:t>
            </w:r>
          </w:p>
        </w:tc>
        <w:tc>
          <w:tcPr>
            <w:tcW w:w="10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(913,152)</w:t>
            </w:r>
          </w:p>
        </w:tc>
        <w:tc>
          <w:tcPr>
            <w:tcW w:w="11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Depreciation and amortization</w:t>
            </w: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(103,939)</w:t>
            </w: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(108,393)</w:t>
            </w: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(110,699)</w:t>
            </w: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2.1%</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6.5%</w:t>
            </w: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(198,728)</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(219,092)</w:t>
            </w:r>
          </w:p>
        </w:tc>
        <w:tc>
          <w:tcPr>
            <w:tcW w:w="11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tcPr>
          <w:p>
            <w:pPr>
              <w:ind w:left="160"/>
              <w:spacing w:after="0" w:line="149" w:lineRule="exact"/>
              <w:rPr>
                <w:sz w:val="20"/>
                <w:szCs w:val="20"/>
                <w:color w:val="auto"/>
              </w:rPr>
            </w:pPr>
            <w:r>
              <w:rPr>
                <w:rFonts w:ascii="Arial" w:cs="Arial" w:eastAsia="Arial" w:hAnsi="Arial"/>
                <w:sz w:val="14"/>
                <w:szCs w:val="14"/>
                <w:color w:val="auto"/>
              </w:rPr>
              <w:t>Other</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(40,472)</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(41,115)</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(55,280)</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34.5%</w:t>
            </w:r>
          </w:p>
        </w:tc>
        <w:tc>
          <w:tcPr>
            <w:tcW w:w="2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36.6%</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(75,200)</w:t>
            </w:r>
          </w:p>
        </w:tc>
        <w:tc>
          <w:tcPr>
            <w:tcW w:w="10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(96,395)</w:t>
            </w:r>
          </w:p>
        </w:tc>
        <w:tc>
          <w:tcPr>
            <w:tcW w:w="11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28.2%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b w:val="1"/>
                <w:bCs w:val="1"/>
                <w:color w:val="auto"/>
              </w:rPr>
              <w:t>Total operating expenses</w:t>
            </w: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(1,328,766)</w:t>
            </w: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(1,295,870)</w:t>
            </w: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(1,366,178)</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5.4%</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2.8%</w:t>
            </w: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(2,456,977)</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(2,662,048)</w:t>
            </w:r>
          </w:p>
        </w:tc>
        <w:tc>
          <w:tcPr>
            <w:tcW w:w="11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Operating income</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804,041</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1,141,036</w:t>
            </w:r>
          </w:p>
        </w:tc>
        <w:tc>
          <w:tcPr>
            <w:tcW w:w="2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1,049,336</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-8.0%</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30.5%</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1,715,136</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2,190,372</w:t>
            </w:r>
          </w:p>
        </w:tc>
        <w:tc>
          <w:tcPr>
            <w:tcW w:w="11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Translation result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581</w:t>
            </w:r>
          </w:p>
        </w:tc>
        <w:tc>
          <w:tcPr>
            <w:tcW w:w="2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1,566</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9,324</w:t>
            </w: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495.4%</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1505.6%</w:t>
            </w: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(421)</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10,890</w:t>
            </w:r>
          </w:p>
        </w:tc>
        <w:tc>
          <w:tcPr>
            <w:tcW w:w="11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2686.2%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tcPr>
          <w:p>
            <w:pPr>
              <w:ind w:left="160"/>
              <w:spacing w:after="0" w:line="149" w:lineRule="exact"/>
              <w:rPr>
                <w:sz w:val="20"/>
                <w:szCs w:val="20"/>
                <w:color w:val="auto"/>
              </w:rPr>
            </w:pPr>
            <w:r>
              <w:rPr>
                <w:rFonts w:ascii="Arial" w:cs="Arial" w:eastAsia="Arial" w:hAnsi="Arial"/>
                <w:sz w:val="14"/>
                <w:szCs w:val="14"/>
                <w:color w:val="auto"/>
              </w:rPr>
              <w:t>Income taxes</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(204,934)</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(309,431)</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(289,389)</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-6.5%</w:t>
            </w:r>
          </w:p>
        </w:tc>
        <w:tc>
          <w:tcPr>
            <w:tcW w:w="2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41.2%</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(435,749)</w:t>
            </w:r>
          </w:p>
        </w:tc>
        <w:tc>
          <w:tcPr>
            <w:tcW w:w="10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(598,820)</w:t>
            </w:r>
          </w:p>
        </w:tc>
        <w:tc>
          <w:tcPr>
            <w:tcW w:w="11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37.4%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2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80" w:type="dxa"/>
            <w:vAlign w:val="bottom"/>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599,687</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833,171</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769,271</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-7.7%</w:t>
            </w:r>
          </w:p>
        </w:tc>
        <w:tc>
          <w:tcPr>
            <w:tcW w:w="22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28.3%</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1,278,965</w:t>
            </w:r>
          </w:p>
        </w:tc>
        <w:tc>
          <w:tcPr>
            <w:tcW w:w="10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1,602,442</w:t>
            </w:r>
          </w:p>
        </w:tc>
        <w:tc>
          <w:tcPr>
            <w:tcW w:w="112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25.3%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Minority interest</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15,002</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28,436</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19,976</w:t>
            </w: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-29.8%</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33.2%</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32,156</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48,412</w:t>
            </w:r>
          </w:p>
        </w:tc>
        <w:tc>
          <w:tcPr>
            <w:tcW w:w="11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50.6%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80" w:type="dxa"/>
            <w:vAlign w:val="bottom"/>
          </w:tcPr>
          <w:p>
            <w:pPr>
              <w:spacing w:after="0"/>
              <w:rPr>
                <w:sz w:val="20"/>
                <w:szCs w:val="20"/>
                <w:color w:val="auto"/>
              </w:rPr>
            </w:pPr>
            <w:r>
              <w:rPr>
                <w:rFonts w:ascii="Arial" w:cs="Arial" w:eastAsia="Arial" w:hAnsi="Arial"/>
                <w:sz w:val="14"/>
                <w:szCs w:val="14"/>
                <w:b w:val="1"/>
                <w:bCs w:val="1"/>
                <w:color w:val="auto"/>
              </w:rPr>
              <w:t>Net income attributed to Credicorp</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584,685</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804,735</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749,295</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-6.9%</w:t>
            </w:r>
          </w:p>
        </w:tc>
        <w:tc>
          <w:tcPr>
            <w:tcW w:w="22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28.2%</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1,246,810</w:t>
            </w:r>
          </w:p>
        </w:tc>
        <w:tc>
          <w:tcPr>
            <w:tcW w:w="10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1,554,030</w:t>
            </w:r>
          </w:p>
        </w:tc>
        <w:tc>
          <w:tcPr>
            <w:tcW w:w="1120" w:type="dxa"/>
            <w:vAlign w:val="bottom"/>
            <w:gridSpan w:val="3"/>
          </w:tcPr>
          <w:p>
            <w:pPr>
              <w:jc w:val="right"/>
              <w:spacing w:after="0"/>
              <w:rPr>
                <w:sz w:val="20"/>
                <w:szCs w:val="20"/>
                <w:color w:val="auto"/>
              </w:rPr>
            </w:pPr>
            <w:r>
              <w:rPr>
                <w:rFonts w:ascii="Arial" w:cs="Arial" w:eastAsia="Arial" w:hAnsi="Arial"/>
                <w:sz w:val="14"/>
                <w:szCs w:val="14"/>
                <w:b w:val="1"/>
                <w:bCs w:val="1"/>
                <w:color w:val="auto"/>
              </w:rPr>
              <w:t>24.6%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(1) Includes the joint venture between Grupo Pacífico and Banmédica.</w:t>
      </w: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11.9  Table of calculations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Profitability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Interest Margin (NIM)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Interest Margin on loans (NIM on loans)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Return on average assets (ROAA)</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Return on average shareholder’s equity (ROAE)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cost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quality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Past due loans ratio (PDL ratio)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 – performing loans ratio (NPL ratio)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Coverage ratio of past due loans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Coverage ratio of non – performing loans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risk</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performance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efficiency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 to total assets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Adequacy</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BIS ratio</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Tier 1 ratio</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Common Equity Tier 1 ratio</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Combined ratio</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ratio</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Underwriting results to net earned premiums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Table of calculations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Annualized net interest income/ Average* interest earning assets</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Interest on loans–(Interest expense x (Average* total loans /Average interest earning assets))] x 4/Average total loans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Annualized net income / Average*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Annualized net income / Average* shareholder’s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Annualized interest expense / Average* of total liabilities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Past due loans / Total loans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Non-performing loans / Total loans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provisions fo loan losses / Past due loans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provisions fo loan losses / Non-performing loans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Annualized net provisions / Total loans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Annualized net provisions / Net interest income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(Salaries and employee benefits + Administrative expenses + Depreciation and amortization) / (Net interest income + Fee income + Gain on foreign exchange transactions + Net premiums earned + Gross margin from medical services)</w:t>
      </w:r>
    </w:p>
    <w:p>
      <w:pPr>
        <w:spacing w:after="0" w:line="18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(Salaries and employee benefits + Administrative expenses + Depreciation and amortization) / Average* assets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Regulatory Capital / Risk-weighted assets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Tier 1 / Risk-weighted assets</w:t>
      </w:r>
    </w:p>
    <w:p>
      <w:pPr>
        <w:spacing w:after="0" w:line="225" w:lineRule="exact"/>
        <w:rPr>
          <w:sz w:val="20"/>
          <w:szCs w:val="20"/>
          <w:color w:val="auto"/>
        </w:rPr>
      </w:pPr>
    </w:p>
    <w:p>
      <w:pPr>
        <w:ind w:left="20" w:right="320"/>
        <w:spacing w:after="0" w:line="264" w:lineRule="auto"/>
        <w:rPr>
          <w:sz w:val="20"/>
          <w:szCs w:val="20"/>
          <w:color w:val="auto"/>
        </w:rPr>
      </w:pPr>
      <w:r>
        <w:rPr>
          <w:rFonts w:ascii="Arial" w:cs="Arial" w:eastAsia="Arial" w:hAnsi="Arial"/>
          <w:sz w:val="18"/>
          <w:szCs w:val="18"/>
          <w:color w:val="auto"/>
        </w:rPr>
        <w:t>Capital + Reserves – 100% of applicable deductions (investment in subsidiaries, goodwill, intangibles and deferred tax assets that rely on future profitability) + retained earnings + unrealized gains.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(Net claims / Net earned premiums) + (Fees + Net underwriting expenses / Net earned premiums)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Net claims / Net earned premiums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Underwriting results / Net earned premiums</w:t>
      </w:r>
    </w:p>
    <w:p>
      <w:pPr>
        <w:spacing w:after="0" w:line="200" w:lineRule="exact"/>
        <w:rPr>
          <w:sz w:val="20"/>
          <w:szCs w:val="20"/>
          <w:color w:val="auto"/>
        </w:rPr>
      </w:pPr>
    </w:p>
    <w:p>
      <w:pPr>
        <w:sectPr>
          <w:pgSz w:w="11900" w:h="16838" w:orient="portrait"/>
          <w:cols w:equalWidth="0" w:num="2">
            <w:col w:w="3860" w:space="720"/>
            <w:col w:w="6840"/>
          </w:cols>
          <w:pgMar w:left="240" w:top="905" w:right="239" w:bottom="1440" w:gutter="0" w:footer="0" w:header="0"/>
        </w:sectPr>
      </w:pP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 Averages are determined as the average of period-beginning and period-ending balances.</w:t>
      </w: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type w:val="continuous"/>
        </w:sectPr>
      </w:pPr>
    </w:p>
    <w:bookmarkStart w:id="62" w:name="page63"/>
    <w:bookmarkEnd w:id="62"/>
    <w:p>
      <w:pPr>
        <w:jc w:val="center"/>
        <w:ind w:right="-5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53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 August 12, 2015</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720"/>
        <w:spacing w:after="0"/>
        <w:tabs>
          <w:tab w:leader="none" w:pos="6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Miriam Bottger</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8"/>
          <w:szCs w:val="18"/>
          <w:b w:val="1"/>
          <w:bCs w:val="1"/>
          <w:color w:val="auto"/>
        </w:rPr>
        <w:t>Miriam Bottger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-130810</wp:posOffset>
            </wp:positionV>
            <wp:extent cx="267589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3" w:lineRule="exact"/>
        <w:rPr>
          <w:sz w:val="20"/>
          <w:szCs w:val="20"/>
          <w:color w:val="auto"/>
        </w:rPr>
      </w:pPr>
    </w:p>
    <w:p>
      <w:pPr>
        <w:ind w:left="630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820"/>
      </w:cols>
      <w:pgMar w:left="240" w:top="931"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1)"/>
      <w:numFmt w:val="decimal"/>
      <w:start w:val="1"/>
    </w:lvl>
  </w:abstractNum>
  <w:abstractNum w:abstractNumId="2">
    <w:nsid w:val="5072367"/>
    <w:multiLevelType w:val="hybridMultilevel"/>
    <w:lvl w:ilvl="0">
      <w:lvlJc w:val="left"/>
      <w:lvlText w:val="(%1)"/>
      <w:numFmt w:val="decimal"/>
      <w:start w:val="1"/>
    </w:lvl>
  </w:abstractNum>
  <w:abstractNum w:abstractNumId="3">
    <w:nsid w:val="3804823E"/>
    <w:multiLevelType w:val="hybridMultilevel"/>
    <w:lvl w:ilvl="0">
      <w:lvlJc w:val="left"/>
      <w:lvlText w:val="(%1)"/>
      <w:numFmt w:val="decimal"/>
      <w:start w:val="1"/>
    </w:lvl>
  </w:abstractNum>
  <w:abstractNum w:abstractNumId="4">
    <w:nsid w:val="77465F01"/>
    <w:multiLevelType w:val="hybridMultilevel"/>
    <w:lvl w:ilvl="0">
      <w:lvlJc w:val="left"/>
      <w:lvlText w:val="1"/>
      <w:numFmt w:val="bullet"/>
      <w:start w:val="1"/>
    </w:lvl>
  </w:abstractNum>
  <w:abstractNum w:abstractNumId="5">
    <w:nsid w:val="7724C67E"/>
    <w:multiLevelType w:val="hybridMultilevel"/>
    <w:lvl w:ilvl="0">
      <w:lvlJc w:val="left"/>
      <w:lvlText w:val="%1."/>
      <w:numFmt w:val="decimal"/>
      <w:start w:val="1"/>
    </w:lvl>
  </w:abstractNum>
  <w:abstractNum w:abstractNumId="6">
    <w:nsid w:val="5C482A97"/>
    <w:multiLevelType w:val="hybridMultilevel"/>
    <w:lvl w:ilvl="0">
      <w:lvlJc w:val="left"/>
      <w:lvlText w:val="%1)"/>
      <w:numFmt w:val="lowerRoman"/>
      <w:start w:val="1"/>
    </w:lvl>
  </w:abstractNum>
  <w:abstractNum w:abstractNumId="7">
    <w:nsid w:val="2463B9EA"/>
    <w:multiLevelType w:val="hybridMultilevel"/>
    <w:lvl w:ilvl="0">
      <w:lvlJc w:val="left"/>
      <w:lvlText w:val="(%1)"/>
      <w:numFmt w:val="lowerRoman"/>
      <w:start w:val="1"/>
    </w:lvl>
  </w:abstractNum>
  <w:abstractNum w:abstractNumId="8">
    <w:nsid w:val="5E884ADC"/>
    <w:multiLevelType w:val="hybridMultilevel"/>
    <w:lvl w:ilvl="0">
      <w:lvlJc w:val="left"/>
      <w:lvlText w:val="(%1)"/>
      <w:numFmt w:val="decimal"/>
      <w:start w:val="1"/>
    </w:lvl>
  </w:abstractNum>
  <w:abstractNum w:abstractNumId="9">
    <w:nsid w:val="51EAD36B"/>
    <w:multiLevelType w:val="hybridMultilevel"/>
    <w:lvl w:ilvl="0">
      <w:lvlJc w:val="left"/>
      <w:lvlText w:val="(%1)"/>
      <w:numFmt w:val="lowerRoman"/>
      <w:start w:val="1"/>
    </w:lvl>
  </w:abstractNum>
  <w:abstractNum w:abstractNumId="10">
    <w:nsid w:val="2D517796"/>
    <w:multiLevelType w:val="hybridMultilevel"/>
    <w:lvl w:ilvl="0">
      <w:lvlJc w:val="left"/>
      <w:lvlText w:val="(%1)"/>
      <w:numFmt w:val="lowerRoman"/>
      <w:start w:val="1"/>
    </w:lvl>
  </w:abstractNum>
  <w:abstractNum w:abstractNumId="11">
    <w:nsid w:val="580BD78F"/>
    <w:multiLevelType w:val="hybridMultilevel"/>
    <w:lvl w:ilvl="0">
      <w:lvlJc w:val="left"/>
      <w:lvlText w:val="(%1)"/>
      <w:numFmt w:val="decimal"/>
      <w:start w:val="1"/>
    </w:lvl>
  </w:abstractNum>
  <w:abstractNum w:abstractNumId="12">
    <w:nsid w:val="153EA438"/>
    <w:multiLevelType w:val="hybridMultilevel"/>
    <w:lvl w:ilvl="0">
      <w:lvlJc w:val="left"/>
      <w:lvlText w:val="(%1)"/>
      <w:numFmt w:val="lowerRoman"/>
      <w:start w:val="1"/>
    </w:lvl>
  </w:abstractNum>
  <w:abstractNum w:abstractNumId="13">
    <w:nsid w:val="3855585C"/>
    <w:multiLevelType w:val="hybridMultilevel"/>
    <w:lvl w:ilvl="0">
      <w:lvlJc w:val="left"/>
      <w:lvlText w:val="(%1)"/>
      <w:numFmt w:val="lowerRoman"/>
      <w:start w:val="3"/>
    </w:lvl>
  </w:abstractNum>
  <w:abstractNum w:abstractNumId="14">
    <w:nsid w:val="70A64E2A"/>
    <w:multiLevelType w:val="hybridMultilevel"/>
    <w:lvl w:ilvl="0">
      <w:lvlJc w:val="left"/>
      <w:lvlText w:val="2"/>
      <w:numFmt w:val="bullet"/>
      <w:start w:val="1"/>
    </w:lvl>
  </w:abstractNum>
  <w:abstractNum w:abstractNumId="15">
    <w:nsid w:val="6A2342EC"/>
    <w:multiLevelType w:val="hybridMultilevel"/>
    <w:lvl w:ilvl="0">
      <w:lvlJc w:val="left"/>
      <w:lvlText w:val="(%1)"/>
      <w:numFmt w:val="decimal"/>
      <w:start w:val="1"/>
    </w:lvl>
  </w:abstractNum>
  <w:abstractNum w:abstractNumId="16">
    <w:nsid w:val="2A487CB0"/>
    <w:multiLevelType w:val="hybridMultilevel"/>
    <w:lvl w:ilvl="0">
      <w:lvlJc w:val="left"/>
      <w:lvlText w:val="%1."/>
      <w:numFmt w:val="decimal"/>
      <w:start w:val="2"/>
    </w:lvl>
  </w:abstractNum>
  <w:abstractNum w:abstractNumId="17">
    <w:nsid w:val="1D4ED43B"/>
    <w:multiLevelType w:val="hybridMultilevel"/>
    <w:lvl w:ilvl="0">
      <w:lvlJc w:val="left"/>
      <w:lvlText w:val="3"/>
      <w:numFmt w:val="bullet"/>
      <w:start w:val="1"/>
    </w:lvl>
  </w:abstractNum>
  <w:abstractNum w:abstractNumId="18">
    <w:nsid w:val="725A06FB"/>
    <w:multiLevelType w:val="hybridMultilevel"/>
    <w:lvl w:ilvl="0">
      <w:lvlJc w:val="left"/>
      <w:lvlText w:val="(%1)"/>
      <w:numFmt w:val="decimal"/>
      <w:start w:val="1"/>
    </w:lvl>
  </w:abstractNum>
  <w:abstractNum w:abstractNumId="19">
    <w:nsid w:val="2CD89A32"/>
    <w:multiLevelType w:val="hybridMultilevel"/>
    <w:lvl w:ilvl="0">
      <w:lvlJc w:val="left"/>
      <w:lvlText w:val="(%1)"/>
      <w:numFmt w:val="decimal"/>
      <w:start w:val="1"/>
    </w:lvl>
  </w:abstractNum>
  <w:abstractNum w:abstractNumId="20">
    <w:nsid w:val="57E4CCAF"/>
    <w:multiLevelType w:val="hybridMultilevel"/>
    <w:lvl w:ilvl="0">
      <w:lvlJc w:val="left"/>
      <w:lvlText w:val="%1."/>
      <w:numFmt w:val="decimal"/>
      <w:start w:val="3"/>
    </w:lvl>
  </w:abstractNum>
  <w:abstractNum w:abstractNumId="21">
    <w:nsid w:val="7A6D8D3C"/>
    <w:multiLevelType w:val="hybridMultilevel"/>
    <w:lvl w:ilvl="0">
      <w:lvlJc w:val="left"/>
      <w:lvlText w:val="%1)"/>
      <w:numFmt w:val="lowerRoman"/>
      <w:start w:val="1"/>
    </w:lvl>
  </w:abstractNum>
  <w:abstractNum w:abstractNumId="22">
    <w:nsid w:val="4B588F54"/>
    <w:multiLevelType w:val="hybridMultilevel"/>
    <w:lvl w:ilvl="0">
      <w:lvlJc w:val="left"/>
      <w:lvlText w:val="(%1)"/>
      <w:numFmt w:val="lowerRoman"/>
      <w:start w:val="1"/>
    </w:lvl>
  </w:abstractNum>
  <w:abstractNum w:abstractNumId="23">
    <w:nsid w:val="542289EC"/>
    <w:multiLevelType w:val="hybridMultilevel"/>
    <w:lvl w:ilvl="0">
      <w:lvlJc w:val="left"/>
      <w:lvlText w:val="(%1)"/>
      <w:numFmt w:val="lowerRoman"/>
      <w:start w:val="3"/>
    </w:lvl>
  </w:abstractNum>
  <w:abstractNum w:abstractNumId="24">
    <w:nsid w:val="6DE91B18"/>
    <w:multiLevelType w:val="hybridMultilevel"/>
    <w:lvl w:ilvl="0">
      <w:lvlJc w:val="left"/>
      <w:lvlText w:val="(%1)"/>
      <w:numFmt w:val="lowerRoman"/>
      <w:start w:val="4"/>
    </w:lvl>
    <w:lvl w:ilvl="1">
      <w:lvlJc w:val="left"/>
      <w:lvlText w:val="%2."/>
      <w:numFmt w:val="lowerLetter"/>
      <w:start w:val="1"/>
    </w:lvl>
  </w:abstractNum>
  <w:abstractNum w:abstractNumId="25">
    <w:nsid w:val="38437FDB"/>
    <w:multiLevelType w:val="hybridMultilevel"/>
    <w:lvl w:ilvl="0">
      <w:lvlJc w:val="left"/>
      <w:lvlText w:val="%1."/>
      <w:numFmt w:val="lowerLetter"/>
      <w:start w:val="1"/>
    </w:lvl>
  </w:abstractNum>
  <w:abstractNum w:abstractNumId="26">
    <w:nsid w:val="7644A45C"/>
    <w:multiLevelType w:val="hybridMultilevel"/>
    <w:lvl w:ilvl="0">
      <w:lvlJc w:val="left"/>
      <w:lvlText w:val="%1."/>
      <w:numFmt w:val="lowerLetter"/>
      <w:start w:val="2"/>
    </w:lvl>
  </w:abstractNum>
  <w:abstractNum w:abstractNumId="27">
    <w:nsid w:val="32FFF902"/>
    <w:multiLevelType w:val="hybridMultilevel"/>
    <w:lvl w:ilvl="0">
      <w:lvlJc w:val="left"/>
      <w:lvlText w:val="(%1)"/>
      <w:numFmt w:val="lowerRoman"/>
      <w:start w:val="5"/>
    </w:lvl>
  </w:abstractNum>
  <w:abstractNum w:abstractNumId="28">
    <w:nsid w:val="684A481A"/>
    <w:multiLevelType w:val="hybridMultilevel"/>
    <w:lvl w:ilvl="0">
      <w:lvlJc w:val="left"/>
      <w:lvlText w:val="4"/>
      <w:numFmt w:val="bullet"/>
      <w:start w:val="1"/>
    </w:lvl>
  </w:abstractNum>
  <w:abstractNum w:abstractNumId="29">
    <w:nsid w:val="579478FE"/>
    <w:multiLevelType w:val="hybridMultilevel"/>
    <w:lvl w:ilvl="0">
      <w:lvlJc w:val="left"/>
      <w:lvlText w:val="(%1)"/>
      <w:numFmt w:val="lowerRoman"/>
      <w:start w:val="6"/>
    </w:lvl>
  </w:abstractNum>
  <w:abstractNum w:abstractNumId="30">
    <w:nsid w:val="749ABB43"/>
    <w:multiLevelType w:val="hybridMultilevel"/>
    <w:lvl w:ilvl="0">
      <w:lvlJc w:val="left"/>
      <w:lvlText w:val="(%1)"/>
      <w:numFmt w:val="lowerRoman"/>
      <w:start w:val="7"/>
    </w:lvl>
  </w:abstractNum>
  <w:abstractNum w:abstractNumId="31">
    <w:nsid w:val="3DC240FB"/>
    <w:multiLevelType w:val="hybridMultilevel"/>
    <w:lvl w:ilvl="0">
      <w:lvlJc w:val="left"/>
      <w:lvlText w:val="(%1)"/>
      <w:numFmt w:val="lowerRoman"/>
      <w:start w:val="8"/>
    </w:lvl>
  </w:abstractNum>
  <w:abstractNum w:abstractNumId="32">
    <w:nsid w:val="1BA026FA"/>
    <w:multiLevelType w:val="hybridMultilevel"/>
    <w:lvl w:ilvl="0">
      <w:lvlJc w:val="left"/>
      <w:lvlText w:val="5"/>
      <w:numFmt w:val="bullet"/>
      <w:start w:val="1"/>
    </w:lvl>
  </w:abstractNum>
  <w:abstractNum w:abstractNumId="33">
    <w:nsid w:val="79A1DEAA"/>
    <w:multiLevelType w:val="hybridMultilevel"/>
    <w:lvl w:ilvl="0">
      <w:lvlJc w:val="left"/>
      <w:lvlText w:val="%1."/>
      <w:numFmt w:val="decimal"/>
      <w:start w:val="4"/>
    </w:lvl>
  </w:abstractNum>
  <w:abstractNum w:abstractNumId="34">
    <w:nsid w:val="75C6C33A"/>
    <w:multiLevelType w:val="hybridMultilevel"/>
    <w:lvl w:ilvl="0">
      <w:lvlJc w:val="left"/>
      <w:lvlText w:val="(%1)"/>
      <w:numFmt w:val="decimal"/>
      <w:start w:val="1"/>
    </w:lvl>
  </w:abstractNum>
  <w:abstractNum w:abstractNumId="35">
    <w:nsid w:val="12E685FB"/>
    <w:multiLevelType w:val="hybridMultilevel"/>
    <w:lvl w:ilvl="0">
      <w:lvlJc w:val="left"/>
      <w:lvlText w:val="(%1)"/>
      <w:numFmt w:val="lowerRoman"/>
      <w:start w:val="1"/>
    </w:lvl>
  </w:abstractNum>
  <w:abstractNum w:abstractNumId="36">
    <w:nsid w:val="70C6A529"/>
    <w:multiLevelType w:val="hybridMultilevel"/>
    <w:lvl w:ilvl="0">
      <w:lvlJc w:val="left"/>
      <w:lvlText w:val="6"/>
      <w:numFmt w:val="bullet"/>
      <w:start w:val="1"/>
    </w:lvl>
  </w:abstractNum>
  <w:abstractNum w:abstractNumId="37">
    <w:nsid w:val="520EEDD1"/>
    <w:multiLevelType w:val="hybridMultilevel"/>
    <w:lvl w:ilvl="0">
      <w:lvlJc w:val="left"/>
      <w:lvlText w:val="(%1)"/>
      <w:numFmt w:val="decimal"/>
      <w:start w:val="1"/>
    </w:lvl>
  </w:abstractNum>
  <w:abstractNum w:abstractNumId="38">
    <w:nsid w:val="374A3FE6"/>
    <w:multiLevelType w:val="hybridMultilevel"/>
    <w:lvl w:ilvl="0">
      <w:lvlJc w:val="left"/>
      <w:lvlText w:val="%1."/>
      <w:numFmt w:val="decimal"/>
      <w:start w:val="5"/>
    </w:lvl>
  </w:abstractNum>
  <w:abstractNum w:abstractNumId="39">
    <w:nsid w:val="4F4EF005"/>
    <w:multiLevelType w:val="hybridMultilevel"/>
    <w:lvl w:ilvl="0">
      <w:lvlJc w:val="left"/>
      <w:lvlText w:val="%1"/>
      <w:numFmt w:val="decimal"/>
      <w:start w:val="1"/>
    </w:lvl>
    <w:lvl w:ilvl="1">
      <w:lvlJc w:val="left"/>
      <w:lvlText w:val="(%2)"/>
      <w:numFmt w:val="decimal"/>
      <w:start w:val="1"/>
    </w:lvl>
  </w:abstractNum>
  <w:abstractNum w:abstractNumId="40">
    <w:nsid w:val="23F9C13C"/>
    <w:multiLevelType w:val="hybridMultilevel"/>
    <w:lvl w:ilvl="0">
      <w:lvlJc w:val="left"/>
      <w:lvlText w:val="(%1)"/>
      <w:numFmt w:val="decimal"/>
      <w:start w:val="2"/>
    </w:lvl>
    <w:lvl w:ilvl="1">
      <w:lvlJc w:val="left"/>
      <w:lvlText w:val="%2"/>
      <w:numFmt w:val="decimal"/>
      <w:start w:val="1"/>
    </w:lvl>
  </w:abstractNum>
  <w:abstractNum w:abstractNumId="41">
    <w:nsid w:val="649BB77C"/>
    <w:multiLevelType w:val="hybridMultilevel"/>
    <w:lvl w:ilvl="0">
      <w:lvlJc w:val="left"/>
      <w:lvlText w:val="%1)"/>
      <w:numFmt w:val="lowerRoman"/>
      <w:start w:val="1"/>
    </w:lvl>
  </w:abstractNum>
  <w:abstractNum w:abstractNumId="42">
    <w:nsid w:val="275AC794"/>
    <w:multiLevelType w:val="hybridMultilevel"/>
    <w:lvl w:ilvl="0">
      <w:lvlJc w:val="left"/>
      <w:lvlText w:val="%1."/>
      <w:numFmt w:val="decimal"/>
      <w:start w:val="6"/>
    </w:lvl>
  </w:abstractNum>
  <w:abstractNum w:abstractNumId="43">
    <w:nsid w:val="39386575"/>
    <w:multiLevelType w:val="hybridMultilevel"/>
    <w:lvl w:ilvl="0">
      <w:lvlJc w:val="left"/>
      <w:lvlText w:val="(%1)"/>
      <w:numFmt w:val="decimal"/>
      <w:start w:val="1"/>
    </w:lvl>
  </w:abstractNum>
  <w:abstractNum w:abstractNumId="44">
    <w:nsid w:val="1CF10FD8"/>
    <w:multiLevelType w:val="hybridMultilevel"/>
    <w:lvl w:ilvl="0">
      <w:lvlJc w:val="left"/>
      <w:lvlText w:val="7"/>
      <w:numFmt w:val="bullet"/>
      <w:start w:val="1"/>
    </w:lvl>
  </w:abstractNum>
  <w:abstractNum w:abstractNumId="45">
    <w:nsid w:val="180115BE"/>
    <w:multiLevelType w:val="hybridMultilevel"/>
    <w:lvl w:ilvl="0">
      <w:lvlJc w:val="left"/>
      <w:lvlText w:val="8"/>
      <w:numFmt w:val="bullet"/>
      <w:start w:val="1"/>
    </w:lvl>
  </w:abstractNum>
  <w:abstractNum w:abstractNumId="46">
    <w:nsid w:val="235BA861"/>
    <w:multiLevelType w:val="hybridMultilevel"/>
    <w:lvl w:ilvl="0">
      <w:lvlJc w:val="left"/>
      <w:lvlText w:val="9"/>
      <w:numFmt w:val="bullet"/>
      <w:start w:val="1"/>
    </w:lvl>
  </w:abstractNum>
  <w:abstractNum w:abstractNumId="47">
    <w:nsid w:val="47398C89"/>
    <w:multiLevelType w:val="hybridMultilevel"/>
    <w:lvl w:ilvl="0">
      <w:lvlJc w:val="left"/>
      <w:lvlText w:val="%1"/>
      <w:numFmt w:val="decimal"/>
      <w:start w:val="10"/>
    </w:lvl>
  </w:abstractNum>
  <w:abstractNum w:abstractNumId="48">
    <w:nsid w:val="354FE9F9"/>
    <w:multiLevelType w:val="hybridMultilevel"/>
    <w:lvl w:ilvl="0">
      <w:lvlJc w:val="left"/>
      <w:lvlText w:val="%1."/>
      <w:numFmt w:val="decimal"/>
      <w:start w:val="7"/>
    </w:lvl>
  </w:abstractNum>
  <w:abstractNum w:abstractNumId="49">
    <w:nsid w:val="15B5AF5C"/>
    <w:multiLevelType w:val="hybridMultilevel"/>
    <w:lvl w:ilvl="0">
      <w:lvlJc w:val="left"/>
      <w:lvlText w:val="%1"/>
      <w:numFmt w:val="decimal"/>
      <w:start w:val="1"/>
    </w:lvl>
    <w:lvl w:ilvl="1">
      <w:lvlJc w:val="left"/>
      <w:lvlText w:val="(%2)"/>
      <w:numFmt w:val="decimal"/>
      <w:start w:val="1"/>
    </w:lvl>
  </w:abstractNum>
  <w:abstractNum w:abstractNumId="50">
    <w:nsid w:val="741226BB"/>
    <w:multiLevelType w:val="hybridMultilevel"/>
    <w:lvl w:ilvl="0">
      <w:lvlJc w:val="left"/>
      <w:lvlText w:val="(%1)"/>
      <w:numFmt w:val="decimal"/>
      <w:start w:val="2"/>
    </w:lvl>
    <w:lvl w:ilvl="1">
      <w:lvlJc w:val="left"/>
      <w:lvlText w:val="%2"/>
      <w:numFmt w:val="decimal"/>
      <w:start w:val="1"/>
    </w:lvl>
  </w:abstractNum>
  <w:abstractNum w:abstractNumId="51">
    <w:nsid w:val="D34B6A8"/>
    <w:multiLevelType w:val="hybridMultilevel"/>
    <w:lvl w:ilvl="0">
      <w:lvlJc w:val="left"/>
      <w:lvlText w:val="%1"/>
      <w:numFmt w:val="decimal"/>
      <w:start w:val="12"/>
    </w:lvl>
  </w:abstractNum>
  <w:abstractNum w:abstractNumId="52">
    <w:nsid w:val="10233C99"/>
    <w:multiLevelType w:val="hybridMultilevel"/>
    <w:lvl w:ilvl="0">
      <w:lvlJc w:val="left"/>
      <w:lvlText w:val="(%1)"/>
      <w:numFmt w:val="decimal"/>
      <w:start w:val="1"/>
    </w:lvl>
  </w:abstractNum>
  <w:abstractNum w:abstractNumId="53">
    <w:nsid w:val="3F6AB60F"/>
    <w:multiLevelType w:val="hybridMultilevel"/>
    <w:lvl w:ilvl="0">
      <w:lvlJc w:val="left"/>
      <w:lvlText w:val="(%1)"/>
      <w:numFmt w:val="lowerRoman"/>
      <w:start w:val="1"/>
    </w:lvl>
  </w:abstractNum>
  <w:abstractNum w:abstractNumId="54">
    <w:nsid w:val="61574095"/>
    <w:multiLevelType w:val="hybridMultilevel"/>
    <w:lvl w:ilvl="0">
      <w:lvlJc w:val="left"/>
      <w:lvlText w:val="(%1)"/>
      <w:numFmt w:val="lowerRoman"/>
      <w:start w:val="1"/>
    </w:lvl>
  </w:abstractNum>
  <w:abstractNum w:abstractNumId="55">
    <w:nsid w:val="7E0C57B1"/>
    <w:multiLevelType w:val="hybridMultilevel"/>
    <w:lvl w:ilvl="0">
      <w:lvlJc w:val="left"/>
      <w:lvlText w:val="(%1)"/>
      <w:numFmt w:val="decimal"/>
      <w:start w:val="1"/>
    </w:lvl>
  </w:abstractNum>
  <w:abstractNum w:abstractNumId="56">
    <w:nsid w:val="77AE35EB"/>
    <w:multiLevelType w:val="hybridMultilevel"/>
    <w:lvl w:ilvl="0">
      <w:lvlJc w:val="left"/>
      <w:lvlText w:val="(%1)"/>
      <w:numFmt w:val="decimal"/>
      <w:start w:val="1"/>
    </w:lvl>
  </w:abstractNum>
  <w:abstractNum w:abstractNumId="57">
    <w:nsid w:val="579BE4F1"/>
    <w:multiLevelType w:val="hybridMultilevel"/>
    <w:lvl w:ilvl="0">
      <w:lvlJc w:val="left"/>
      <w:lvlText w:val="%1"/>
      <w:numFmt w:val="decimal"/>
      <w:start w:val="1"/>
    </w:lvl>
    <w:lvl w:ilvl="1">
      <w:lvlJc w:val="left"/>
      <w:lvlText w:val="(%2)"/>
      <w:numFmt w:val="decimal"/>
      <w:start w:val="1"/>
    </w:lvl>
  </w:abstractNum>
  <w:abstractNum w:abstractNumId="58">
    <w:nsid w:val="310C50B3"/>
    <w:multiLevelType w:val="hybridMultilevel"/>
    <w:lvl w:ilvl="0">
      <w:lvlJc w:val="left"/>
      <w:lvlText w:val="%1."/>
      <w:numFmt w:val="decimal"/>
      <w:start w:val="9"/>
    </w:lvl>
    <w:lvl w:ilvl="1">
      <w:lvlJc w:val="left"/>
      <w:lvlText w:val="%2"/>
      <w:numFmt w:val="decimal"/>
      <w:start w:val="1"/>
    </w:lvl>
  </w:abstractNum>
  <w:abstractNum w:abstractNumId="59">
    <w:nsid w:val="5FF87E05"/>
    <w:multiLevelType w:val="hybridMultilevel"/>
    <w:lvl w:ilvl="0">
      <w:lvlJc w:val="left"/>
      <w:lvlText w:val="(%1)"/>
      <w:numFmt w:val="decimal"/>
      <w:start w:val="1"/>
    </w:lvl>
  </w:abstractNum>
  <w:abstractNum w:abstractNumId="60">
    <w:nsid w:val="2F305DEF"/>
    <w:multiLevelType w:val="hybridMultilevel"/>
    <w:lvl w:ilvl="0">
      <w:lvlJc w:val="left"/>
      <w:lvlText w:val="%1."/>
      <w:numFmt w:val="decimal"/>
      <w:start w:val="10"/>
    </w:lvl>
  </w:abstractNum>
  <w:abstractNum w:abstractNumId="61">
    <w:nsid w:val="25A70BF7"/>
    <w:multiLevelType w:val="hybridMultilevel"/>
    <w:lvl w:ilvl="0">
      <w:lvlJc w:val="left"/>
      <w:lvlText w:val="%1."/>
      <w:numFmt w:val="decimal"/>
      <w:start w:val="11"/>
    </w:lvl>
  </w:abstractNum>
  <w:abstractNum w:abstractNumId="62">
    <w:nsid w:val="1DBABF00"/>
    <w:multiLevelType w:val="hybridMultilevel"/>
    <w:lvl w:ilvl="0">
      <w:lvlJc w:val="left"/>
      <w:lvlText w:val="(%1)"/>
      <w:numFmt w:val="decimal"/>
      <w:start w:val="1"/>
    </w:lvl>
  </w:abstractNum>
  <w:abstractNum w:abstractNumId="63">
    <w:nsid w:val="4AD084E9"/>
    <w:multiLevelType w:val="hybridMultilevel"/>
    <w:lvl w:ilvl="0">
      <w:lvlJc w:val="left"/>
      <w:lvlText w:val="(%1)"/>
      <w:numFmt w:val="decimal"/>
      <w:start w:val="1"/>
    </w:lvl>
  </w:abstractNum>
  <w:abstractNum w:abstractNumId="64">
    <w:nsid w:val="1F48EAA1"/>
    <w:multiLevelType w:val="hybridMultilevel"/>
    <w:lvl w:ilvl="0">
      <w:lvlJc w:val="left"/>
      <w:lvlText w:val="(%1)"/>
      <w:numFmt w:val="decimal"/>
      <w:start w:val="1"/>
    </w:lvl>
  </w:abstractNum>
  <w:abstractNum w:abstractNumId="65">
    <w:nsid w:val="1381823A"/>
    <w:multiLevelType w:val="hybridMultilevel"/>
    <w:lvl w:ilvl="0">
      <w:lvlJc w:val="left"/>
      <w:lvlText w:val="%1)"/>
      <w:numFmt w:val="lowerRoman"/>
      <w:start w:val="1"/>
    </w:lvl>
  </w:abstractNum>
  <w:abstractNum w:abstractNumId="66">
    <w:nsid w:val="5DB70AE5"/>
    <w:multiLevelType w:val="hybridMultilevel"/>
    <w:lvl w:ilvl="0">
      <w:lvlJc w:val="left"/>
      <w:lvlText w:val="%1)"/>
      <w:numFmt w:val="lowerRoman"/>
      <w:start w:val="2"/>
    </w:lvl>
  </w:abstractNum>
  <w:abstractNum w:abstractNumId="67">
    <w:nsid w:val="100F8FCA"/>
    <w:multiLevelType w:val="hybridMultilevel"/>
    <w:lvl w:ilvl="0">
      <w:lvlJc w:val="left"/>
      <w:lvlText w:val="(%1)"/>
      <w:numFmt w:val="decimal"/>
      <w:start w:val="1"/>
    </w:lvl>
  </w:abstractNum>
  <w:abstractNum w:abstractNumId="68">
    <w:nsid w:val="6590700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2019-12-06T14:56:00Z</dcterms:created>
  <dcterms:modified xsi:type="dcterms:W3CDTF">2019-12-06T14:56:00Z</dcterms:modified>
</cp:coreProperties>
</file>