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December 2019</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580"/>
        <w:spacing w:after="0" w:line="207" w:lineRule="exact"/>
        <w:tabs>
          <w:tab w:leader="none" w:pos="57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450850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70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hereby notify you as a Material Event that Credicorp’s Board of Directors, in its session held on December 19, 2019, agreed to change the composition of its Corporate Governance Committee, which in consequence will be formed by:</w:t>
      </w:r>
    </w:p>
    <w:p>
      <w:pPr>
        <w:spacing w:after="0" w:line="170"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Patricia Lizárraga Guthertz</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Fernando Fort Marie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Juan Carlos Verme Giannoni</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Barbara Bruce Ventura (member of the Board of Directors of Banco de Crédito del Perú)</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communication modifies the agreement adopted by the Board of Directors at its meeting held on April 27, 2017 and informed to the market as a Material Event on the same date.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per Credicorp Corporate Governance Policies, the members of this Committee shall designate the new Chair from among its members in its next session.</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19, 2019</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8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2019-12-20T05:02:08Z</dcterms:created>
  <dcterms:modified xsi:type="dcterms:W3CDTF">2019-12-20T05:02:08Z</dcterms:modified>
</cp:coreProperties>
</file>