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August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9</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169545</wp:posOffset>
            </wp:positionV>
            <wp:extent cx="140652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380"/>
        <w:spacing w:after="0" w:line="226" w:lineRule="auto"/>
        <w:rPr>
          <w:sz w:val="20"/>
          <w:szCs w:val="20"/>
          <w:color w:val="auto"/>
        </w:rPr>
      </w:pPr>
      <w:r>
        <w:rPr>
          <w:rFonts w:ascii="Arial" w:cs="Arial" w:eastAsia="Arial" w:hAnsi="Arial"/>
          <w:sz w:val="17"/>
          <w:szCs w:val="17"/>
          <w:b w:val="1"/>
          <w:bCs w:val="1"/>
          <w:color w:val="auto"/>
        </w:rPr>
        <w:t>Lima, Peru, August 07</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2017 </w:t>
      </w:r>
      <w:r>
        <w:rPr>
          <w:rFonts w:ascii="Arial" w:cs="Arial" w:eastAsia="Arial" w:hAnsi="Arial"/>
          <w:sz w:val="17"/>
          <w:szCs w:val="17"/>
          <w:color w:val="auto"/>
        </w:rPr>
        <w:t>– Credicorp (NYSE:BAP) announced its unaudited results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second quarter of 2017. These results are consolidated according to IFRS in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-299720</wp:posOffset>
            </wp:positionV>
            <wp:extent cx="1457960" cy="767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7675245"/>
                    </a:xfrm>
                    <a:prstGeom prst="rect">
                      <a:avLst/>
                    </a:prstGeom>
                    <a:noFill/>
                  </pic:spPr>
                </pic:pic>
              </a:graphicData>
            </a:graphic>
          </wp:anchor>
        </w:drawing>
      </w:r>
    </w:p>
    <w:p>
      <w:pPr>
        <w:spacing w:after="0" w:line="178"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Second Quarter Results 2017</w:t>
      </w:r>
    </w:p>
    <w:p>
      <w:pPr>
        <w:spacing w:after="0" w:line="229" w:lineRule="exact"/>
        <w:rPr>
          <w:sz w:val="20"/>
          <w:szCs w:val="20"/>
          <w:color w:val="auto"/>
        </w:rPr>
      </w:pPr>
    </w:p>
    <w:p>
      <w:pPr>
        <w:jc w:val="both"/>
        <w:ind w:left="3380"/>
        <w:spacing w:after="0" w:line="273" w:lineRule="auto"/>
        <w:rPr>
          <w:sz w:val="20"/>
          <w:szCs w:val="20"/>
          <w:color w:val="auto"/>
        </w:rPr>
      </w:pPr>
      <w:r>
        <w:rPr>
          <w:rFonts w:ascii="Arial" w:cs="Arial" w:eastAsia="Arial" w:hAnsi="Arial"/>
          <w:sz w:val="17"/>
          <w:szCs w:val="17"/>
          <w:color w:val="auto"/>
        </w:rPr>
        <w:t>In 2Q17, Credicorp reported net income of S/ 920.2 million, which translated into ROAE and ROAA of 18.2% and 2.3%, respectively. This net income level represented growth of +3.4% QoQ and +5.3% YoY. In 2Q17, the macroeconomic environment, characterized by very low growth in internal demand due to a contraction in private investment, continued to set the pace of growth for Credicorp’s businesses, in particularly the banking business, which operated in a scenario of low demand for credit and aggressive competition.</w:t>
      </w:r>
    </w:p>
    <w:p>
      <w:pPr>
        <w:spacing w:after="0" w:line="178" w:lineRule="exact"/>
        <w:rPr>
          <w:sz w:val="20"/>
          <w:szCs w:val="20"/>
          <w:color w:val="auto"/>
        </w:rPr>
      </w:pPr>
    </w:p>
    <w:p>
      <w:pPr>
        <w:jc w:val="both"/>
        <w:ind w:left="3380"/>
        <w:spacing w:after="0" w:line="264" w:lineRule="auto"/>
        <w:rPr>
          <w:sz w:val="20"/>
          <w:szCs w:val="20"/>
          <w:color w:val="auto"/>
        </w:rPr>
      </w:pPr>
      <w:r>
        <w:rPr>
          <w:rFonts w:ascii="Arial" w:cs="Arial" w:eastAsia="Arial" w:hAnsi="Arial"/>
          <w:sz w:val="18"/>
          <w:szCs w:val="18"/>
          <w:color w:val="auto"/>
        </w:rPr>
        <w:t>Year-to-date (YTD), Credicorp’s net income increased +8.4%. This result represents ROAE of 17.9%, which fell below the 19.8% posted during 1S16; and ROAA of 2.3%, which topped the 2.1% posted in 1S16.</w:t>
      </w:r>
    </w:p>
    <w:p>
      <w:pPr>
        <w:spacing w:after="0" w:line="18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results in 2Q17 show:</w:t>
      </w:r>
    </w:p>
    <w:p>
      <w:pPr>
        <w:spacing w:after="0" w:line="225" w:lineRule="exact"/>
        <w:rPr>
          <w:sz w:val="20"/>
          <w:szCs w:val="20"/>
          <w:color w:val="auto"/>
        </w:rPr>
      </w:pPr>
    </w:p>
    <w:p>
      <w:pPr>
        <w:jc w:val="both"/>
        <w:ind w:left="3380"/>
        <w:spacing w:after="0" w:line="257" w:lineRule="auto"/>
        <w:rPr>
          <w:sz w:val="20"/>
          <w:szCs w:val="20"/>
          <w:color w:val="auto"/>
        </w:rPr>
      </w:pPr>
      <w:r>
        <w:rPr>
          <w:rFonts w:ascii="Arial" w:cs="Arial" w:eastAsia="Arial" w:hAnsi="Arial"/>
          <w:sz w:val="18"/>
          <w:szCs w:val="18"/>
          <w:color w:val="auto"/>
        </w:rPr>
        <w:t>•Loan-growth of +1.4% QoQ and +2.2% YoY in the quarter-end loan balances. This was mainly attributable to loan growth at BCP Bolivia, Retail Banking, Middle-Market Banking and Mibanco, which offset the contraction in the Corporate Banking loan book. Slight loan growth QoQ attenuated the loan contraction registered in 1Q17 (-2.5%); in this scenario, the loan book only contracted -1.2% YTD.</w:t>
      </w:r>
    </w:p>
    <w:p>
      <w:pPr>
        <w:spacing w:after="0" w:line="188" w:lineRule="exact"/>
        <w:rPr>
          <w:sz w:val="20"/>
          <w:szCs w:val="20"/>
          <w:color w:val="auto"/>
        </w:rPr>
      </w:pPr>
    </w:p>
    <w:p>
      <w:pPr>
        <w:jc w:val="both"/>
        <w:ind w:left="3380"/>
        <w:spacing w:after="0" w:line="279" w:lineRule="auto"/>
        <w:rPr>
          <w:sz w:val="20"/>
          <w:szCs w:val="20"/>
          <w:color w:val="auto"/>
        </w:rPr>
      </w:pPr>
      <w:r>
        <w:rPr>
          <w:rFonts w:ascii="Arial" w:cs="Arial" w:eastAsia="Arial" w:hAnsi="Arial"/>
          <w:sz w:val="17"/>
          <w:szCs w:val="17"/>
          <w:color w:val="auto"/>
        </w:rPr>
        <w:t>•Average daily loan balances grew at a slower pace (+0.3% QoQ +1.6% YoY) given that loan volumes recovered primarily towards the end of the quarter. The aforementioned, coupled with an environment marked by aggressive competition, particularly in the Corporate Banking segment, had an impact on interest income on loans.</w:t>
      </w:r>
    </w:p>
    <w:p>
      <w:pPr>
        <w:spacing w:after="0" w:line="171" w:lineRule="exact"/>
        <w:rPr>
          <w:sz w:val="20"/>
          <w:szCs w:val="20"/>
          <w:color w:val="auto"/>
        </w:rPr>
      </w:pPr>
    </w:p>
    <w:p>
      <w:pPr>
        <w:jc w:val="both"/>
        <w:ind w:left="3380"/>
        <w:spacing w:after="0" w:line="257" w:lineRule="auto"/>
        <w:rPr>
          <w:sz w:val="20"/>
          <w:szCs w:val="20"/>
          <w:color w:val="auto"/>
        </w:rPr>
      </w:pPr>
      <w:r>
        <w:rPr>
          <w:rFonts w:ascii="Arial" w:cs="Arial" w:eastAsia="Arial" w:hAnsi="Arial"/>
          <w:sz w:val="18"/>
          <w:szCs w:val="18"/>
          <w:color w:val="auto"/>
        </w:rPr>
        <w:t>•Net interest income (NII) contracted -2.2% QoQ. This was mainly due to lower dividend income, which hit a peak every 1Q. The aforementioned was accentuated by a decrease in interest income on loans, as mentioned above. Nevertheless, NII reported an increase of +3.6% YoY and +3.8% YTD. In this context, the net interest margin (NIM) fell -20 bps QoQ but recovered +7 bps YoY and +5 bps YTD.</w:t>
      </w:r>
    </w:p>
    <w:p>
      <w:pPr>
        <w:spacing w:after="0" w:line="188" w:lineRule="exact"/>
        <w:rPr>
          <w:sz w:val="20"/>
          <w:szCs w:val="20"/>
          <w:color w:val="auto"/>
        </w:rPr>
      </w:pPr>
    </w:p>
    <w:p>
      <w:pPr>
        <w:jc w:val="both"/>
        <w:ind w:left="3380" w:hanging="7"/>
        <w:spacing w:after="0" w:line="273" w:lineRule="auto"/>
        <w:tabs>
          <w:tab w:leader="none" w:pos="349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cost of risk (CoR) fell -47 bps QoQ and -26 bps YoY to situate at 1.85%. This was due primarily to a drop in provisions for El Nino (FEN) and construction companies and to, although to a lesser extent, lower provisions required by the underlying loan portfolio. The latter reflects the improvement of the risk quality in almost all business segments. In this context, the CoR situated at 2.07% in 1H17, which was similar to the 2.04% in 1H16 despite the provisions set aside for FEN and construction companies in 1H17.</w:t>
      </w:r>
    </w:p>
    <w:p>
      <w:pPr>
        <w:spacing w:after="0" w:line="178" w:lineRule="exact"/>
        <w:rPr>
          <w:rFonts w:ascii="Arial" w:cs="Arial" w:eastAsia="Arial" w:hAnsi="Arial"/>
          <w:sz w:val="17"/>
          <w:szCs w:val="17"/>
          <w:color w:val="auto"/>
        </w:rPr>
      </w:pPr>
    </w:p>
    <w:p>
      <w:pPr>
        <w:ind w:left="3480" w:hanging="107"/>
        <w:spacing w:after="0"/>
        <w:tabs>
          <w:tab w:leader="none" w:pos="3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 after provisions recovered +10 bps QoQ, +24 bps YoY and + 5 bps YTD.</w:t>
      </w:r>
    </w:p>
    <w:p>
      <w:pPr>
        <w:spacing w:after="0" w:line="225" w:lineRule="exact"/>
        <w:rPr>
          <w:rFonts w:ascii="Arial" w:cs="Arial" w:eastAsia="Arial" w:hAnsi="Arial"/>
          <w:sz w:val="18"/>
          <w:szCs w:val="18"/>
          <w:color w:val="auto"/>
        </w:rPr>
      </w:pPr>
    </w:p>
    <w:p>
      <w:pPr>
        <w:jc w:val="both"/>
        <w:ind w:left="3380" w:hanging="7"/>
        <w:spacing w:after="0" w:line="257" w:lineRule="auto"/>
        <w:tabs>
          <w:tab w:leader="none" w:pos="3553"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non-financial income increased +1.8% QoQ and +7.8% YTD despite a slight contraction YoY. In the accumulated analysis, we see a slight recovery in fee income generation, our main non-financial income; in net gain on derivatives and in result on exchange difference; and in net gain from associates, all of which offset lower net gains on foreign exchange transactions.</w:t>
      </w:r>
    </w:p>
    <w:p>
      <w:pPr>
        <w:spacing w:after="0" w:line="188" w:lineRule="exact"/>
        <w:rPr>
          <w:rFonts w:ascii="Arial" w:cs="Arial" w:eastAsia="Arial" w:hAnsi="Arial"/>
          <w:sz w:val="18"/>
          <w:szCs w:val="18"/>
          <w:color w:val="auto"/>
        </w:rPr>
      </w:pPr>
    </w:p>
    <w:p>
      <w:pPr>
        <w:jc w:val="both"/>
        <w:ind w:left="3380" w:hanging="7"/>
        <w:spacing w:after="0" w:line="312" w:lineRule="auto"/>
        <w:tabs>
          <w:tab w:leader="none" w:pos="353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insurance underwriting result increased +3.4% QoQ. This was mainly due to the decrease of claims related to FEN in a context of mild growth in net earned premiums. In YTD terms, insurance underwriting results decreased mainly due the effect of FEN in 1Q17.</w:t>
      </w:r>
    </w:p>
    <w:p>
      <w:pPr>
        <w:spacing w:after="0" w:line="146" w:lineRule="exact"/>
        <w:rPr>
          <w:rFonts w:ascii="Arial" w:cs="Arial" w:eastAsia="Arial" w:hAnsi="Arial"/>
          <w:sz w:val="16"/>
          <w:szCs w:val="16"/>
          <w:color w:val="auto"/>
        </w:rPr>
      </w:pPr>
    </w:p>
    <w:p>
      <w:pPr>
        <w:jc w:val="both"/>
        <w:ind w:left="3380" w:hanging="7"/>
        <w:spacing w:after="0" w:line="273" w:lineRule="auto"/>
        <w:tabs>
          <w:tab w:leader="none" w:pos="349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efficiency ratio improved 30 bps YoY and 50 bps YTD, which is due to an improvement in operating efficiency at Mibanco, BCP Bolivia, Atlantic Security Bank and Prima. The aforementioned offset the increase in BCP’s cost-to-income ratio, which in turn reflects the costs of the Digital Transformation initiative in a year of relatively low income generation. The increase of +200 bps QoQ in the efficiency ratio reflects the seasonality of operating expenses that reach the lowest level in 1Q of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414020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gridSpan w:val="3"/>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Second Quarter Results 2017</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Executive Summary</w:t>
            </w:r>
          </w:p>
        </w:tc>
        <w:tc>
          <w:tcPr>
            <w:tcW w:w="3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1.1</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Evolution of IEA</w:t>
            </w:r>
          </w:p>
        </w:tc>
        <w:tc>
          <w:tcPr>
            <w:tcW w:w="3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Credicorp Loans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1.2.1   Loan evolution by business segment</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1.2.2   Evolution of dollarization by segment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1.2.3   BCRP de-dollarization plan at BCP Stand-alone</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1.2.4   Market share in loans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Funding Sources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2.1</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Structure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2.1</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Deposits</w:t>
            </w: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2.2.1  Deposit dollarization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2.2.2  Market share in Deposits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2.3</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funding sources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2.4</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Loan / Deposit (L/D)</w:t>
            </w:r>
          </w:p>
        </w:tc>
        <w:tc>
          <w:tcPr>
            <w:tcW w:w="3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2.6</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3.1</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Provisions for loan losses</w:t>
            </w:r>
          </w:p>
        </w:tc>
        <w:tc>
          <w:tcPr>
            <w:tcW w:w="33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3.2</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Quality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4.</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Interest Income (NII)</w:t>
            </w:r>
          </w:p>
        </w:tc>
        <w:tc>
          <w:tcPr>
            <w:tcW w:w="3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4.1</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4.2</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Interest Expenses</w:t>
            </w:r>
          </w:p>
        </w:tc>
        <w:tc>
          <w:tcPr>
            <w:tcW w:w="3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4.3</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Interest Margin (NIM)</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Non-Financial Income</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5.1</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Fee Income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5.1.1 By subsidiary</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5.1.2 Banking Business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6.</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Insurance Underwriting Result</w:t>
            </w:r>
          </w:p>
        </w:tc>
        <w:tc>
          <w:tcPr>
            <w:tcW w:w="33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6.1</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earned premiums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6.2</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Net claims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6.3</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7.</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Expenses and Efficiency</w:t>
            </w:r>
          </w:p>
        </w:tc>
        <w:tc>
          <w:tcPr>
            <w:tcW w:w="3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8.1</w:t>
            </w:r>
          </w:p>
        </w:tc>
        <w:tc>
          <w:tcPr>
            <w:tcW w:w="140" w:type="dxa"/>
            <w:vAlign w:val="bottom"/>
          </w:tcPr>
          <w:p>
            <w:pPr>
              <w:spacing w:after="0"/>
              <w:rPr>
                <w:sz w:val="18"/>
                <w:szCs w:val="18"/>
                <w:color w:val="auto"/>
              </w:rPr>
            </w:pPr>
          </w:p>
        </w:tc>
        <w:tc>
          <w:tcPr>
            <w:tcW w:w="7580" w:type="dxa"/>
            <w:vAlign w:val="bottom"/>
          </w:tcPr>
          <w:p>
            <w:pPr>
              <w:ind w:left="80"/>
              <w:spacing w:after="0"/>
              <w:rPr>
                <w:sz w:val="20"/>
                <w:szCs w:val="20"/>
                <w:color w:val="auto"/>
              </w:rPr>
            </w:pPr>
            <w:r>
              <w:rPr>
                <w:rFonts w:ascii="Arial" w:cs="Arial" w:eastAsia="Arial" w:hAnsi="Arial"/>
                <w:sz w:val="18"/>
                <w:szCs w:val="18"/>
                <w:color w:val="auto"/>
              </w:rPr>
              <w:t>Regulatory Capital – BAP</w:t>
            </w:r>
          </w:p>
        </w:tc>
        <w:tc>
          <w:tcPr>
            <w:tcW w:w="33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8.2</w:t>
            </w: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Regulatory Capital – BCP Stand-alone based on Peru GAAP</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9.</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Banking business’s Distribution channels</w:t>
            </w:r>
          </w:p>
        </w:tc>
        <w:tc>
          <w:tcPr>
            <w:tcW w:w="33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outlook</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720" w:type="dxa"/>
            <w:vAlign w:val="bottom"/>
            <w:gridSpan w:val="2"/>
          </w:tcPr>
          <w:p>
            <w:pPr>
              <w:spacing w:after="0"/>
              <w:rPr>
                <w:sz w:val="20"/>
                <w:szCs w:val="20"/>
                <w:color w:val="auto"/>
              </w:rPr>
            </w:pPr>
            <w:r>
              <w:rPr>
                <w:rFonts w:ascii="Arial" w:cs="Arial" w:eastAsia="Arial" w:hAnsi="Arial"/>
                <w:sz w:val="18"/>
                <w:szCs w:val="18"/>
                <w:color w:val="auto"/>
              </w:rPr>
              <w:t>Appendix</w:t>
            </w:r>
          </w:p>
        </w:tc>
        <w:tc>
          <w:tcPr>
            <w:tcW w:w="3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11.1</w:t>
            </w: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Credicorp</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11.2</w:t>
            </w:r>
          </w:p>
        </w:tc>
        <w:tc>
          <w:tcPr>
            <w:tcW w:w="7580" w:type="dxa"/>
            <w:vAlign w:val="bottom"/>
          </w:tcPr>
          <w:p>
            <w:pPr>
              <w:ind w:left="80"/>
              <w:spacing w:after="0"/>
              <w:rPr>
                <w:sz w:val="20"/>
                <w:szCs w:val="20"/>
                <w:color w:val="auto"/>
              </w:rPr>
            </w:pPr>
            <w:r>
              <w:rPr>
                <w:rFonts w:ascii="Arial" w:cs="Arial" w:eastAsia="Arial" w:hAnsi="Arial"/>
                <w:sz w:val="18"/>
                <w:szCs w:val="18"/>
                <w:color w:val="auto"/>
              </w:rPr>
              <w:t>BCP Consolidated</w:t>
            </w:r>
          </w:p>
        </w:tc>
        <w:tc>
          <w:tcPr>
            <w:tcW w:w="33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11.3</w:t>
            </w: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Mibanco</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11.4</w:t>
            </w:r>
          </w:p>
        </w:tc>
        <w:tc>
          <w:tcPr>
            <w:tcW w:w="7580" w:type="dxa"/>
            <w:vAlign w:val="bottom"/>
          </w:tcPr>
          <w:p>
            <w:pPr>
              <w:ind w:left="80"/>
              <w:spacing w:after="0"/>
              <w:rPr>
                <w:sz w:val="20"/>
                <w:szCs w:val="20"/>
                <w:color w:val="auto"/>
              </w:rPr>
            </w:pPr>
            <w:r>
              <w:rPr>
                <w:rFonts w:ascii="Arial" w:cs="Arial" w:eastAsia="Arial" w:hAnsi="Arial"/>
                <w:sz w:val="18"/>
                <w:szCs w:val="18"/>
                <w:color w:val="auto"/>
              </w:rPr>
              <w:t>BCP Bolivia</w:t>
            </w:r>
          </w:p>
        </w:tc>
        <w:tc>
          <w:tcPr>
            <w:tcW w:w="3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11.5</w:t>
            </w: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Credicorp Capital</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11.6</w:t>
            </w:r>
          </w:p>
        </w:tc>
        <w:tc>
          <w:tcPr>
            <w:tcW w:w="7580" w:type="dxa"/>
            <w:vAlign w:val="bottom"/>
          </w:tcPr>
          <w:p>
            <w:pPr>
              <w:ind w:left="60"/>
              <w:spacing w:after="0"/>
              <w:rPr>
                <w:sz w:val="20"/>
                <w:szCs w:val="20"/>
                <w:color w:val="auto"/>
              </w:rPr>
            </w:pPr>
            <w:r>
              <w:rPr>
                <w:rFonts w:ascii="Arial" w:cs="Arial" w:eastAsia="Arial" w:hAnsi="Arial"/>
                <w:sz w:val="18"/>
                <w:szCs w:val="18"/>
                <w:color w:val="auto"/>
              </w:rPr>
              <w:t>Atlantic Security Bank</w:t>
            </w:r>
          </w:p>
        </w:tc>
        <w:tc>
          <w:tcPr>
            <w:tcW w:w="3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11.7</w:t>
            </w: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Grupo Pacifico</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11.8</w:t>
            </w:r>
          </w:p>
        </w:tc>
        <w:tc>
          <w:tcPr>
            <w:tcW w:w="7580" w:type="dxa"/>
            <w:vAlign w:val="bottom"/>
          </w:tcPr>
          <w:p>
            <w:pPr>
              <w:ind w:left="80"/>
              <w:spacing w:after="0"/>
              <w:rPr>
                <w:sz w:val="20"/>
                <w:szCs w:val="20"/>
                <w:color w:val="auto"/>
              </w:rPr>
            </w:pPr>
            <w:r>
              <w:rPr>
                <w:rFonts w:ascii="Arial" w:cs="Arial" w:eastAsia="Arial" w:hAnsi="Arial"/>
                <w:sz w:val="18"/>
                <w:szCs w:val="18"/>
                <w:color w:val="auto"/>
              </w:rPr>
              <w:t>Prima AFP</w:t>
            </w:r>
          </w:p>
        </w:tc>
        <w:tc>
          <w:tcPr>
            <w:tcW w:w="33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11.9</w:t>
            </w:r>
          </w:p>
        </w:tc>
        <w:tc>
          <w:tcPr>
            <w:tcW w:w="7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Table of calculations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Second Quarter Results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Credicorp Ltd. *</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2Q16</w:t>
            </w:r>
          </w:p>
        </w:tc>
        <w:tc>
          <w:tcPr>
            <w:tcW w:w="220" w:type="dxa"/>
            <w:vAlign w:val="bottom"/>
            <w:vMerge w:val="restart"/>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2Q17</w:t>
            </w:r>
          </w:p>
        </w:tc>
        <w:tc>
          <w:tcPr>
            <w:tcW w:w="240" w:type="dxa"/>
            <w:vAlign w:val="bottom"/>
            <w:vMerge w:val="restart"/>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YoY</w:t>
            </w:r>
          </w:p>
        </w:tc>
        <w:tc>
          <w:tcPr>
            <w:tcW w:w="240" w:type="dxa"/>
            <w:vAlign w:val="bottom"/>
            <w:vMerge w:val="restart"/>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Jun 17</w:t>
            </w:r>
          </w:p>
        </w:tc>
        <w:tc>
          <w:tcPr>
            <w:tcW w:w="240" w:type="dxa"/>
            <w:vAlign w:val="bottom"/>
            <w:vMerge w:val="restart"/>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1Q17</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 16</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Jun 17 / Jun 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1,903,710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2,016,087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1,972,705</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3.6%</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3,842,103</w:t>
            </w:r>
          </w:p>
        </w:tc>
        <w:tc>
          <w:tcPr>
            <w:tcW w:w="240" w:type="dxa"/>
            <w:vAlign w:val="bottom"/>
            <w:shd w:val="clear" w:color="auto" w:fill="CCEEFF"/>
          </w:tcPr>
          <w:p>
            <w:pPr>
              <w:spacing w:after="0"/>
              <w:rPr>
                <w:sz w:val="12"/>
                <w:szCs w:val="12"/>
                <w:color w:val="auto"/>
              </w:rPr>
            </w:pPr>
          </w:p>
        </w:tc>
        <w:tc>
          <w:tcPr>
            <w:tcW w:w="74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3,988,792</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(483,911)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(536,494)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(433,219)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-19.2%</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(937,148)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(969,713)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1,419,799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1,479,593</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1,539,486</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2,904,955</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3,019,079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 *</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1,065,248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1,040,533</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1,053,960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1,943,797</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2,094,493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134,766</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122,279</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126,445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263,905</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248,724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(1,410,439)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(1,407,111)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(1,453,187)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(2,758,898)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(2,860,298)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1,209,374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1,235,294</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1,266,704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2,353,759</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2,501,998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(311,932)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(325,668)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(324,771)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(636,736)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(650,439)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897,442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909,626</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941,933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1,717,023</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1,851,559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23,250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20,051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21,713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41,764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874,192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889,575</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920,220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1,669,823</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1,809,795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Net income / share (S/)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11.15</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20.94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91,655,366</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92,414,588</w:t>
            </w:r>
          </w:p>
        </w:tc>
        <w:tc>
          <w:tcPr>
            <w:tcW w:w="24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93,670,216</w:t>
            </w:r>
          </w:p>
        </w:tc>
        <w:tc>
          <w:tcPr>
            <w:tcW w:w="24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2.2%</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91,655,366</w:t>
            </w:r>
          </w:p>
        </w:tc>
        <w:tc>
          <w:tcPr>
            <w:tcW w:w="240" w:type="dxa"/>
            <w:vAlign w:val="bottom"/>
            <w:vMerge w:val="continue"/>
            <w:shd w:val="clear" w:color="auto" w:fill="CCEEFF"/>
          </w:tcPr>
          <w:p>
            <w:pPr>
              <w:spacing w:after="0"/>
              <w:rPr>
                <w:sz w:val="12"/>
                <w:szCs w:val="12"/>
                <w:color w:val="auto"/>
              </w:rPr>
            </w:pPr>
          </w:p>
        </w:tc>
        <w:tc>
          <w:tcPr>
            <w:tcW w:w="74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93,670,216</w:t>
            </w:r>
          </w:p>
        </w:tc>
        <w:tc>
          <w:tcPr>
            <w:tcW w:w="24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87,282,094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89,327,307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92,039,132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87,282,094</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92,039,132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17,656,273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19,699,940</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20,802,017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17,656,273</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20,802,017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5.26%</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5.36%</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 bps</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Net interest margin after provisions *</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 bps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 bps</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Funding cost *</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 bps</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 bps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 bps</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ROAA</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Delinquency ratio over 90 days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2.85%</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2.99%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2.93%</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-6 bps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 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2.85%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2.93%</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 bps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 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 bps</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2.32%</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-47 bps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-26 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2.04%</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2.07%</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540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157.3%</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440 bps</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Coverage of NPLs</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115.5%</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117.7%</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 bps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117.7%</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 bps</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(4) *</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44.1%</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41.8%</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43.8%</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200 bps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-30 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43.3%</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42.8%</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Total average assets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 bps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 (6)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140 bps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910 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 bps</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57.6%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59.9%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59.1%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-80 bps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150 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57.5%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59.5%</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Underwriting result / net earned premiums </w:t>
            </w:r>
            <w:r>
              <w:rPr>
                <w:rFonts w:ascii="Arial" w:cs="Arial" w:eastAsia="Arial" w:hAnsi="Arial"/>
                <w:sz w:val="21"/>
                <w:szCs w:val="21"/>
                <w:color w:val="auto"/>
                <w:vertAlign w:val="superscript"/>
              </w:rPr>
              <w:t>(6)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 bps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-650 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-590 bps</w:t>
            </w:r>
          </w:p>
        </w:tc>
        <w:tc>
          <w:tcPr>
            <w:tcW w:w="0" w:type="dxa"/>
            <w:vAlign w:val="bottom"/>
          </w:tcPr>
          <w:p>
            <w:pPr>
              <w:spacing w:after="0"/>
              <w:rPr>
                <w:sz w:val="1"/>
                <w:szCs w:val="1"/>
                <w:color w:val="auto"/>
              </w:rPr>
            </w:pPr>
          </w:p>
        </w:tc>
      </w:tr>
      <w:tr>
        <w:trPr>
          <w:trHeight w:val="169"/>
        </w:trPr>
        <w:tc>
          <w:tcPr>
            <w:tcW w:w="3580" w:type="dxa"/>
            <w:vAlign w:val="bottom"/>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(7)</w:t>
            </w: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Capital (S/ Million) </w:t>
            </w:r>
            <w:r>
              <w:rPr>
                <w:rFonts w:ascii="Arial" w:cs="Arial" w:eastAsia="Arial" w:hAnsi="Arial"/>
                <w:sz w:val="21"/>
                <w:szCs w:val="21"/>
                <w:color w:val="auto"/>
                <w:vertAlign w:val="superscript"/>
              </w:rPr>
              <w:t>(8)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11,806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11,807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10,794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11,807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(9)</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10.20%</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10.92%</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11.54%</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62 bps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134 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10.20%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11.54%</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134 bps</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 bps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 bps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 bps</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Employees</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33,481</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33,230</w:t>
            </w:r>
          </w:p>
        </w:tc>
        <w:tc>
          <w:tcPr>
            <w:tcW w:w="24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33,343</w:t>
            </w:r>
          </w:p>
        </w:tc>
        <w:tc>
          <w:tcPr>
            <w:tcW w:w="240" w:type="dxa"/>
            <w:vAlign w:val="bottom"/>
            <w:vMerge w:val="continue"/>
          </w:tcPr>
          <w:p>
            <w:pPr>
              <w:spacing w:after="0"/>
              <w:rPr>
                <w:sz w:val="12"/>
                <w:szCs w:val="12"/>
                <w:color w:val="auto"/>
              </w:rPr>
            </w:pPr>
          </w:p>
        </w:tc>
        <w:tc>
          <w:tcPr>
            <w:tcW w:w="9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-0.4%</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33,481</w:t>
            </w:r>
          </w:p>
        </w:tc>
        <w:tc>
          <w:tcPr>
            <w:tcW w:w="24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33,343</w:t>
            </w:r>
          </w:p>
        </w:tc>
        <w:tc>
          <w:tcPr>
            <w:tcW w:w="240" w:type="dxa"/>
            <w:vAlign w:val="bottom"/>
            <w:vMerge w:val="continue"/>
          </w:tcPr>
          <w:p>
            <w:pPr>
              <w:spacing w:after="0"/>
              <w:rPr>
                <w:sz w:val="12"/>
                <w:szCs w:val="12"/>
                <w:color w:val="auto"/>
              </w:rPr>
            </w:pP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Outstanding Shares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Floating Shares </w:t>
            </w:r>
            <w:r>
              <w:rPr>
                <w:rFonts w:ascii="Arial" w:cs="Arial" w:eastAsia="Arial" w:hAnsi="Arial"/>
                <w:sz w:val="21"/>
                <w:szCs w:val="21"/>
                <w:color w:val="auto"/>
                <w:vertAlign w:val="superscript"/>
              </w:rPr>
              <w:t>(11)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Treasury Shares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14,621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14,621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14,621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14,621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14,621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40" w:firstLine="8"/>
        <w:spacing w:after="0" w:line="258"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 show the net gain in derivatives and the result by difference in exchange.</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(1)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(2)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Cost of risk: Annualized provision for loan losses / Total loans.</w:t>
      </w:r>
    </w:p>
    <w:p>
      <w:pPr>
        <w:spacing w:after="0" w:line="9" w:lineRule="exact"/>
        <w:rPr>
          <w:rFonts w:ascii="Arial" w:cs="Arial" w:eastAsia="Arial" w:hAnsi="Arial"/>
          <w:sz w:val="18"/>
          <w:szCs w:val="18"/>
          <w:color w:val="auto"/>
        </w:rPr>
      </w:pPr>
    </w:p>
    <w:p>
      <w:pPr>
        <w:ind w:right="160"/>
        <w:spacing w:after="0" w:line="250" w:lineRule="auto"/>
        <w:rPr>
          <w:rFonts w:ascii="Arial" w:cs="Arial" w:eastAsia="Arial" w:hAnsi="Arial"/>
          <w:sz w:val="18"/>
          <w:szCs w:val="18"/>
          <w:color w:val="auto"/>
        </w:rPr>
      </w:pPr>
      <w:r>
        <w:rPr>
          <w:rFonts w:ascii="Arial" w:cs="Arial" w:eastAsia="Arial" w:hAnsi="Arial"/>
          <w:sz w:val="18"/>
          <w:szCs w:val="18"/>
          <w:color w:val="auto"/>
        </w:rPr>
        <w:t>(4) Calculation has been adjusted, for more detail see Appendix 11.9. Efficiency ratio = (Total operating expenses + Acquisition cost - Other operating expenses) / (Net interest income + Fee income + Gain on foreign exchange transactions + Result on exchange difference +Net gain on derivatives +Net gain from associates +</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Net premiums earned.)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(5) Combined ratio= (Net claims + General expenses + Fees + Underwriting expenses) / Net earned premiums. Does not include Life insurance business.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All Capital ratios are for BCP Stand-alone and based on Peru GAAP</w:t>
      </w:r>
    </w:p>
    <w:p>
      <w:pPr>
        <w:spacing w:after="0" w:line="9" w:lineRule="exact"/>
        <w:rPr>
          <w:rFonts w:ascii="Arial" w:cs="Arial" w:eastAsia="Arial" w:hAnsi="Arial"/>
          <w:sz w:val="18"/>
          <w:szCs w:val="18"/>
          <w:color w:val="auto"/>
        </w:rPr>
      </w:pPr>
    </w:p>
    <w:p>
      <w:pPr>
        <w:ind w:right="400"/>
        <w:spacing w:after="0" w:line="265" w:lineRule="auto"/>
        <w:rPr>
          <w:rFonts w:ascii="Arial" w:cs="Arial" w:eastAsia="Arial" w:hAnsi="Arial"/>
          <w:sz w:val="18"/>
          <w:szCs w:val="18"/>
          <w:color w:val="auto"/>
        </w:rPr>
      </w:pPr>
      <w:r>
        <w:rPr>
          <w:rFonts w:ascii="Arial" w:cs="Arial" w:eastAsia="Arial" w:hAnsi="Arial"/>
          <w:sz w:val="17"/>
          <w:szCs w:val="17"/>
          <w:color w:val="auto"/>
        </w:rPr>
        <w:t>(8) 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(9) Common Equity Tier I = Capital + Reserves – 100% of applicable deductions (investment in subsidiaries, goodwill, intangibles and net deferred taxes that rely on future profitability) + retained earnings + unrealized gains.</w:t>
      </w:r>
    </w:p>
    <w:p>
      <w:pPr>
        <w:spacing w:after="0"/>
        <w:rPr>
          <w:rFonts w:ascii="Arial" w:cs="Arial" w:eastAsia="Arial" w:hAnsi="Arial"/>
          <w:sz w:val="18"/>
          <w:szCs w:val="18"/>
          <w:color w:val="auto"/>
        </w:rPr>
      </w:pPr>
      <w:r>
        <w:rPr>
          <w:rFonts w:ascii="Arial" w:cs="Arial" w:eastAsia="Arial" w:hAnsi="Arial"/>
          <w:sz w:val="18"/>
          <w:szCs w:val="18"/>
          <w:color w:val="auto"/>
        </w:rPr>
        <w:t>(10) Regulatory Capital / Risk-weighted assets (legal minimum = 10% since July 2011)</w:t>
      </w:r>
    </w:p>
    <w:p>
      <w:pPr>
        <w:spacing w:after="0" w:line="9" w:lineRule="exact"/>
        <w:rPr>
          <w:rFonts w:ascii="Arial" w:cs="Arial" w:eastAsia="Arial" w:hAnsi="Arial"/>
          <w:sz w:val="18"/>
          <w:szCs w:val="18"/>
          <w:color w:val="auto"/>
        </w:rPr>
      </w:pPr>
    </w:p>
    <w:p>
      <w:pPr>
        <w:ind w:right="260"/>
        <w:spacing w:after="0" w:line="323" w:lineRule="auto"/>
        <w:rPr>
          <w:rFonts w:ascii="Arial" w:cs="Arial" w:eastAsia="Arial" w:hAnsi="Arial"/>
          <w:sz w:val="18"/>
          <w:szCs w:val="18"/>
          <w:color w:val="auto"/>
        </w:rPr>
      </w:pPr>
      <w:r>
        <w:rPr>
          <w:rFonts w:ascii="Arial" w:cs="Arial" w:eastAsia="Arial" w:hAnsi="Arial"/>
          <w:sz w:val="16"/>
          <w:szCs w:val="16"/>
          <w:color w:val="auto"/>
        </w:rPr>
        <w:t>(11) It includes common shares directly or indirectly owned by Dionisio Romero Paoletti (Chairman of the Board) and his family or companies owned or controlled by them. As of February 8, 2017, Romero family owned 13,243,553 common shares and as of February 8, 2017, they owned 13,137,638 shares.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Credicorp reported net income of S/ 920.2 million, which represents ROAE and ROAA of 18.2% and 2.3%, respectively. 2Q17 was characterized by (i) low economic growth and less dynamic internal demand, (ii) a contraction in private investment and (iii) low demand for credit, which led to more aggressive competition in some segments. This created a scenario in which the banking business, Credicorp’s main business, is less dynamic that its true potential suggests.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Thus, Credicorp’s net income increased +8.4% YTD. This result represents ROAE of 17.9%, which fell below the 19.8% reported in 1H16. ROAA was situated at 2.3%, which topped the 2.1% registered in 1H16.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the group’s most profitable asset, maintained a stable share of IEA and reported growth of +1.4% QoQ in line with higher loan volumes at BCP Bolivia, Retail Banking, Middle-Market Banking and Mibanco, all of which offset the contraction in loans at Corporate Banking. The slight QoQ loan growth attenuated the contraction reported in 1Q17, leading total loans to contract only -1.2% YTD.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for business segments, in average daily balances, reported growth of only +0.3%. This level was lower than that registered in quarter-end balances (+1.4%) QoQ, which recovered toward the end of the quarter due primarily to growth at BCP Bolivia and in the segments (i) Middle Market Banking, due to loan expansion in FC, which was in line with an increase in financing for the first fishing season; ii) SME-Pyme, in line with loan expansion in LC; and (iii) Mortgage, which was due primarily to higher balances in the LC portfolio. The aforementioned, coupled with aggressive competition, mainly in the Corporate Banking segment, affected interest income generation on loans.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NII fell -2.2% QoQ, primarily due to lower dividend income, which hit a peak in 1Q of every year. In the YoY evolution, which eliminates the seasonal effect, NII grew +3.6% YoY and +3.8% YTD due to higher interest income on securities and on loans, which offset moderate growth in average IEA and in interest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environment marked by high competition and low dynamism that has characterized the first half of the year, NIM on loans continued to experience downward pressure while NIM after provisions improved +10 bps QoQ, +24 bps YoY and + 4 bps YTD, mainly due to the reduction in net provisions for loan losses and higher profitability from other assets.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Credicorp’s funding cost increased +2 bps QoQ due to higher growth in interest expenses than in total average liabilities due to an increase in the level of deposits, mainly time deposits in FC, and from Wholesale Banking’s clients of BCP Stand-alone and, to a lesser extent, from BCP Bolivia.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L/D ratio at Credicorp fell QoQ to situate at 101.8% due to a decrease in this ratio at the main banking subsidiary, BCP Stand-alone. This was attributable to +2.4% QoQ growth in total deposits versus +1.4% QoQ loan growth. In the QoQ analysis of the L/D ratio by currency, a reduction in the L/D ratio for LC and FC at Credicorp is evident, which was due mainly to growth in deposits in both currencies.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terms of portfolio quality, in 2Q17 traditional delinquency ratios fell with regard to 1Q17’s level (-6 bps in the internal overdue ratio and -2 bps in the NPL ratio), mainly due to the contraction in the internal overdue loan portfolio that was associated with an increase in refinanced loans and charge-offs. The cost of risk fell -47 bps QoQ and -26 bps YoY to situate at 1.85%. This was due mainly to a decrease in provisions for FEN and construction companies and, to a lesser extent, to a decrease in provisions required by the underlying loan book of the vast majority of business segments. In this context, the CoR was situated at 2.07% in 1H17, which was similar to the 2.04% reported in 1H16 despite the provisions set aside for FEN and construction companies in 1Q17.</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non-financial income registered growth QoQ due to an increase in fee income, which was attributable to higher fee income from the capital markets business at Credicorp Capital, and to an increase on gains on sales of securities at BCP Stand-alone. The YoY analysis reflects a slight contraction, which was primarily attributable to a drop in sales of securities and in foreign exchange transactions. Nevertheless, this decline was somewhat offset by the increase in fee income and in other non-financial income. Non-financial income increased YTD due to (i) growth in fee income from the banking business and investment banking, (ii) an increase in the net gain on investments in associates, (iii) the derivative result and (iv) the exchange rate difference. Nonetheless, this result was partially offset by the reduction in gains on foreign exchange transactions.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underwriting result increased +3.4% QoQ. This was due to a decrease in net claims and acquisition cost, which offset the slight reduction of net earned premiums. In YoY and accumulated terms, insurance underwriting results decreased mainly due to higher net claims, which include the negative impact of claims related to FEN that were registered mainly in 1Q.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operating efficiency ratio in 2Q17 grew QoQ- which was in line with seasonal factors that are present every 1Q when the ratio registers its lowest level in the year- and situated at 43.8%. This evolution was attributable to an increase in operating expenses and to the contraction in operating income. Nevertheless it is important to note that this result continues to reflect Credicorp’s adequate approach to spending control, particularly at BCP Stand-alone. The YoY evolution and YTD show that better results in terms of operating income generation offset the increase in operating expenses, which reduced the efficiency ratio from -30 bps YoY and -50 bps YTD.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in terms of capital, Credicorp maintained a comfortable capitalization level that at the end of 2Q17, represented 1.35 times the capital required by the regulator in Peru. With regard to the capitalization levels at BCP Stand-alone (Peruvian accounting GAAP) at the end of 2Q17, the BIS and Tier 1 ratios were situated at 16.71% and 11.75% respectively. These ratios registered lower levels than those posted in 1Q17 due to growth in risk-weighted assets (+0.2% QoQ), which was in line with slight loan growth QoQ. The Common Equity Tier 1 ratio rose to 11.54% at the end of June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 change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b w:val="1"/>
                <w:bCs w:val="1"/>
                <w:color w:val="auto"/>
                <w:w w:val="99"/>
              </w:rPr>
              <w:t>YTD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1Q17</w:t>
            </w:r>
          </w:p>
        </w:tc>
        <w:tc>
          <w:tcPr>
            <w:tcW w:w="2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2Q17</w:t>
            </w:r>
          </w:p>
        </w:tc>
        <w:tc>
          <w:tcPr>
            <w:tcW w:w="20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Jun 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Jun 17</w:t>
            </w:r>
          </w:p>
        </w:tc>
        <w:tc>
          <w:tcPr>
            <w:tcW w:w="12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Jun 17 / Jun 16</w:t>
            </w: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10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573,683</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692,162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721,572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1,325,767</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1,413,735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27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66,234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65,241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85,429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137,666</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150,669</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83,305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80,191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77,791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150,729</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157,981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39,846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38,545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80,256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26,367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14,513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26,486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43,174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41,000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47,999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83,664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9"/>
                <w:szCs w:val="29"/>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82,252</w:t>
            </w:r>
          </w:p>
        </w:tc>
        <w:tc>
          <w:tcPr>
            <w:tcW w:w="1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1,083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(14,187)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-1410.0%</w:t>
            </w: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(14,575)</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(13,106)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874,192</w:t>
            </w:r>
          </w:p>
        </w:tc>
        <w:tc>
          <w:tcPr>
            <w:tcW w:w="1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889,574</w:t>
            </w:r>
          </w:p>
        </w:tc>
        <w:tc>
          <w:tcPr>
            <w:tcW w:w="2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920,221</w:t>
            </w:r>
          </w:p>
        </w:tc>
        <w:tc>
          <w:tcPr>
            <w:tcW w:w="2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1,669,823</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1,809,795</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58"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Mibanco.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figure is lower than the net income of Mibanco because Credicorp owns 95.36% of Mibanco (directly and indirectly).</w:t>
      </w:r>
    </w:p>
    <w:p>
      <w:pPr>
        <w:spacing w:after="0" w:line="9" w:lineRule="exact"/>
        <w:rPr>
          <w:rFonts w:ascii="Arial" w:cs="Arial" w:eastAsia="Arial" w:hAnsi="Arial"/>
          <w:sz w:val="18"/>
          <w:szCs w:val="18"/>
          <w:color w:val="auto"/>
        </w:rPr>
      </w:pPr>
    </w:p>
    <w:p>
      <w:pPr>
        <w:ind w:right="540"/>
        <w:spacing w:after="0" w:line="250" w:lineRule="auto"/>
        <w:rPr>
          <w:rFonts w:ascii="Arial" w:cs="Arial" w:eastAsia="Arial" w:hAnsi="Arial"/>
          <w:sz w:val="18"/>
          <w:szCs w:val="18"/>
          <w:color w:val="auto"/>
        </w:rPr>
      </w:pPr>
      <w:r>
        <w:rPr>
          <w:rFonts w:ascii="Arial" w:cs="Arial" w:eastAsia="Arial" w:hAnsi="Arial"/>
          <w:sz w:val="18"/>
          <w:szCs w:val="18"/>
          <w:color w:val="auto"/>
        </w:rPr>
        <w:t>(3) The figure is lower than the net income before minority interest of Grupo Pacifico because Credicorp owns 98.68% of Grupo Pacifico (directly and indirectly).</w:t>
      </w: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(4) 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740"/>
              <w:spacing w:after="0"/>
              <w:rPr>
                <w:sz w:val="20"/>
                <w:szCs w:val="20"/>
                <w:color w:val="auto"/>
              </w:rPr>
            </w:pPr>
            <w:r>
              <w:rPr>
                <w:rFonts w:ascii="Arial" w:cs="Arial" w:eastAsia="Arial" w:hAnsi="Arial"/>
                <w:sz w:val="18"/>
                <w:szCs w:val="18"/>
                <w:b w:val="1"/>
                <w:bCs w:val="1"/>
                <w:color w:val="auto"/>
              </w:rPr>
              <w:t>YTD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ROAE *</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2Q16</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1Q17</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2Q17</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Jun 16</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 17</w:t>
            </w:r>
          </w:p>
        </w:tc>
        <w:tc>
          <w:tcPr>
            <w:tcW w:w="180" w:type="dxa"/>
            <w:vAlign w:val="bottom"/>
            <w:tcBorders>
              <w:bottom w:val="single" w:sz="8" w:color="CCEEFF"/>
            </w:tcBorders>
          </w:tcPr>
          <w:p>
            <w:pPr>
              <w:spacing w:after="0"/>
              <w:rPr>
                <w:sz w:val="20"/>
                <w:szCs w:val="20"/>
                <w:color w:val="auto"/>
              </w:rPr>
            </w:pPr>
          </w:p>
        </w:tc>
      </w:tr>
      <w:tr>
        <w:trPr>
          <w:trHeight w:val="250"/>
        </w:trPr>
        <w:tc>
          <w:tcPr>
            <w:tcW w:w="384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21.5%</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20.6%</w:t>
            </w:r>
          </w:p>
        </w:tc>
      </w:tr>
      <w:tr>
        <w:trPr>
          <w:trHeight w:val="257"/>
        </w:trPr>
        <w:tc>
          <w:tcPr>
            <w:tcW w:w="392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19.8%</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17.9%</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24.3%</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20.0%</w:t>
            </w:r>
          </w:p>
        </w:tc>
      </w:tr>
      <w:tr>
        <w:trPr>
          <w:trHeight w:val="21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BCB</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14.5%</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17.9%</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15.0%</w:t>
            </w:r>
          </w:p>
        </w:tc>
      </w:tr>
      <w:tr>
        <w:trPr>
          <w:trHeight w:val="257"/>
        </w:trPr>
        <w:tc>
          <w:tcPr>
            <w:tcW w:w="39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16.0%</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14.8%</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13.9%</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2"/>
                <w:szCs w:val="22"/>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13.9%</w:t>
            </w:r>
          </w:p>
        </w:tc>
      </w:tr>
      <w:tr>
        <w:trPr>
          <w:trHeight w:val="21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Prima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32.6%</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30.2%</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28.1%</w:t>
            </w:r>
          </w:p>
        </w:tc>
      </w:tr>
      <w:tr>
        <w:trPr>
          <w:trHeight w:val="216"/>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Credicorp Capital</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17.1%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13.4%</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10.5%</w:t>
            </w:r>
          </w:p>
        </w:tc>
      </w:tr>
      <w:tr>
        <w:trPr>
          <w:trHeight w:val="230"/>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Atlantic Security Bank</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22.4%</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20.1%</w:t>
            </w:r>
          </w:p>
        </w:tc>
      </w:tr>
      <w:tr>
        <w:trPr>
          <w:trHeight w:val="210"/>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Credicorp</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79"/>
              </w:rPr>
              <w:t>20.4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85"/>
              </w:rPr>
              <w:t>18.2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85"/>
              </w:rPr>
              <w:t>19.8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17.9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These figures differ from those previously reported; these ratios have been calculated using the total contribution of each subsidiary to Credicorp</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 Banco de Credito BCP includes BCP Stand-alone and Mibanco.</w:t>
      </w:r>
    </w:p>
    <w:p>
      <w:pPr>
        <w:spacing w:after="0" w:line="9" w:lineRule="exact"/>
        <w:rPr>
          <w:rFonts w:ascii="Arial" w:cs="Arial" w:eastAsia="Arial" w:hAnsi="Arial"/>
          <w:sz w:val="17"/>
          <w:szCs w:val="17"/>
          <w:color w:val="auto"/>
        </w:rPr>
      </w:pPr>
    </w:p>
    <w:p>
      <w:pPr>
        <w:ind w:right="1120"/>
        <w:spacing w:after="0" w:line="250" w:lineRule="auto"/>
        <w:rPr>
          <w:rFonts w:ascii="Arial" w:cs="Arial" w:eastAsia="Arial" w:hAnsi="Arial"/>
          <w:sz w:val="17"/>
          <w:szCs w:val="17"/>
          <w:color w:val="auto"/>
        </w:rPr>
      </w:pPr>
      <w:r>
        <w:rPr>
          <w:rFonts w:ascii="Arial" w:cs="Arial" w:eastAsia="Arial" w:hAnsi="Arial"/>
          <w:sz w:val="18"/>
          <w:szCs w:val="18"/>
          <w:color w:val="auto"/>
        </w:rPr>
        <w:t>(2) ROAE including goodwill of BCP from the acquisition of Edyficar (Approximately US$ 50.7 million) was 19.5% in 1Q16, 24.0% in 4Q16 and 16.3% in 1Q17.</w:t>
      </w:r>
    </w:p>
    <w:p>
      <w:pPr>
        <w:ind w:right="1560"/>
        <w:spacing w:after="0" w:line="261" w:lineRule="auto"/>
        <w:rPr>
          <w:rFonts w:ascii="Arial" w:cs="Arial" w:eastAsia="Arial" w:hAnsi="Arial"/>
          <w:sz w:val="17"/>
          <w:szCs w:val="17"/>
          <w:color w:val="auto"/>
        </w:rPr>
      </w:pPr>
      <w:r>
        <w:rPr>
          <w:rFonts w:ascii="Arial" w:cs="Arial" w:eastAsia="Arial" w:hAnsi="Arial"/>
          <w:sz w:val="18"/>
          <w:szCs w:val="18"/>
          <w:color w:val="auto"/>
        </w:rPr>
        <w:t>(3) Figures include unrealized gains or losses that are considered in Pacifico’s Net Equity from the investment portfolio of Pacifico Vida. ROAE excluding such unrealized gains was 15.5% in 1Q16, 12.9% in 4Q16 and 17.4% in 1Q17.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IEA grew QoQ and YoY. This was due primarily to growth in loans, our most important and profitable asset, and to the increase in investments available for sale. It is important to note that QoQ loan growth helped offset the effect of a -2.5% contraction in 1Q17. Accordingly, the loan book decreased -1.2% YTD.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 16</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17</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27,776,938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24,829,640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25,361,757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54,950</w:t>
            </w:r>
          </w:p>
        </w:tc>
        <w:tc>
          <w:tcPr>
            <w:tcW w:w="1000" w:type="dxa"/>
            <w:vAlign w:val="bottom"/>
          </w:tcPr>
          <w:p>
            <w:pPr>
              <w:jc w:val="right"/>
              <w:spacing w:after="0"/>
              <w:rPr>
                <w:sz w:val="20"/>
                <w:szCs w:val="20"/>
                <w:color w:val="auto"/>
              </w:rPr>
            </w:pPr>
            <w:r>
              <w:rPr>
                <w:rFonts w:ascii="Arial" w:cs="Arial" w:eastAsia="Arial" w:hAnsi="Arial"/>
                <w:sz w:val="18"/>
                <w:szCs w:val="18"/>
                <w:color w:val="auto"/>
              </w:rPr>
              <w:t>270,032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227,212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3,383,545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5,248,004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4,686,995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18,188,377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21,031,475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22,016,939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4,288,379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5,086,185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7"/>
        </w:trPr>
        <w:tc>
          <w:tcPr>
            <w:tcW w:w="37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91,655,366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92,414,588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93,670,218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145,347,555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148,830,088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151,049,306</w:t>
            </w:r>
          </w:p>
        </w:tc>
        <w:tc>
          <w:tcPr>
            <w:tcW w:w="1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the most profitable asset, maintained a stable share of total IEA (62.0% in 2Q17 vs. 62.1% in 1Q17).</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Loans registered nominal growth QoQ of +1.4% and a currency-adjusted growth rate of +1.3% in a context in which the Sol depreciated only 0.15% QoQ with regard to the US Dollar and the dollarization level was situated at 42.0%. Loan growth at Credicorp was attributable primarily to:</w:t>
      </w:r>
    </w:p>
    <w:p>
      <w:pPr>
        <w:spacing w:after="0" w:line="147" w:lineRule="exact"/>
        <w:rPr>
          <w:sz w:val="20"/>
          <w:szCs w:val="20"/>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growth of +4.7% QoQ at BCP Bolivia;</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expansion in the Middle-Market Banking, SME-Pyme and Mortgage segments at BCP Stand-alone;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growth of +1.6% at Mibanco.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partially offset by a decrease in loans in Corporate Banking and Credit Cards at BCP Stand-alone.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YoY analysis shows a slight recovery of +2.2% in loan growth. This figure topped that reported last quarter (+1.0%). Currency-adjusted growth was +2.7%, which was in line with the depreciation of -1.09% YoY in the Sol. It is important to note that loan expansion at BCP Bolivia (+16.4%) and Mibanco (+8.7%) attenuated low growth in loans at BCP Stand-alone.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grew +1.5% QoQ. This was due primarily to an increase in investment volumes at BCP Stand-alone, which was in turn due to growth in investments available for sale (+4.7% QoQ). The latter was related primarily to purchases of BCRP Certificates of Deposit (CDs). This offset the contraction of -10.7% QoQ in trading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increase of +22.9% in investments was due to growth in investments available for sale at BCP Stand-alone due to higher balances of BCRP CDs, as well as to an increase in held-to-maturity investments at BCP Stand-alone.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is in line with the investment strategy, which seeks to maximize the profitability of IEAs to attenuate low loan growth.</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BCRP and other banks grew +2.1% QoQ due to higher volumes at BCRP. The latter was the result of higher reserve requirements due to growth in deposits at BCP Stand-alone. This was partially offset by a decrease in available funds due to BCRP repo agreements.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YoY analysis, the -8.7% drop in BCRP and other banks was due to a decrease in BCRP reserve requirement following a reduction in the reserve rate in US Dollars, which went from 31.97% in May 2016 to 31.48% in May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TOTAL LOANS</w:t>
            </w:r>
          </w:p>
        </w:tc>
        <w:tc>
          <w:tcPr>
            <w:tcW w:w="16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9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5"/>
              </w:rPr>
              <w:t>% Part. in total loans</w:t>
            </w:r>
          </w:p>
        </w:tc>
      </w:tr>
      <w:tr>
        <w:trPr>
          <w:trHeight w:val="226"/>
        </w:trPr>
        <w:tc>
          <w:tcPr>
            <w:tcW w:w="4160" w:type="dxa"/>
            <w:vAlign w:val="bottom"/>
          </w:tcPr>
          <w:p>
            <w:pPr>
              <w:spacing w:after="0"/>
              <w:rPr>
                <w:sz w:val="19"/>
                <w:szCs w:val="19"/>
                <w:color w:val="auto"/>
              </w:rPr>
            </w:pPr>
          </w:p>
        </w:tc>
        <w:tc>
          <w:tcPr>
            <w:tcW w:w="2400" w:type="dxa"/>
            <w:vAlign w:val="bottom"/>
            <w:gridSpan w:val="6"/>
          </w:tcPr>
          <w:p>
            <w:pPr>
              <w:jc w:val="center"/>
              <w:ind w:right="180"/>
              <w:spacing w:after="0"/>
              <w:rPr>
                <w:sz w:val="20"/>
                <w:szCs w:val="20"/>
                <w:color w:val="auto"/>
              </w:rPr>
            </w:pPr>
            <w:r>
              <w:rPr>
                <w:rFonts w:ascii="Arial" w:cs="Arial" w:eastAsia="Arial" w:hAnsi="Arial"/>
                <w:sz w:val="18"/>
                <w:szCs w:val="18"/>
                <w:b w:val="1"/>
                <w:bCs w:val="1"/>
                <w:i w:val="1"/>
                <w:iCs w:val="1"/>
                <w:color w:val="auto"/>
                <w:w w:val="85"/>
              </w:rPr>
              <w:t>Expressed in million soles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2Q16</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1Q17</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2Q16</w:t>
            </w:r>
          </w:p>
        </w:tc>
        <w:tc>
          <w:tcPr>
            <w:tcW w:w="3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77,027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r>
      <w:tr>
        <w:trPr>
          <w:trHeight w:val="216"/>
        </w:trPr>
        <w:tc>
          <w:tcPr>
            <w:tcW w:w="416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41,455</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40,704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40,456</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-0.6%</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44.7%</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w:t>
            </w:r>
          </w:p>
        </w:tc>
      </w:tr>
      <w:tr>
        <w:trPr>
          <w:trHeight w:val="216"/>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28,178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26,653</w:t>
            </w:r>
          </w:p>
        </w:tc>
        <w:tc>
          <w:tcPr>
            <w:tcW w:w="880" w:type="dxa"/>
            <w:vAlign w:val="bottom"/>
            <w:gridSpan w:val="2"/>
            <w:shd w:val="clear" w:color="auto" w:fill="FCD5B4"/>
          </w:tcPr>
          <w:p>
            <w:pPr>
              <w:jc w:val="right"/>
              <w:ind w:right="5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-5.4%</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Middle - Market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13,277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13,607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13,803</w:t>
            </w: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4.0%</w:t>
            </w: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14.3%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4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34,700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35,583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35,723</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1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SME - Business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4,230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4,448</w:t>
            </w:r>
          </w:p>
        </w:tc>
        <w:tc>
          <w:tcPr>
            <w:tcW w:w="600" w:type="dxa"/>
            <w:vAlign w:val="bottom"/>
          </w:tcPr>
          <w:p>
            <w:pPr>
              <w:jc w:val="right"/>
              <w:spacing w:after="0"/>
              <w:rPr>
                <w:sz w:val="20"/>
                <w:szCs w:val="20"/>
                <w:color w:val="auto"/>
              </w:rPr>
            </w:pPr>
            <w:r>
              <w:rPr>
                <w:rFonts w:ascii="Arial" w:cs="Arial" w:eastAsia="Arial" w:hAnsi="Arial"/>
                <w:sz w:val="18"/>
                <w:szCs w:val="18"/>
                <w:color w:val="auto"/>
              </w:rPr>
              <w:t>4,433</w:t>
            </w:r>
          </w:p>
        </w:tc>
        <w:tc>
          <w:tcPr>
            <w:tcW w:w="2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SME - Pyme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6.7%</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Mortgage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12,383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12,430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12,584</w:t>
            </w:r>
          </w:p>
        </w:tc>
        <w:tc>
          <w:tcPr>
            <w:tcW w:w="8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13.4%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Credit Card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4,269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4,404</w:t>
            </w:r>
          </w:p>
        </w:tc>
        <w:tc>
          <w:tcPr>
            <w:tcW w:w="600" w:type="dxa"/>
            <w:vAlign w:val="bottom"/>
          </w:tcPr>
          <w:p>
            <w:pPr>
              <w:jc w:val="right"/>
              <w:spacing w:after="0"/>
              <w:rPr>
                <w:sz w:val="20"/>
                <w:szCs w:val="20"/>
                <w:color w:val="auto"/>
              </w:rPr>
            </w:pPr>
            <w:r>
              <w:rPr>
                <w:rFonts w:ascii="Arial" w:cs="Arial" w:eastAsia="Arial" w:hAnsi="Arial"/>
                <w:sz w:val="18"/>
                <w:szCs w:val="18"/>
                <w:color w:val="auto"/>
              </w:rPr>
              <w:t>4,283</w:t>
            </w:r>
          </w:p>
        </w:tc>
        <w:tc>
          <w:tcPr>
            <w:tcW w:w="2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41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736</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1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8,002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8,593</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8,689</w:t>
            </w:r>
          </w:p>
        </w:tc>
        <w:tc>
          <w:tcPr>
            <w:tcW w:w="20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8.6%</w:t>
            </w:r>
          </w:p>
        </w:tc>
        <w:tc>
          <w:tcPr>
            <w:tcW w:w="1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8.6%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4,864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5D9F1"/>
          </w:tcPr>
          <w:p>
            <w:pPr>
              <w:jc w:val="right"/>
              <w:ind w:right="10"/>
              <w:spacing w:after="0"/>
              <w:rPr>
                <w:sz w:val="20"/>
                <w:szCs w:val="20"/>
                <w:color w:val="auto"/>
              </w:rPr>
            </w:pPr>
            <w:r>
              <w:rPr>
                <w:rFonts w:ascii="Arial" w:cs="Arial" w:eastAsia="Arial" w:hAnsi="Arial"/>
                <w:sz w:val="18"/>
                <w:szCs w:val="18"/>
                <w:b w:val="1"/>
                <w:bCs w:val="1"/>
                <w:color w:val="auto"/>
              </w:rPr>
              <w:t>6.2%</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17.5%</w:t>
            </w:r>
          </w:p>
        </w:tc>
        <w:tc>
          <w:tcPr>
            <w:tcW w:w="11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2,862</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-0.6%</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1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3.2%</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92,689</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93,865</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94,164</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11"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line="23"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00" w:type="dxa"/>
            <w:vAlign w:val="bottom"/>
            <w:gridSpan w:val="6"/>
          </w:tcPr>
          <w:p>
            <w:pPr>
              <w:jc w:val="center"/>
              <w:ind w:right="168"/>
              <w:spacing w:after="0"/>
              <w:rPr>
                <w:sz w:val="20"/>
                <w:szCs w:val="20"/>
                <w:color w:val="auto"/>
              </w:rPr>
            </w:pPr>
            <w:r>
              <w:rPr>
                <w:rFonts w:ascii="Arial" w:cs="Arial" w:eastAsia="Arial" w:hAnsi="Arial"/>
                <w:sz w:val="14"/>
                <w:szCs w:val="14"/>
                <w:b w:val="1"/>
                <w:bCs w:val="1"/>
                <w:color w:val="auto"/>
              </w:rPr>
              <w:t xml:space="preserve">DOMESTIC CURRENCY LOANS </w:t>
            </w:r>
            <w:r>
              <w:rPr>
                <w:rFonts w:ascii="Arial" w:cs="Arial" w:eastAsia="Arial" w:hAnsi="Arial"/>
                <w:sz w:val="23"/>
                <w:szCs w:val="23"/>
                <w:b w:val="1"/>
                <w:bCs w:val="1"/>
                <w:color w:val="auto"/>
                <w:vertAlign w:val="superscript"/>
              </w:rPr>
              <w:t>(1)</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6"/>
          </w:tcPr>
          <w:p>
            <w:pPr>
              <w:jc w:val="center"/>
              <w:ind w:right="188"/>
              <w:spacing w:after="0"/>
              <w:rPr>
                <w:sz w:val="20"/>
                <w:szCs w:val="20"/>
                <w:color w:val="auto"/>
              </w:rPr>
            </w:pPr>
            <w:r>
              <w:rPr>
                <w:rFonts w:ascii="Arial" w:cs="Arial" w:eastAsia="Arial" w:hAnsi="Arial"/>
                <w:sz w:val="14"/>
                <w:szCs w:val="14"/>
                <w:b w:val="1"/>
                <w:bCs w:val="1"/>
                <w:color w:val="auto"/>
              </w:rPr>
              <w:t xml:space="preserve">FOREIGN CURRENCY LOANS </w:t>
            </w:r>
            <w:r>
              <w:rPr>
                <w:rFonts w:ascii="Arial" w:cs="Arial" w:eastAsia="Arial" w:hAnsi="Arial"/>
                <w:sz w:val="23"/>
                <w:szCs w:val="23"/>
                <w:b w:val="1"/>
                <w:bCs w:val="1"/>
                <w:color w:val="auto"/>
                <w:vertAlign w:val="superscript"/>
              </w:rPr>
              <w:t>(1)</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 part. by currency</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center"/>
              <w:ind w:right="168"/>
              <w:spacing w:after="0"/>
              <w:rPr>
                <w:sz w:val="20"/>
                <w:szCs w:val="20"/>
                <w:color w:val="auto"/>
              </w:rPr>
            </w:pPr>
            <w:r>
              <w:rPr>
                <w:rFonts w:ascii="Arial" w:cs="Arial" w:eastAsia="Arial" w:hAnsi="Arial"/>
                <w:sz w:val="14"/>
                <w:szCs w:val="14"/>
                <w:b w:val="1"/>
                <w:bCs w:val="1"/>
                <w:i w:val="1"/>
                <w:iCs w:val="1"/>
                <w:color w:val="auto"/>
                <w:w w:val="89"/>
              </w:rPr>
              <w:t>Expressed in million Soles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jc w:val="center"/>
              <w:ind w:right="188"/>
              <w:spacing w:after="0"/>
              <w:rPr>
                <w:sz w:val="20"/>
                <w:szCs w:val="20"/>
                <w:color w:val="auto"/>
              </w:rPr>
            </w:pPr>
            <w:r>
              <w:rPr>
                <w:rFonts w:ascii="Arial" w:cs="Arial" w:eastAsia="Arial" w:hAnsi="Arial"/>
                <w:sz w:val="14"/>
                <w:szCs w:val="14"/>
                <w:b w:val="1"/>
                <w:bCs w:val="1"/>
                <w:i w:val="1"/>
                <w:iCs w:val="1"/>
                <w:color w:val="auto"/>
                <w:w w:val="91"/>
              </w:rPr>
              <w:t>Expressed in million USD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3"/>
              </w:rPr>
              <w:t>2Q17</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2Q16</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2Q17</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2Q16</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10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BCP Stand-</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49,461</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47,382</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46,871</w:t>
            </w:r>
          </w:p>
        </w:tc>
        <w:tc>
          <w:tcPr>
            <w:tcW w:w="9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9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8,261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9,081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9,227</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11.7%</w:t>
            </w:r>
          </w:p>
        </w:tc>
        <w:tc>
          <w:tcPr>
            <w:tcW w:w="10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60.9%</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39.1%</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alone</w:t>
            </w: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ind w:left="140"/>
              <w:spacing w:after="0" w:line="126" w:lineRule="exact"/>
              <w:rPr>
                <w:sz w:val="20"/>
                <w:szCs w:val="20"/>
                <w:color w:val="auto"/>
              </w:rPr>
            </w:pPr>
            <w:r>
              <w:rPr>
                <w:rFonts w:ascii="Arial" w:cs="Arial" w:eastAsia="Arial" w:hAnsi="Arial"/>
                <w:sz w:val="14"/>
                <w:szCs w:val="14"/>
                <w:b w:val="1"/>
                <w:bCs w:val="1"/>
                <w:color w:val="auto"/>
              </w:rPr>
              <w:t>Wholesale</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21,819</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18,797</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18,174</w:t>
            </w:r>
          </w:p>
        </w:tc>
        <w:tc>
          <w:tcPr>
            <w:tcW w:w="9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-3.3%</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-16.7%</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5,930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6,711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6,843</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2.0%</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15.4%</w:t>
            </w: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44.9%</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Banking</w:t>
            </w: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Corporate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14,735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12,051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11,479</w:t>
            </w:r>
          </w:p>
        </w:tc>
        <w:tc>
          <w:tcPr>
            <w:tcW w:w="920" w:type="dxa"/>
            <w:vAlign w:val="bottom"/>
            <w:gridSpan w:val="2"/>
            <w:shd w:val="clear" w:color="auto" w:fill="FCD5B4"/>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76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-22.1%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4,060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4,660</w:t>
            </w:r>
          </w:p>
        </w:tc>
        <w:tc>
          <w:tcPr>
            <w:tcW w:w="9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14.8%</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30"/>
        </w:trPr>
        <w:tc>
          <w:tcPr>
            <w:tcW w:w="1100" w:type="dxa"/>
            <w:vAlign w:val="bottom"/>
          </w:tcPr>
          <w:p>
            <w:pPr>
              <w:ind w:left="240"/>
              <w:spacing w:after="0" w:line="130" w:lineRule="exact"/>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shd w:val="clear" w:color="auto" w:fill="FCD5B4"/>
          </w:tcPr>
          <w:p>
            <w:pPr>
              <w:spacing w:after="0"/>
              <w:rPr>
                <w:sz w:val="11"/>
                <w:szCs w:val="11"/>
                <w:color w:val="auto"/>
              </w:rPr>
            </w:pPr>
          </w:p>
        </w:tc>
        <w:tc>
          <w:tcPr>
            <w:tcW w:w="160" w:type="dxa"/>
            <w:vAlign w:val="bottom"/>
            <w:shd w:val="clear" w:color="auto" w:fill="FCD5B4"/>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shd w:val="clear" w:color="auto" w:fill="C5D9F1"/>
          </w:tcPr>
          <w:p>
            <w:pPr>
              <w:spacing w:after="0"/>
              <w:rPr>
                <w:sz w:val="11"/>
                <w:szCs w:val="11"/>
                <w:color w:val="auto"/>
              </w:rPr>
            </w:pPr>
          </w:p>
        </w:tc>
        <w:tc>
          <w:tcPr>
            <w:tcW w:w="240" w:type="dxa"/>
            <w:vAlign w:val="bottom"/>
            <w:shd w:val="clear" w:color="auto" w:fill="C5D9F1"/>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240"/>
              <w:spacing w:after="0"/>
              <w:rPr>
                <w:sz w:val="20"/>
                <w:szCs w:val="20"/>
                <w:color w:val="auto"/>
              </w:rPr>
            </w:pPr>
            <w:r>
              <w:rPr>
                <w:rFonts w:ascii="Arial" w:cs="Arial" w:eastAsia="Arial" w:hAnsi="Arial"/>
                <w:sz w:val="14"/>
                <w:szCs w:val="14"/>
                <w:color w:val="auto"/>
              </w:rPr>
              <w:t>Market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7,084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6,746</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6,695</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-0.8%</w:t>
            </w:r>
          </w:p>
        </w:tc>
        <w:tc>
          <w:tcPr>
            <w:tcW w:w="760" w:type="dxa"/>
            <w:vAlign w:val="bottom"/>
            <w:gridSpan w:val="2"/>
            <w:shd w:val="clear" w:color="auto" w:fill="FCD5B4"/>
          </w:tcPr>
          <w:p>
            <w:pPr>
              <w:jc w:val="right"/>
              <w:spacing w:after="0"/>
              <w:rPr>
                <w:sz w:val="20"/>
                <w:szCs w:val="20"/>
                <w:color w:val="auto"/>
              </w:rPr>
            </w:pPr>
            <w:r>
              <w:rPr>
                <w:rFonts w:ascii="Arial" w:cs="Arial" w:eastAsia="Arial" w:hAnsi="Arial"/>
                <w:sz w:val="14"/>
                <w:szCs w:val="14"/>
                <w:color w:val="auto"/>
              </w:rPr>
              <w:t>-5.5%</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1,870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2,102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2,183</w:t>
            </w:r>
          </w:p>
        </w:tc>
        <w:tc>
          <w:tcPr>
            <w:tcW w:w="900" w:type="dxa"/>
            <w:vAlign w:val="bottom"/>
            <w:gridSpan w:val="2"/>
            <w:shd w:val="clear" w:color="auto" w:fill="C5D9F1"/>
          </w:tcPr>
          <w:p>
            <w:pPr>
              <w:jc w:val="right"/>
              <w:ind w:right="48"/>
              <w:spacing w:after="0"/>
              <w:rPr>
                <w:sz w:val="20"/>
                <w:szCs w:val="20"/>
                <w:color w:val="auto"/>
              </w:rPr>
            </w:pPr>
            <w:r>
              <w:rPr>
                <w:rFonts w:ascii="Arial" w:cs="Arial" w:eastAsia="Arial" w:hAnsi="Arial"/>
                <w:sz w:val="14"/>
                <w:szCs w:val="14"/>
                <w:color w:val="auto"/>
              </w:rPr>
              <w:t>3.9%</w:t>
            </w:r>
          </w:p>
        </w:tc>
        <w:tc>
          <w:tcPr>
            <w:tcW w:w="76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16.7%</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48.5%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ind w:left="140"/>
              <w:spacing w:after="0" w:line="126" w:lineRule="exact"/>
              <w:rPr>
                <w:sz w:val="20"/>
                <w:szCs w:val="20"/>
                <w:color w:val="auto"/>
              </w:rPr>
            </w:pPr>
            <w:r>
              <w:rPr>
                <w:rFonts w:ascii="Arial" w:cs="Arial" w:eastAsia="Arial" w:hAnsi="Arial"/>
                <w:sz w:val="14"/>
                <w:szCs w:val="14"/>
                <w:b w:val="1"/>
                <w:bCs w:val="1"/>
                <w:color w:val="auto"/>
              </w:rPr>
              <w:t>Retail</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27,419</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28,256</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28,366</w:t>
            </w:r>
          </w:p>
        </w:tc>
        <w:tc>
          <w:tcPr>
            <w:tcW w:w="9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9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2,199</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2,244</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2,259</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0.7%</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79.4%</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Banking</w:t>
            </w: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ind w:left="240"/>
              <w:spacing w:after="0" w:line="130" w:lineRule="exact"/>
              <w:rPr>
                <w:sz w:val="20"/>
                <w:szCs w:val="20"/>
                <w:color w:val="auto"/>
              </w:rPr>
            </w:pPr>
            <w:r>
              <w:rPr>
                <w:rFonts w:ascii="Arial" w:cs="Arial" w:eastAsia="Arial" w:hAnsi="Arial"/>
                <w:sz w:val="14"/>
                <w:szCs w:val="14"/>
                <w:color w:val="auto"/>
              </w:rPr>
              <w:t>SME -</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00" w:type="dxa"/>
            <w:vAlign w:val="bottom"/>
          </w:tcPr>
          <w:p>
            <w:pPr>
              <w:ind w:left="240"/>
              <w:spacing w:after="0"/>
              <w:rPr>
                <w:sz w:val="20"/>
                <w:szCs w:val="20"/>
                <w:color w:val="auto"/>
              </w:rPr>
            </w:pPr>
            <w:r>
              <w:rPr>
                <w:rFonts w:ascii="Arial" w:cs="Arial" w:eastAsia="Arial" w:hAnsi="Arial"/>
                <w:sz w:val="14"/>
                <w:szCs w:val="14"/>
                <w:color w:val="auto"/>
              </w:rPr>
              <w:t>Business</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2,027</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2,147</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2,117</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-1.4%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665</w:t>
            </w:r>
          </w:p>
        </w:tc>
        <w:tc>
          <w:tcPr>
            <w:tcW w:w="660" w:type="dxa"/>
            <w:vAlign w:val="bottom"/>
          </w:tcPr>
          <w:p>
            <w:pPr>
              <w:jc w:val="right"/>
              <w:spacing w:after="0"/>
              <w:rPr>
                <w:sz w:val="20"/>
                <w:szCs w:val="20"/>
                <w:color w:val="auto"/>
              </w:rPr>
            </w:pPr>
            <w:r>
              <w:rPr>
                <w:rFonts w:ascii="Arial" w:cs="Arial" w:eastAsia="Arial" w:hAnsi="Arial"/>
                <w:sz w:val="14"/>
                <w:szCs w:val="14"/>
                <w:color w:val="auto"/>
              </w:rPr>
              <w:t>705</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711</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0.9%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47.8%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SME - Pyme</w:t>
            </w:r>
          </w:p>
        </w:tc>
        <w:tc>
          <w:tcPr>
            <w:tcW w:w="8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6,991</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7,419</w:t>
            </w:r>
          </w:p>
        </w:tc>
        <w:tc>
          <w:tcPr>
            <w:tcW w:w="8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7,599</w:t>
            </w:r>
          </w:p>
        </w:tc>
        <w:tc>
          <w:tcPr>
            <w:tcW w:w="920" w:type="dxa"/>
            <w:vAlign w:val="bottom"/>
            <w:gridSpan w:val="2"/>
            <w:shd w:val="clear" w:color="auto" w:fill="C5D9F1"/>
          </w:tcPr>
          <w:p>
            <w:pPr>
              <w:jc w:val="right"/>
              <w:ind w:right="48"/>
              <w:spacing w:after="0" w:line="130" w:lineRule="exact"/>
              <w:rPr>
                <w:sz w:val="20"/>
                <w:szCs w:val="20"/>
                <w:color w:val="auto"/>
              </w:rPr>
            </w:pPr>
            <w:r>
              <w:rPr>
                <w:rFonts w:ascii="Arial" w:cs="Arial" w:eastAsia="Arial" w:hAnsi="Arial"/>
                <w:sz w:val="14"/>
                <w:szCs w:val="14"/>
                <w:color w:val="auto"/>
              </w:rPr>
              <w:t>2.4%</w:t>
            </w:r>
          </w:p>
        </w:tc>
        <w:tc>
          <w:tcPr>
            <w:tcW w:w="76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8.7%</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130</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-7.0%</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-23.9%</w:t>
            </w:r>
          </w:p>
        </w:tc>
        <w:tc>
          <w:tcPr>
            <w:tcW w:w="10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95.9%</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1100" w:type="dxa"/>
            <w:vAlign w:val="bottom"/>
          </w:tcPr>
          <w:p>
            <w:pPr>
              <w:ind w:left="240"/>
              <w:spacing w:after="0" w:line="149" w:lineRule="exact"/>
              <w:rPr>
                <w:sz w:val="20"/>
                <w:szCs w:val="20"/>
                <w:color w:val="auto"/>
              </w:rPr>
            </w:pPr>
            <w:r>
              <w:rPr>
                <w:rFonts w:ascii="Arial" w:cs="Arial" w:eastAsia="Arial" w:hAnsi="Arial"/>
                <w:sz w:val="14"/>
                <w:szCs w:val="14"/>
                <w:color w:val="auto"/>
              </w:rPr>
              <w:t>Mortgage</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9,101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9,260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9,413</w:t>
            </w:r>
          </w:p>
        </w:tc>
        <w:tc>
          <w:tcPr>
            <w:tcW w:w="92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76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3.4%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991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974</w:t>
            </w:r>
          </w:p>
        </w:tc>
        <w:tc>
          <w:tcPr>
            <w:tcW w:w="2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74.8%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Consumer</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5,479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5,518</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5,471</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1100" w:type="dxa"/>
            <w:vAlign w:val="bottom"/>
          </w:tcPr>
          <w:p>
            <w:pPr>
              <w:ind w:left="240"/>
              <w:spacing w:after="0" w:line="149" w:lineRule="exact"/>
              <w:rPr>
                <w:sz w:val="20"/>
                <w:szCs w:val="20"/>
                <w:color w:val="auto"/>
              </w:rPr>
            </w:pPr>
            <w:r>
              <w:rPr>
                <w:rFonts w:ascii="Arial" w:cs="Arial" w:eastAsia="Arial" w:hAnsi="Arial"/>
                <w:sz w:val="14"/>
                <w:szCs w:val="14"/>
                <w:color w:val="auto"/>
              </w:rPr>
              <w:t>Credit Card</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3,766</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87.9%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331</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48.4%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132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149"/>
        </w:trPr>
        <w:tc>
          <w:tcPr>
            <w:tcW w:w="11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Mibanco</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7,473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8,087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8,189</w:t>
            </w:r>
          </w:p>
        </w:tc>
        <w:tc>
          <w:tcPr>
            <w:tcW w:w="9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1.3%</w:t>
            </w:r>
          </w:p>
        </w:tc>
        <w:tc>
          <w:tcPr>
            <w:tcW w:w="76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160</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2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10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Bolivia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1,469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1,649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1,756</w:t>
            </w:r>
          </w:p>
        </w:tc>
        <w:tc>
          <w:tcPr>
            <w:tcW w:w="900" w:type="dxa"/>
            <w:vAlign w:val="bottom"/>
            <w:gridSpan w:val="2"/>
            <w:shd w:val="clear" w:color="auto" w:fill="C5D9F1"/>
          </w:tcPr>
          <w:p>
            <w:pPr>
              <w:jc w:val="right"/>
              <w:ind w:right="28"/>
              <w:spacing w:after="0" w:line="149" w:lineRule="exact"/>
              <w:rPr>
                <w:sz w:val="20"/>
                <w:szCs w:val="20"/>
                <w:color w:val="auto"/>
              </w:rPr>
            </w:pPr>
            <w:r>
              <w:rPr>
                <w:rFonts w:ascii="Arial" w:cs="Arial" w:eastAsia="Arial" w:hAnsi="Arial"/>
                <w:sz w:val="14"/>
                <w:szCs w:val="14"/>
                <w:b w:val="1"/>
                <w:bCs w:val="1"/>
                <w:color w:val="auto"/>
              </w:rPr>
              <w:t>6.5%</w:t>
            </w:r>
          </w:p>
        </w:tc>
        <w:tc>
          <w:tcPr>
            <w:tcW w:w="76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10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ASB</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908</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873</w:t>
            </w:r>
          </w:p>
        </w:tc>
        <w:tc>
          <w:tcPr>
            <w:tcW w:w="220" w:type="dxa"/>
            <w:vAlign w:val="bottom"/>
          </w:tcPr>
          <w:p>
            <w:pPr>
              <w:spacing w:after="0"/>
              <w:rPr>
                <w:sz w:val="14"/>
                <w:szCs w:val="14"/>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-0.4%</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-3.8%</w:t>
            </w:r>
          </w:p>
        </w:tc>
        <w:tc>
          <w:tcPr>
            <w:tcW w:w="10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loans</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56,934</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55,468</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55,060</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-0.7</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10,798</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11,762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12,010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58.5</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41.5</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Work out unit, and other banking.</w:t>
      </w:r>
    </w:p>
    <w:p>
      <w:pPr>
        <w:spacing w:after="0" w:line="225"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line="23"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26"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Loan measured in average daily balances may reflect a trend or variation that differs in magnitude from that of quarter-end balances given that the latter reflect pre-payments or loans placed at quarter-end, which affect quarterly average daily balances to a lesser extent.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average daily loan balances posted growth of only +0.3%, which falls below the expansion reported in quarter-end loan balances (+1.4%) given that the recovery of loan volume took place mainly towards the end of the quarter. In terms of average daily loan balances, the increase was due primarily to growth at BCP Bolivia and to expansion in Middle-Market Banking of Wholesale Banking, and in the SME-Pyme and Mortgage segments within Retail Banking.</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segment contracted QoQ due to a reduction in </w:t>
      </w:r>
      <w:r>
        <w:rPr>
          <w:rFonts w:ascii="Arial" w:cs="Arial" w:eastAsia="Arial" w:hAnsi="Arial"/>
          <w:sz w:val="18"/>
          <w:szCs w:val="18"/>
          <w:b w:val="1"/>
          <w:bCs w:val="1"/>
          <w:color w:val="auto"/>
        </w:rPr>
        <w:t>Corporate Banking’s</w:t>
      </w:r>
      <w:r>
        <w:rPr>
          <w:rFonts w:ascii="Arial" w:cs="Arial" w:eastAsia="Arial" w:hAnsi="Arial"/>
          <w:sz w:val="18"/>
          <w:szCs w:val="18"/>
          <w:color w:val="auto"/>
        </w:rPr>
        <w:t xml:space="preserve"> LC loan book</w:t>
      </w:r>
      <w:r>
        <w:rPr>
          <w:rFonts w:ascii="Arial" w:cs="Arial" w:eastAsia="Arial" w:hAnsi="Arial"/>
          <w:sz w:val="18"/>
          <w:szCs w:val="18"/>
          <w:b w:val="1"/>
          <w:bCs w:val="1"/>
          <w:color w:val="auto"/>
        </w:rPr>
        <w:t>,</w:t>
      </w:r>
      <w:r>
        <w:rPr>
          <w:rFonts w:ascii="Arial" w:cs="Arial" w:eastAsia="Arial" w:hAnsi="Arial"/>
          <w:sz w:val="18"/>
          <w:szCs w:val="18"/>
          <w:color w:val="auto"/>
        </w:rPr>
        <w:t xml:space="preserve"> which reflects, to a large extent, the aggressive competition that this segment has experienced since 2016. This was partially offset by:</w:t>
      </w:r>
    </w:p>
    <w:p>
      <w:pPr>
        <w:spacing w:after="0" w:line="162" w:lineRule="exact"/>
        <w:rPr>
          <w:sz w:val="20"/>
          <w:szCs w:val="20"/>
          <w:color w:val="auto"/>
        </w:rPr>
      </w:pPr>
    </w:p>
    <w:p>
      <w:pPr>
        <w:ind w:left="880" w:hanging="494"/>
        <w:spacing w:after="0" w:line="282"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Significant growth in </w:t>
      </w:r>
      <w:r>
        <w:rPr>
          <w:rFonts w:ascii="Arial" w:cs="Arial" w:eastAsia="Arial" w:hAnsi="Arial"/>
          <w:sz w:val="18"/>
          <w:szCs w:val="18"/>
          <w:b w:val="1"/>
          <w:bCs w:val="1"/>
          <w:color w:val="auto"/>
        </w:rPr>
        <w:t>Middle-Market Banking’s</w:t>
      </w:r>
      <w:r>
        <w:rPr>
          <w:rFonts w:ascii="Arial" w:cs="Arial" w:eastAsia="Arial" w:hAnsi="Arial"/>
          <w:sz w:val="18"/>
          <w:szCs w:val="18"/>
          <w:color w:val="auto"/>
        </w:rPr>
        <w:t xml:space="preserve"> FC loan book, which is related to loans granted for the first fishing season to clients with US dollar income generation; and</w:t>
      </w:r>
    </w:p>
    <w:p>
      <w:pPr>
        <w:spacing w:after="0" w:line="165" w:lineRule="exact"/>
        <w:rPr>
          <w:rFonts w:ascii="Arial" w:cs="Arial" w:eastAsia="Arial" w:hAnsi="Arial"/>
          <w:sz w:val="18"/>
          <w:szCs w:val="18"/>
          <w:color w:val="auto"/>
        </w:rPr>
      </w:pPr>
    </w:p>
    <w:p>
      <w:pPr>
        <w:ind w:left="880" w:hanging="49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Slight expansion in Corporate Banking’s FC loan book.</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Retail Banking</w:t>
      </w:r>
      <w:r>
        <w:rPr>
          <w:rFonts w:ascii="Arial" w:cs="Arial" w:eastAsia="Arial" w:hAnsi="Arial"/>
          <w:sz w:val="18"/>
          <w:szCs w:val="18"/>
          <w:color w:val="auto"/>
        </w:rPr>
        <w:t xml:space="preserve"> loan portfolio at BCP Stand-alone posted slight growth as a result of loan expansion in </w:t>
      </w:r>
      <w:r>
        <w:rPr>
          <w:rFonts w:ascii="Arial" w:cs="Arial" w:eastAsia="Arial" w:hAnsi="Arial"/>
          <w:sz w:val="18"/>
          <w:szCs w:val="18"/>
          <w:b w:val="1"/>
          <w:bCs w:val="1"/>
          <w:color w:val="auto"/>
        </w:rPr>
        <w:t>Pyme and Mortgage</w:t>
      </w:r>
      <w:r>
        <w:rPr>
          <w:rFonts w:ascii="Arial" w:cs="Arial" w:eastAsia="Arial" w:hAnsi="Arial"/>
          <w:sz w:val="18"/>
          <w:szCs w:val="18"/>
          <w:color w:val="auto"/>
        </w:rPr>
        <w:t>, the latter mainly in LC loans, all of which offset the loan contraction in Credit Cards. It is important to remember that Credit Card segment started posting delinquency levels above our risk appetite towards the end of 2015, and in response, a de-leverage process of clients has been executed, which has address the delinquency problem, although it has impacted negatively loan origination,.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posted more dynamic loan growth of +6.2% QoQ vs +1.4% in 1Q17 in average daily balances. This evolution was attributable to higher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Retail Banking segment due to the expansion in mortgage loans after the government set lower interest rates for financing in the regulated portfolio (productive sector and low-income housing), which must represent 60% of total loans by the end of 2018. The Wholesale Banking segment reported growth this quarter that was primarily attributable to loan expansion in Corporate Banking.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Loans at </w:t>
      </w:r>
      <w:r>
        <w:rPr>
          <w:rFonts w:ascii="Arial" w:cs="Arial" w:eastAsia="Arial" w:hAnsi="Arial"/>
          <w:sz w:val="18"/>
          <w:szCs w:val="18"/>
          <w:b w:val="1"/>
          <w:bCs w:val="1"/>
          <w:color w:val="auto"/>
        </w:rPr>
        <w:t>Mibanco</w:t>
      </w:r>
      <w:r>
        <w:rPr>
          <w:rFonts w:ascii="Arial" w:cs="Arial" w:eastAsia="Arial" w:hAnsi="Arial"/>
          <w:sz w:val="18"/>
          <w:szCs w:val="18"/>
          <w:color w:val="auto"/>
        </w:rPr>
        <w:t>, measured in average daily balances, increased +1.1% QoQ, which is noteworthy given the current context of low economic growth. As such, the speed of origination remains below this segment’s potential.</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Finally, the YoY analysis of total loans, measured in average daily balances, shows growth of approximately +1.6% that was led by BCP Bolivia, Mibanco, Middle Market Banking and SME-Pyme. YoY growth was due primarily to FC-loan expansion that offset the contraction in average daily loans in LC.</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1.2.2 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dollarization by Credicorp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146050</wp:posOffset>
            </wp:positionV>
            <wp:extent cx="5351145" cy="2512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114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6"/>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260" w:firstLine="4"/>
        <w:spacing w:after="0" w:line="261" w:lineRule="auto"/>
        <w:tabs>
          <w:tab w:leader="none" w:pos="5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BCP Stand-alone and Mibanco’s loan books.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YoY analysis of the evolution of dollarization shows an increase in Credicorp that is attributable to the higher level of dollarization at BCP Stand-alone and, to a lesser degree, to loan expansion at BCP Bolivia and ASB, which are included in FC loans. It is important to note that BCP Bolivia’s loans are denominated in Bolivian Pesos and as such, are included in Credicorp’s FC portfolio to calculate the “dollarization”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the chart above, which shows the dollarization level of all segments, is important to note that:</w:t>
      </w:r>
    </w:p>
    <w:p>
      <w:pPr>
        <w:spacing w:after="0" w:line="225" w:lineRule="exact"/>
        <w:rPr>
          <w:sz w:val="20"/>
          <w:szCs w:val="20"/>
          <w:color w:val="auto"/>
        </w:rPr>
      </w:pPr>
    </w:p>
    <w:p>
      <w:pPr>
        <w:ind w:left="880" w:hanging="494"/>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the level of dollarization at BCP Stand-alone was the result of higher dollarization in Wholesale Banking, which was in turn attributable to loans for clients in the fishing sector, which have US dollar income generation; and</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segments continue reducing their dollarization levels, particularly Mortgage.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aforementioned is reflected in the decrease of the percentage of the portfolio that is highly exposed to FX-risk on credit risk, which, as is evident in the figure below, situated at levels close to 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154940</wp:posOffset>
            </wp:positionV>
            <wp:extent cx="3327400" cy="1663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2014, BCRP set up a Loan De-dollarization Program. The measures included implementing progressive de-dollarization goals for June 2015, December 2015 and December 2016 for the total FC portfolio, with certain exceptions, and for the joint mortgage and car loan portfolio. The balance required at the end of December 2017 was adjusted in the following way:</w:t>
      </w:r>
    </w:p>
    <w:p>
      <w:pPr>
        <w:spacing w:after="0" w:line="181" w:lineRule="exact"/>
        <w:rPr>
          <w:sz w:val="20"/>
          <w:szCs w:val="20"/>
          <w:color w:val="auto"/>
        </w:rPr>
      </w:pPr>
    </w:p>
    <w:p>
      <w:pPr>
        <w:jc w:val="both"/>
        <w:ind w:left="880" w:hanging="494"/>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FC portfolio at the end of December 2017 must represent no more than 80% of the balance of total loans at the end of September 2013 (not including some loans). This target is the same as that set for December 2016 (end of 4Q16), when Credicorp posted a level of compliance of 144%; and</w:t>
      </w:r>
    </w:p>
    <w:p>
      <w:pPr>
        <w:spacing w:after="0" w:line="181"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FC mortgage and car portfolio at the end of December 2017 must represent no more than 60% of the same balance at the end of February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bases for both targets refer to quarter-end balances in local accounting but the level of compliance is measured using the monthly average daily balances for the reporting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figures show the percentage of compliance at the end of June 2017:</w:t>
      </w:r>
    </w:p>
    <w:p>
      <w:pPr>
        <w:sectPr>
          <w:pgSz w:w="11900" w:h="16838" w:orient="portrait"/>
          <w:cols w:equalWidth="0" w:num="1">
            <w:col w:w="11420"/>
          </w:cols>
          <w:pgMar w:left="240" w:top="904" w:right="239" w:bottom="1440" w:gutter="0" w:footer="0" w:header="0"/>
        </w:sectPr>
      </w:pP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 at the end of June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142875</wp:posOffset>
            </wp:positionV>
            <wp:extent cx="2718435" cy="1483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1483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 at the end of June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142875</wp:posOffset>
            </wp:positionV>
            <wp:extent cx="2735580" cy="1500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35580" cy="1500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80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evident in the figures, BCP Stand-alone has achieved a comfortable level of compliance for the portfolio of total loans that are subject to the de-dollarization program. In terms of the Car + Mortgage portfolio, the level of compliance is slightly below 100%, which reflects the fact that the speed of de-dollarization in the Mortgage segment has slowed somewhat. Nonetheless, this is not of concern given that we still have six months to meet the reduction target.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1.2.4 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90170</wp:posOffset>
            </wp:positionV>
            <wp:extent cx="5746115" cy="1629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11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May 2017, March 2017 and June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2.2% as of May 2017, 2.3% as of March 2017 and 2.2% as of June 2016.</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May 2017, BCP Stand-alone continued to lead the market with a share of 29.3%, which is significantly higher than the level posted by its closest competitor. Nevertheless, this share falls below the 30.3% registered in 2Q16, which reflects high competition in Wholesale Banking and low growth in Retail Banking.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Banking continued to lead the market and increased its market share by +2 bps QoQ. Middle-Market Banking increased its market share by +140 bps, reaching its highest level since September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Retail Banking, BCP also reported a relatively stable market share and continued to lead in almost all of its segments with the exception of SME-Business, where it ranked second but is nonetheless focused on increasing its market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Mibanco slightly increased its market share from 22.3% in June 2016 to 22.5% in May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BCP Bolivia’s market share grew QoQ and YoY, maintaining its fourth place ranking in the Bolivian Financial System.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QoQ and YoY growth in total funding was due primarily to an increase in deposits, the main funding source. The level of BCRP instruments continued to fall due to repos that expired. This funding has been replaced mainly by deposits and, to a lesser extent, by Due to Banks to maintain relatively low currency and maturity mismatches between assets and liabilities. The aforementioned, coupled with an increase in interest expenses, led to a +2 bps increase QoQ in the funding cost.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 change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16</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17</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23,194,081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22,836,306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24,051,059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000" w:type="dxa"/>
            <w:vAlign w:val="bottom"/>
          </w:tcPr>
          <w:p>
            <w:pPr>
              <w:jc w:val="right"/>
              <w:spacing w:after="0"/>
              <w:rPr>
                <w:sz w:val="20"/>
                <w:szCs w:val="20"/>
                <w:color w:val="auto"/>
              </w:rPr>
            </w:pPr>
            <w:r>
              <w:rPr>
                <w:rFonts w:ascii="Arial" w:cs="Arial" w:eastAsia="Arial" w:hAnsi="Arial"/>
                <w:sz w:val="18"/>
                <w:szCs w:val="18"/>
                <w:color w:val="auto"/>
              </w:rPr>
              <w:t>5,788,509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5,064,371</w:t>
            </w:r>
          </w:p>
        </w:tc>
        <w:tc>
          <w:tcPr>
            <w:tcW w:w="1000" w:type="dxa"/>
            <w:vAlign w:val="bottom"/>
          </w:tcPr>
          <w:p>
            <w:pPr>
              <w:jc w:val="right"/>
              <w:spacing w:after="0"/>
              <w:rPr>
                <w:sz w:val="20"/>
                <w:szCs w:val="20"/>
                <w:color w:val="auto"/>
              </w:rPr>
            </w:pPr>
            <w:r>
              <w:rPr>
                <w:rFonts w:ascii="Arial" w:cs="Arial" w:eastAsia="Arial" w:hAnsi="Arial"/>
                <w:sz w:val="18"/>
                <w:szCs w:val="18"/>
                <w:color w:val="auto"/>
              </w:rPr>
              <w:t>4,884,148</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25,205,462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26,657,831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26,085,580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25,764,437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27,876,113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29,576,960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6,997,706</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6,537,982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7,039,767</w:t>
            </w: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331,899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354,704</w:t>
            </w:r>
          </w:p>
        </w:tc>
        <w:tc>
          <w:tcPr>
            <w:tcW w:w="1000" w:type="dxa"/>
            <w:vAlign w:val="bottom"/>
          </w:tcPr>
          <w:p>
            <w:pPr>
              <w:jc w:val="right"/>
              <w:spacing w:after="0"/>
              <w:rPr>
                <w:sz w:val="20"/>
                <w:szCs w:val="20"/>
                <w:color w:val="auto"/>
              </w:rPr>
            </w:pPr>
            <w:r>
              <w:rPr>
                <w:rFonts w:ascii="Arial" w:cs="Arial" w:eastAsia="Arial" w:hAnsi="Arial"/>
                <w:sz w:val="18"/>
                <w:szCs w:val="18"/>
                <w:color w:val="auto"/>
              </w:rPr>
              <w:t>401,618</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87,282,094</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89,327,307</w:t>
            </w:r>
          </w:p>
        </w:tc>
        <w:tc>
          <w:tcPr>
            <w:tcW w:w="2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92,039,132</w:t>
            </w:r>
          </w:p>
        </w:tc>
        <w:tc>
          <w:tcPr>
            <w:tcW w:w="1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Due to banks and correspondents</w:t>
            </w: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8,931,350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7,639,760</w:t>
            </w:r>
          </w:p>
        </w:tc>
        <w:tc>
          <w:tcPr>
            <w:tcW w:w="2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8,157,166</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11,305,771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9,979,835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8,989,728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15,255,588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15,410,094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15,295,673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9"/>
                <w:szCs w:val="29"/>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15,174,571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17,229,457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16,713,206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funding</w:t>
            </w: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7"/>
              </w:rPr>
              <w:t>137,949,374</w:t>
            </w:r>
          </w:p>
        </w:tc>
        <w:tc>
          <w:tcPr>
            <w:tcW w:w="18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7"/>
              </w:rPr>
              <w:t>139,586,453</w:t>
            </w:r>
          </w:p>
        </w:tc>
        <w:tc>
          <w:tcPr>
            <w:tcW w:w="20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7"/>
              </w:rPr>
              <w:t>141,194,905</w:t>
            </w:r>
          </w:p>
        </w:tc>
        <w:tc>
          <w:tcPr>
            <w:tcW w:w="180" w:type="dxa"/>
            <w:vAlign w:val="bottom"/>
            <w:vMerge w:val="continue"/>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-8890</wp:posOffset>
            </wp:positionV>
            <wp:extent cx="12261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154940</wp:posOffset>
            </wp:positionV>
            <wp:extent cx="5539740" cy="2298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97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Includes acceptances outstanding, reserve for property and casualty claims, reserve for unearned premiums, reinsurance payable and other liabilities.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chart above shows the evolution of Credicorp’s funding structure and cost, which are calculated based on period-end balances. This quarter, there was noteworthy QoQ growth in the share posted by </w:t>
      </w:r>
      <w:r>
        <w:rPr>
          <w:rFonts w:ascii="Arial" w:cs="Arial" w:eastAsia="Arial" w:hAnsi="Arial"/>
          <w:sz w:val="16"/>
          <w:szCs w:val="16"/>
          <w:b w:val="1"/>
          <w:bCs w:val="1"/>
          <w:color w:val="auto"/>
        </w:rPr>
        <w:t>Time Deposits and Non-interest Bearing Demand Deposits</w:t>
      </w:r>
      <w:r>
        <w:rPr>
          <w:rFonts w:ascii="Arial" w:cs="Arial" w:eastAsia="Arial" w:hAnsi="Arial"/>
          <w:sz w:val="16"/>
          <w:szCs w:val="16"/>
          <w:color w:val="auto"/>
        </w:rPr>
        <w:t xml:space="preserve"> in Credicorp’s funding mix, while </w:t>
      </w:r>
      <w:r>
        <w:rPr>
          <w:rFonts w:ascii="Arial" w:cs="Arial" w:eastAsia="Arial" w:hAnsi="Arial"/>
          <w:sz w:val="16"/>
          <w:szCs w:val="16"/>
          <w:b w:val="1"/>
          <w:bCs w:val="1"/>
          <w:color w:val="auto"/>
        </w:rPr>
        <w:t>BCRP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Instruments </w:t>
      </w:r>
      <w:r>
        <w:rPr>
          <w:rFonts w:ascii="Arial" w:cs="Arial" w:eastAsia="Arial" w:hAnsi="Arial"/>
          <w:sz w:val="16"/>
          <w:szCs w:val="16"/>
          <w:color w:val="auto"/>
        </w:rPr>
        <w:t>continued to register a drop in their share of the total funding due to expiration of special repos (substitution and expansion) and regular repos.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Deposits continued to represent the main source of funding at Credicorp with a 64.9% share of total funding as of June 17.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58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3772535</wp:posOffset>
            </wp:positionH>
            <wp:positionV relativeFrom="page">
              <wp:posOffset>573405</wp:posOffset>
            </wp:positionV>
            <wp:extent cx="34290" cy="1508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1508760"/>
                    </a:xfrm>
                    <a:prstGeom prst="rect">
                      <a:avLst/>
                    </a:prstGeom>
                    <a:noFill/>
                  </pic:spPr>
                </pic:pic>
              </a:graphicData>
            </a:graphic>
          </wp:anchor>
        </w:drawing>
        <w:t>BCRP Instruments’ share of total funding at Credicorp fell -70 bps QoQ given that some Special Repos (substitution and expansion) expired. Furthermore, Regular Repos with BCRP continued to expire. It is important to note that BCP Stand-alone accounted for approximately 96.4% of BCRP Instruments at Credicorp; the remainder is held by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-713105</wp:posOffset>
            </wp:positionV>
            <wp:extent cx="2581275" cy="1449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127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importance of BCP Stand-alone in total Credicorp’s funding, it is important to analyze its structure by tenure. The chart below shows that approximately 63.3% of BCRP Instruments will expire between 2017 and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BCP Stand-alone - Funding structure by tenure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142240</wp:posOffset>
            </wp:positionV>
            <wp:extent cx="34290" cy="255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2555240"/>
                    </a:xfrm>
                    <a:prstGeom prst="rect">
                      <a:avLst/>
                    </a:prstGeom>
                    <a:noFill/>
                  </pic:spPr>
                </pic:pic>
              </a:graphicData>
            </a:graphic>
          </wp:anchor>
        </w:drawing>
      </w:r>
    </w:p>
    <w:p>
      <w:pPr>
        <w:spacing w:after="0" w:line="205" w:lineRule="exact"/>
        <w:rPr>
          <w:sz w:val="20"/>
          <w:szCs w:val="20"/>
          <w:color w:val="auto"/>
        </w:rPr>
      </w:pPr>
    </w:p>
    <w:p>
      <w:pPr>
        <w:ind w:left="1880"/>
        <w:spacing w:after="0"/>
        <w:tabs>
          <w:tab w:leader="none" w:pos="7640" w:val="left"/>
        </w:tabs>
        <w:rPr>
          <w:sz w:val="20"/>
          <w:szCs w:val="20"/>
          <w:color w:val="auto"/>
        </w:rPr>
      </w:pPr>
      <w:r>
        <w:rPr>
          <w:rFonts w:ascii="Arial" w:cs="Arial" w:eastAsia="Arial" w:hAnsi="Arial"/>
          <w:sz w:val="18"/>
          <w:szCs w:val="18"/>
          <w:b w:val="1"/>
          <w:bCs w:val="1"/>
          <w:color w:val="auto"/>
        </w:rPr>
        <w:t>At the end of March 2017</w:t>
      </w:r>
      <w:r>
        <w:rPr>
          <w:sz w:val="20"/>
          <w:szCs w:val="20"/>
          <w:color w:val="auto"/>
        </w:rPr>
        <w:tab/>
      </w:r>
      <w:r>
        <w:rPr>
          <w:rFonts w:ascii="Arial" w:cs="Arial" w:eastAsia="Arial" w:hAnsi="Arial"/>
          <w:sz w:val="16"/>
          <w:szCs w:val="16"/>
          <w:b w:val="1"/>
          <w:bCs w:val="1"/>
          <w:color w:val="auto"/>
        </w:rPr>
        <w:t>At the end of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154940</wp:posOffset>
            </wp:positionV>
            <wp:extent cx="6243320" cy="986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3320" cy="9861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6243320" cy="986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3320" cy="98615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00" w:firstLine="5"/>
        <w:spacing w:after="0" w:line="268" w:lineRule="auto"/>
        <w:tabs>
          <w:tab w:leader="none" w:pos="4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77% of total deposits; 34% of the non-contractual deposits has tenure lower than 6 months and 66% of the non-contractual deposits has a duration higher than 6 months (10% ≤ 1 year, 30% between &gt;1 year and ≤ 3 years, and 60% from &gt;3 years onwards).</w:t>
      </w:r>
    </w:p>
    <w:p>
      <w:pPr>
        <w:spacing w:after="0" w:line="1" w:lineRule="exact"/>
        <w:rPr>
          <w:rFonts w:ascii="Arial" w:cs="Arial" w:eastAsia="Arial" w:hAnsi="Arial"/>
          <w:sz w:val="17"/>
          <w:szCs w:val="17"/>
          <w:color w:val="auto"/>
        </w:rPr>
      </w:pPr>
    </w:p>
    <w:p>
      <w:pPr>
        <w:ind w:left="100" w:firstLine="5"/>
        <w:spacing w:after="0" w:line="261" w:lineRule="auto"/>
        <w:tabs>
          <w:tab w:leader="none" w:pos="4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9" w:right="100"/>
        <w:spacing w:after="0" w:line="26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 Deposits include non-contractual deposits (Demand, Savings and</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indemnity -CTS) and Time Deposits. The non-contractual deposits represent 76% of total deposits; 34% of the non-contractual deposits has tenure lower than 6 months and 66% of the non-contractual deposits has a duration higher than 6 months (10% ≤ 1 year, 30% between &gt;1 year and ≤ 3 years, and 60% from &gt;3 years onwards).</w:t>
      </w:r>
    </w:p>
    <w:p>
      <w:pPr>
        <w:ind w:left="9" w:right="100" w:hanging="9"/>
        <w:spacing w:after="0" w:line="261" w:lineRule="auto"/>
        <w:tabs>
          <w:tab w:leader="none" w:pos="3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0" w:lineRule="exact"/>
        <w:rPr>
          <w:sz w:val="20"/>
          <w:szCs w:val="20"/>
          <w:color w:val="auto"/>
        </w:rPr>
      </w:pPr>
    </w:p>
    <w:p>
      <w:pPr>
        <w:sectPr>
          <w:pgSz w:w="11900" w:h="16838" w:orient="portrait"/>
          <w:cols w:equalWidth="0" w:num="2">
            <w:col w:w="5620" w:space="211"/>
            <w:col w:w="5589"/>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2.1 Deposits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16</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23,194,081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22,836,306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24,051,059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6,434,020</w:t>
            </w:r>
          </w:p>
        </w:tc>
        <w:tc>
          <w:tcPr>
            <w:tcW w:w="900" w:type="dxa"/>
            <w:vAlign w:val="bottom"/>
          </w:tcPr>
          <w:p>
            <w:pPr>
              <w:jc w:val="right"/>
              <w:spacing w:after="0"/>
              <w:rPr>
                <w:sz w:val="20"/>
                <w:szCs w:val="20"/>
                <w:color w:val="auto"/>
              </w:rPr>
            </w:pPr>
            <w:r>
              <w:rPr>
                <w:rFonts w:ascii="Arial" w:cs="Arial" w:eastAsia="Arial" w:hAnsi="Arial"/>
                <w:sz w:val="18"/>
                <w:szCs w:val="18"/>
                <w:color w:val="auto"/>
              </w:rPr>
              <w:t>5,617,946</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4,884,148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25,205,462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26,657,831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26,085,580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25,764,437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27,876,113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29,576,960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6,997,706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6,537,982</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7,039,767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331,899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354,704</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401,618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87,927,605</w:t>
            </w:r>
          </w:p>
        </w:tc>
        <w:tc>
          <w:tcPr>
            <w:tcW w:w="1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89,880,882</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92,039,132</w:t>
            </w:r>
          </w:p>
        </w:tc>
        <w:tc>
          <w:tcPr>
            <w:tcW w:w="1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Severance indemnity deposits.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Total deposits expanded QoQ, primarily at BCP Stand-alone, and to a lesser extent at BCP Bolivia. The increase was related mainly to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which offset the contraction in </w:t>
      </w:r>
      <w:r>
        <w:rPr>
          <w:rFonts w:ascii="Arial" w:cs="Arial" w:eastAsia="Arial" w:hAnsi="Arial"/>
          <w:sz w:val="18"/>
          <w:szCs w:val="18"/>
          <w:b w:val="1"/>
          <w:bCs w:val="1"/>
          <w:color w:val="auto"/>
        </w:rPr>
        <w:t>Interest-Bearing Demand Deposits</w:t>
      </w:r>
      <w:r>
        <w:rPr>
          <w:rFonts w:ascii="Arial" w:cs="Arial" w:eastAsia="Arial" w:hAnsi="Arial"/>
          <w:sz w:val="18"/>
          <w:szCs w:val="18"/>
          <w:color w:val="auto"/>
        </w:rPr>
        <w:t xml:space="preserve"> and </w:t>
      </w:r>
      <w:r>
        <w:rPr>
          <w:rFonts w:ascii="Arial" w:cs="Arial" w:eastAsia="Arial" w:hAnsi="Arial"/>
          <w:sz w:val="18"/>
          <w:szCs w:val="18"/>
          <w:b w:val="1"/>
          <w:bCs w:val="1"/>
          <w:color w:val="auto"/>
        </w:rPr>
        <w:t>Savings Deposits</w:t>
      </w:r>
      <w:r>
        <w:rPr>
          <w:rFonts w:ascii="Arial" w:cs="Arial" w:eastAsia="Arial" w:hAnsi="Arial"/>
          <w:sz w:val="18"/>
          <w:szCs w:val="18"/>
          <w:color w:val="auto"/>
        </w:rPr>
        <w: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noteworthy QoQ expansion was observed in Time Deposits, mainly at BCP Stand-alone and in FC, which was associated with clients from Middle-Market Banking in line with the strategy implemented to attract more deposits from corporates. In the same way, BCP Bolivia contributed to the increase in time deposits in FC, mainly from corporate clients.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jc w:val="both"/>
        <w:spacing w:after="0" w:line="282" w:lineRule="auto"/>
        <w:rPr>
          <w:sz w:val="20"/>
          <w:szCs w:val="20"/>
          <w:color w:val="auto"/>
        </w:rPr>
      </w:pPr>
      <w:r>
        <w:rPr>
          <w:rFonts w:ascii="Arial" w:cs="Arial" w:eastAsia="Arial" w:hAnsi="Arial"/>
          <w:sz w:val="18"/>
          <w:szCs w:val="18"/>
          <w:b w:val="1"/>
          <w:bCs w:val="1"/>
          <w:color w:val="auto"/>
        </w:rPr>
        <w:t xml:space="preserve">Non-interest bearing demand deposits </w:t>
      </w:r>
      <w:r>
        <w:rPr>
          <w:rFonts w:ascii="Arial" w:cs="Arial" w:eastAsia="Arial" w:hAnsi="Arial"/>
          <w:sz w:val="18"/>
          <w:szCs w:val="18"/>
          <w:color w:val="auto"/>
        </w:rPr>
        <w:t>increased QoQ, mainly in FC and through corporate clients from BCP Stand-alone.</w:t>
      </w:r>
      <w:r>
        <w:rPr>
          <w:rFonts w:ascii="Arial" w:cs="Arial" w:eastAsia="Arial" w:hAnsi="Arial"/>
          <w:sz w:val="18"/>
          <w:szCs w:val="18"/>
          <w:b w:val="1"/>
          <w:bCs w:val="1"/>
          <w:color w:val="auto"/>
        </w:rPr>
        <w:t xml:space="preserve"> CTS deposits </w:t>
      </w:r>
      <w:r>
        <w:rPr>
          <w:rFonts w:ascii="Arial" w:cs="Arial" w:eastAsia="Arial" w:hAnsi="Arial"/>
          <w:sz w:val="18"/>
          <w:szCs w:val="18"/>
          <w:color w:val="auto"/>
        </w:rPr>
        <w:t>increased QoQ</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seasonal effect that take place every 2Q, as a result of the first CTS payment made in May of every year.</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aforementioned allowed offsetting the QoQ contraction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fell QoQ due to the aggressive competition to capture funds from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reveals a 4.7% increase, which was due to growth in Time Deposits in 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90170</wp:posOffset>
            </wp:positionV>
            <wp:extent cx="3310255" cy="986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deposit dollarization level at Credicorp, measured in quarter-end balances, increased QoQ. The FC increase was due primarily to higher level of Time Deposits, particularly at BCP Stand-alone and BCP Bolivia subsidiaries, the latter has deposits in Bolivian Pesos.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YoY basis, deposits continue to de-dollarize at Credicorp level. This was attributable to the increase of Time Deposits in LC at BCP Stand-alone and Mibanco.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154940</wp:posOffset>
            </wp:positionV>
            <wp:extent cx="5582920" cy="1449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29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QoQ evolution of dollarization of deposits by type shows that all deposits, with the exception of term deposits, reported either a drop in or stable levels of dollarization QoQ. In this context, the dollarization levels of demand, savings and CTS deposits offset the increase in the dollarization level of term deposits.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the YoY analysis, the decrease of dollarization in deposits was a result of the increase in LC deposits, mainly in Time, Demand and CTS deposits.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154940</wp:posOffset>
            </wp:positionV>
            <wp:extent cx="5368290" cy="1509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6829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640" w:hanging="24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June 2016, March 2017 and May 2017.</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March 2016, March 2017 and May 2017.</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deposits includes Mibanco's narket share of 5.5% at the end of June 2016, and 5.8% at the end of March 2017 and May 2017.</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CTS or Severance indemnity deposits includes Mibanco's market share of 1.2% at the end of June 2016 and 1.3% at the end of March and May 2017.</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May 2017, Credicorp’s subsidiaries in Peru, BCP and Mibanco, continued to lead the market in terms of total deposits with a market share (MS) of 32.2%. The result posted in May 2017 was situated approximately 12.4 percentage points above of our closest competitor.</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QoQ analysis, the market share level of total deposits rose slightly (32.1% at the end of March 2017) due to market share associated with savings accounts increased while that of demand deposits remained stable. The aforementioned helped to offset the decrease in Time and CTS deposits.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contraction in market share (33.1% at the end of June 2016) was in line with the reduction posted of time, demand and CTS deposits. The aforementioned could not be offset by the YoY increase in the market share at Mibanco in time deposits, which rose from 5.5% in June 2016 to 5.8% at the end of May 2017.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BCP Bolivia ranked, for the first time in several years, as the fourth in the Bolivian financial system with a market share of 10.2% at the end of June 2017, versus 9.2% at the end of March 2017. This growth was attributable to an increase in term deposits, which was outlined in section 2.2 Deposits.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16</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17</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17</w:t>
            </w: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7,639,760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8,157,166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11,305,771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9,979,835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8,989,728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15,255,588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15,410,094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15,295,673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9"/>
                <w:szCs w:val="29"/>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15,174,571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17,229,457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16,713,206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50,667,280</w:t>
            </w:r>
          </w:p>
        </w:tc>
        <w:tc>
          <w:tcPr>
            <w:tcW w:w="1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50,259,146</w:t>
            </w:r>
          </w:p>
        </w:tc>
        <w:tc>
          <w:tcPr>
            <w:tcW w:w="1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49,155,773</w:t>
            </w:r>
          </w:p>
        </w:tc>
        <w:tc>
          <w:tcPr>
            <w:tcW w:w="1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Includes acceptances outstanding, reserves for property and casualty claims, reserve for unearned premiums, reinsurance payable and other liabilities.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funding sources</w:t>
      </w:r>
      <w:r>
        <w:rPr>
          <w:rFonts w:ascii="Arial" w:cs="Arial" w:eastAsia="Arial" w:hAnsi="Arial"/>
          <w:sz w:val="18"/>
          <w:szCs w:val="18"/>
          <w:color w:val="auto"/>
        </w:rPr>
        <w:t xml:space="preserve"> contracted -2.2% QoQ. This was primarily attributable to a decrease in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at BCP Stand-alone after maturities were reported throughout the quarter. The contraction was, to a lesser degree, generated by a drop in Other Liabilities, which reported a seasonal decline in the dividend payables account, which was registered in 1Q17. The drop in </w:t>
      </w:r>
      <w:r>
        <w:rPr>
          <w:rFonts w:ascii="Arial" w:cs="Arial" w:eastAsia="Arial" w:hAnsi="Arial"/>
          <w:sz w:val="18"/>
          <w:szCs w:val="18"/>
          <w:b w:val="1"/>
          <w:bCs w:val="1"/>
          <w:color w:val="auto"/>
        </w:rPr>
        <w:t>Bonds and subordinated debt</w:t>
      </w:r>
      <w:r>
        <w:rPr>
          <w:rFonts w:ascii="Arial" w:cs="Arial" w:eastAsia="Arial" w:hAnsi="Arial"/>
          <w:sz w:val="18"/>
          <w:szCs w:val="18"/>
          <w:color w:val="auto"/>
        </w:rPr>
        <w:t xml:space="preserve"> was mainly due to the maturity of a bond held by the </w:t>
      </w:r>
      <w:r>
        <w:rPr>
          <w:rFonts w:ascii="Arial" w:cs="Arial" w:eastAsia="Arial" w:hAnsi="Arial"/>
          <w:sz w:val="18"/>
          <w:szCs w:val="18"/>
          <w:b w:val="1"/>
          <w:bCs w:val="1"/>
          <w:color w:val="auto"/>
        </w:rPr>
        <w:t>Credicorp Remittance Inc</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6" w:lineRule="exact"/>
        <w:rPr>
          <w:sz w:val="20"/>
          <w:szCs w:val="20"/>
          <w:color w:val="auto"/>
        </w:rPr>
      </w:pPr>
    </w:p>
    <w:p>
      <w:pPr>
        <w:ind w:right="180" w:firstLine="8"/>
        <w:spacing w:after="0" w:line="194" w:lineRule="auto"/>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A subsidiary of Credicorp Ltd that makes guaranteed issuances abroad for future collections of payment orders relative to fund transfer from abroad in US Dollars.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 xml:space="preserve">The aforementioned was partially offset by growth in </w:t>
      </w:r>
      <w:r>
        <w:rPr>
          <w:rFonts w:ascii="Arial" w:cs="Arial" w:eastAsia="Arial" w:hAnsi="Arial"/>
          <w:sz w:val="16"/>
          <w:szCs w:val="16"/>
          <w:b w:val="1"/>
          <w:bCs w:val="1"/>
          <w:color w:val="auto"/>
        </w:rPr>
        <w:t>due to banks and correspondents,</w:t>
      </w:r>
      <w:r>
        <w:rPr>
          <w:rFonts w:ascii="Arial" w:cs="Arial" w:eastAsia="Arial" w:hAnsi="Arial"/>
          <w:sz w:val="16"/>
          <w:szCs w:val="16"/>
          <w:color w:val="auto"/>
        </w:rPr>
        <w:t xml:space="preserve"> mainly at BCP Stand-alone due to debt owed to foreign banks.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reveals a contraction in total Other funding sources, mainly at BCP Stand-alone, which was in line with a contraction in (i) </w:t>
      </w:r>
      <w:r>
        <w:rPr>
          <w:rFonts w:ascii="Arial" w:cs="Arial" w:eastAsia="Arial" w:hAnsi="Arial"/>
          <w:sz w:val="18"/>
          <w:szCs w:val="18"/>
          <w:b w:val="1"/>
          <w:bCs w:val="1"/>
          <w:color w:val="auto"/>
        </w:rPr>
        <w:t>BCRP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Instruments </w:t>
      </w:r>
      <w:r>
        <w:rPr>
          <w:rFonts w:ascii="Arial" w:cs="Arial" w:eastAsia="Arial" w:hAnsi="Arial"/>
          <w:sz w:val="18"/>
          <w:szCs w:val="18"/>
          <w:color w:val="auto"/>
        </w:rPr>
        <w:t>given the main maturities of substitution and expansion repos; and (ii)</w:t>
      </w:r>
      <w:r>
        <w:rPr>
          <w:rFonts w:ascii="Arial" w:cs="Arial" w:eastAsia="Arial" w:hAnsi="Arial"/>
          <w:sz w:val="18"/>
          <w:szCs w:val="18"/>
          <w:b w:val="1"/>
          <w:bCs w:val="1"/>
          <w:color w:val="auto"/>
        </w:rPr>
        <w:t xml:space="preserve"> Due to banks and correspondents</w:t>
      </w:r>
      <w:r>
        <w:rPr>
          <w:rFonts w:ascii="Arial" w:cs="Arial" w:eastAsia="Arial" w:hAnsi="Arial"/>
          <w:sz w:val="18"/>
          <w:szCs w:val="18"/>
          <w:color w:val="auto"/>
        </w:rPr>
        <w:t>, which was attributable to a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debt and obligations with foreign banks and with international entities.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154940</wp:posOffset>
            </wp:positionV>
            <wp:extent cx="4081780" cy="140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8178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Credicorp’s L/D ratio fell QoQ to situate at 101.8% due to a decrease in the level reported by its main banking subsidiary, BCP Stand-alone. This was attributable to the fact that QoQ growth in total deposits, which was situated at +2.4, outpaced the +1.4% QoQ growth registered for loans.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80"/>
        <w:spacing w:after="0"/>
        <w:tabs>
          <w:tab w:leader="none" w:pos="788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154940</wp:posOffset>
            </wp:positionV>
            <wp:extent cx="6251575" cy="1534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157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analysis of the L/D ratio by currency shows that the L/D ratio for LC and FC fell at Credicorp, which was primarily associated with growth in deposits in both currencies.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L/D ratio posted a decrease, which was mainly due to a drop in BCP Stand-alone’s ratio. In this YoY analysis by currency, the L/D ratio in LC improved at BCP Stand-alone and Mibanco, which was in line with growth in LC deposits and with the drop registered in LC loans. The FC ratio improved slightly at Credicorp, which was due to an improvement in BCP Stand-alone’s level in a context in which loan and deposit growth was originated primarily in FC.</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Credicorp’s funding cost increased +2 bps QoQ as a result of higher growth in interest expenses outpaced the increase in average total liabilities (+2.5% and +1.8%, respectively). This increase was mainly attributable to BCP Stand-alone, which accounts for 76% of Credicorp’s interest expenses and total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Below, we outline the funding cost by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9"/>
              </w:rPr>
              <w:t xml:space="preserve">Credicorp </w:t>
            </w:r>
            <w:r>
              <w:rPr>
                <w:rFonts w:ascii="Arial" w:cs="Arial" w:eastAsia="Arial" w:hAnsi="Arial"/>
                <w:sz w:val="30"/>
                <w:szCs w:val="30"/>
                <w:b w:val="1"/>
                <w:bCs w:val="1"/>
                <w:color w:val="auto"/>
                <w:w w:val="99"/>
                <w:vertAlign w:val="superscript"/>
              </w:rPr>
              <w:t>(1)</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60" w:type="dxa"/>
            <w:vAlign w:val="bottom"/>
          </w:tcPr>
          <w:p>
            <w:pPr>
              <w:spacing w:after="0"/>
              <w:rPr>
                <w:sz w:val="22"/>
                <w:szCs w:val="22"/>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Mibanco</w:t>
            </w:r>
          </w:p>
        </w:tc>
        <w:tc>
          <w:tcPr>
            <w:tcW w:w="240" w:type="dxa"/>
            <w:vAlign w:val="bottom"/>
          </w:tcPr>
          <w:p>
            <w:pPr>
              <w:spacing w:after="0"/>
              <w:rPr>
                <w:sz w:val="22"/>
                <w:szCs w:val="22"/>
                <w:color w:val="auto"/>
              </w:rPr>
            </w:pP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Pr>
          <w:p>
            <w:pPr>
              <w:spacing w:after="0"/>
              <w:rPr>
                <w:sz w:val="22"/>
                <w:szCs w:val="22"/>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ASB</w:t>
            </w:r>
          </w:p>
        </w:tc>
        <w:tc>
          <w:tcPr>
            <w:tcW w:w="26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Banking business</w:t>
            </w:r>
          </w:p>
        </w:tc>
        <w:tc>
          <w:tcPr>
            <w:tcW w:w="15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2Q16</w:t>
            </w: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1Q17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2Q17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at the banking subsidiaries increased due to higher funding costs at BCP Stand-alone, BCP Bolivia and Mibanco.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raised +2 bps QoQ, mainly due to:</w:t>
      </w:r>
    </w:p>
    <w:p>
      <w:pPr>
        <w:spacing w:after="0" w:line="229" w:lineRule="exact"/>
        <w:rPr>
          <w:sz w:val="20"/>
          <w:szCs w:val="20"/>
          <w:color w:val="auto"/>
        </w:rPr>
      </w:pPr>
    </w:p>
    <w:p>
      <w:pPr>
        <w:ind w:left="880" w:hanging="49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interest expenses on deposits, associated with higher volumes in Time deposits;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interest expenses on bonds and subordinated debt; which was associated with an increase in the Libor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BCP Bolivia’s </w:t>
      </w:r>
      <w:r>
        <w:rPr>
          <w:rFonts w:ascii="Arial" w:cs="Arial" w:eastAsia="Arial" w:hAnsi="Arial"/>
          <w:sz w:val="18"/>
          <w:szCs w:val="18"/>
          <w:color w:val="auto"/>
        </w:rPr>
        <w:t>funding cost increased +23 bps QoQ due to higher interest expenses for corporate time deposits.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which has been reducing since 4Q15, increased slightly QoQ (+3 bps). This was due primarily to an increase in interest expenses on borrowed funds and, to a lesser extent, to higher interest expenses on deposits.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posted a drop in its funding cost, which was attributable to a QoQ decline in interest expenses (-11.0% QoQ) and to an increase in average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(1.6% QoQ).</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figures below show the funding cost by source for the Banking Business</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20" w:lineRule="exact"/>
        <w:rPr>
          <w:sz w:val="20"/>
          <w:szCs w:val="20"/>
          <w:color w:val="auto"/>
        </w:rPr>
      </w:pPr>
    </w:p>
    <w:p>
      <w:pPr>
        <w:ind w:left="2660"/>
        <w:spacing w:after="0"/>
        <w:tabs>
          <w:tab w:leader="none" w:pos="8340" w:val="left"/>
        </w:tabs>
        <w:rPr>
          <w:sz w:val="20"/>
          <w:szCs w:val="20"/>
          <w:color w:val="auto"/>
        </w:rPr>
      </w:pPr>
      <w:r>
        <w:rPr>
          <w:rFonts w:ascii="Arial" w:cs="Arial" w:eastAsia="Arial" w:hAnsi="Arial"/>
          <w:sz w:val="18"/>
          <w:szCs w:val="18"/>
          <w:b w:val="1"/>
          <w:bCs w:val="1"/>
          <w:color w:val="auto"/>
        </w:rPr>
        <w:t>1Q17</w:t>
      </w:r>
      <w:r>
        <w:rPr>
          <w:sz w:val="20"/>
          <w:szCs w:val="20"/>
          <w:color w:val="auto"/>
        </w:rPr>
        <w:tab/>
      </w:r>
      <w:r>
        <w:rPr>
          <w:rFonts w:ascii="Arial" w:cs="Arial" w:eastAsia="Arial" w:hAnsi="Arial"/>
          <w:sz w:val="18"/>
          <w:szCs w:val="18"/>
          <w:b w:val="1"/>
          <w:bCs w:val="1"/>
          <w:color w:val="auto"/>
        </w:rPr>
        <w:t>2Q17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154940</wp:posOffset>
            </wp:positionV>
            <wp:extent cx="6354445" cy="1534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444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hanging="26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Deposits include Demand, Savings, Severance indemnity (CTS) and Time Deposits.</w:t>
      </w:r>
    </w:p>
    <w:p>
      <w:pPr>
        <w:spacing w:after="0" w:line="23" w:lineRule="exact"/>
        <w:rPr>
          <w:rFonts w:ascii="Arial" w:cs="Arial" w:eastAsia="Arial" w:hAnsi="Arial"/>
          <w:sz w:val="18"/>
          <w:szCs w:val="18"/>
          <w:color w:val="auto"/>
        </w:rPr>
      </w:pPr>
    </w:p>
    <w:p>
      <w:pPr>
        <w:ind w:left="780" w:hanging="26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mainly includes outstanding acceptances and other payable accounts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figures differ from those previously reported; consider the ones in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2.6 Mutual Funds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4"/>
          </w:tcPr>
          <w:p>
            <w:pPr>
              <w:ind w:left="56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16</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17</w:t>
            </w: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9,374,929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10,907,358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11,069,959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18.1%</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520,584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569,811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578,799</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11.2%</w:t>
            </w:r>
          </w:p>
        </w:tc>
      </w:tr>
      <w:tr>
        <w:trPr>
          <w:trHeight w:val="210"/>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9,895,513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11,477,169</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11,648,758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1.5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17.7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grew slightly QoQ, due primarily to an increase in funds from individual clients. The company’s market share fell slightly at the end of June 2017 (41.5% vs. 42.0% at the end of March 2017). Nevertheless, Credicorp Capital Fondos Peru continued to lead the Peruvian market and is situated approximately 20.1 percentage points above its closest competitor.</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Credicorp Capital Fondos Peru reported growth of +18.1% in its funds under management. If we exclude the effect of the depreciation of the US Dollar against the Sol, YoY growth was +19.4%.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portfolio managed by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grew slightly QoQ due to an increase in the number of clients and in the investment volume.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Credifondo Bolivia’s market share was situated at 13.8% at the end of June 2017 vs. 13.0% at the end of March 2017. With this result, the company is the fourth largest competitor in the Bolivian Market. Last quarter, Credifondo Bolivia ranked fifth.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Credifondo Bolivia reported growth of +11.2% in its portfolio under management. If we exclude the effect of the depreciation of the Bolivian Peso against the Sol, growth situates at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Includes BCP Stand-alone, Mibanco, BCP Bolivia and ASB.</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21" w:name="page22"/>
    <w:bookmarkEnd w:id="21"/>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2Q17, the cost of risk fell -47 bps QoQ and -26 bps YoY to situate at a level of 1.85%. This was due primarily to a reduction in provisions for El Nino and construction companies, and to a lesser extent, to a drop in provision requirements for the underlying portfolio. The improvement in the risk quality of the underlying portfolio was the result of better performance in most of the segments.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 Change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2Q16</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2Q17</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(534,586)</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(600,810)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(499,390)</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50,675</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64,316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66,171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(483,911)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(536,494)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(433,219)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-47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 bps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-430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 bps</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91,655,366</w:t>
            </w:r>
          </w:p>
        </w:tc>
        <w:tc>
          <w:tcPr>
            <w:tcW w:w="30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92,414,588</w:t>
            </w:r>
          </w:p>
        </w:tc>
        <w:tc>
          <w:tcPr>
            <w:tcW w:w="3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93,670,216</w:t>
            </w:r>
          </w:p>
        </w:tc>
        <w:tc>
          <w:tcPr>
            <w:tcW w:w="300" w:type="dxa"/>
            <w:vAlign w:val="bottom"/>
            <w:vMerge w:val="continue"/>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3,994,390</w:t>
            </w:r>
          </w:p>
        </w:tc>
        <w:tc>
          <w:tcPr>
            <w:tcW w:w="3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4,205,005</w:t>
            </w:r>
          </w:p>
        </w:tc>
        <w:tc>
          <w:tcPr>
            <w:tcW w:w="3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4,323,480</w:t>
            </w:r>
          </w:p>
        </w:tc>
        <w:tc>
          <w:tcPr>
            <w:tcW w:w="3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458,686</w:t>
            </w:r>
          </w:p>
        </w:tc>
        <w:tc>
          <w:tcPr>
            <w:tcW w:w="30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346,799</w:t>
            </w:r>
          </w:p>
        </w:tc>
        <w:tc>
          <w:tcPr>
            <w:tcW w:w="3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381,634</w:t>
            </w:r>
          </w:p>
        </w:tc>
        <w:tc>
          <w:tcPr>
            <w:tcW w:w="300" w:type="dxa"/>
            <w:vAlign w:val="bottom"/>
            <w:vMerge w:val="continue"/>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Internal overdue loans (IOLs) </w:t>
            </w:r>
            <w:r>
              <w:rPr>
                <w:rFonts w:ascii="Arial" w:cs="Arial" w:eastAsia="Arial" w:hAnsi="Arial"/>
                <w:sz w:val="29"/>
                <w:szCs w:val="29"/>
                <w:color w:val="auto"/>
                <w:vertAlign w:val="superscript"/>
              </w:rPr>
              <w:t>(2)</w:t>
            </w: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2,611,949</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2,767,804</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2,749,047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751,284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874,261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922,974</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7"/>
        </w:trPr>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29"/>
                <w:szCs w:val="29"/>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3,363,233</w:t>
            </w: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3,642,065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3,672,021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 bps</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2.93%</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 bps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 bps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535 bps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 bps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118.8%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115.5%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220 bps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-110 bps</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Provisions for loan losses net of recoveries </w:t>
      </w:r>
      <w:r>
        <w:rPr>
          <w:rFonts w:ascii="Arial" w:cs="Arial" w:eastAsia="Arial" w:hAnsi="Arial"/>
          <w:sz w:val="18"/>
          <w:szCs w:val="18"/>
          <w:color w:val="auto"/>
        </w:rPr>
        <w:t>fell -19.2% QoQ and -10.5% YoY. The aforementioned was due to the:</w:t>
      </w:r>
    </w:p>
    <w:p>
      <w:pPr>
        <w:spacing w:after="0" w:line="229" w:lineRule="exact"/>
        <w:rPr>
          <w:sz w:val="20"/>
          <w:szCs w:val="20"/>
          <w:color w:val="auto"/>
        </w:rPr>
      </w:pPr>
    </w:p>
    <w:p>
      <w:pPr>
        <w:ind w:left="880" w:hanging="49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decrease in provisions due to El Nino, which amounted to S/ 15 million that were required at Mibanco, versus S/ 75 million in 1Q17 at BCP Stand-alone and Mibanco.</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slight decline in provision requirements for the underlying portfolio, which was attributable to the majority of our business segments.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construction companies did not require further provisions in 2Q17 given that the perception of risk in this portfolio did not post any material deterioration with regard to the situation observed in 1Q17.</w:t>
      </w:r>
    </w:p>
    <w:p>
      <w:pPr>
        <w:spacing w:after="0" w:line="17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The aforementioned, coupled with slight loan growth of +1.4% QoQ, translated into a contraction in the </w:t>
      </w:r>
      <w:r>
        <w:rPr>
          <w:rFonts w:ascii="Arial" w:cs="Arial" w:eastAsia="Arial" w:hAnsi="Arial"/>
          <w:sz w:val="18"/>
          <w:szCs w:val="18"/>
          <w:b w:val="1"/>
          <w:bCs w:val="1"/>
          <w:color w:val="auto"/>
        </w:rPr>
        <w:t>cost of risk</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-47 bps QoQ and -26 bps YoY to situate at 1.85%.</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context, it is important to note the reduction in the cost of risk of the underlying portfolio, which went from 1.85% in 1Q17 to 1.79% in 2Q17. This was attributable to risk quality improvement in most of the segments, SME-Pyme and Credit Cards in particular, and to loan growth, as we will explain later in this report. The cost of risk of the underlying portfolio registered a -23 bps reduction YTD (from 2.04% in 1H16 to 1.81% in 1H17).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coverage ratios for internal overdue loans and non-performing loans rose mainly due to the increase in the allowance for loan losses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0"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Annualized net provisions for loan losses over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3.2 Portfolio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154940</wp:posOffset>
            </wp:positionV>
            <wp:extent cx="4665345" cy="1749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6534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20" w:hanging="263"/>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1420" w:hanging="263"/>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 Total loans.</w:t>
      </w:r>
    </w:p>
    <w:p>
      <w:pPr>
        <w:spacing w:after="0" w:line="9" w:lineRule="exact"/>
        <w:rPr>
          <w:rFonts w:ascii="Arial" w:cs="Arial" w:eastAsia="Arial" w:hAnsi="Arial"/>
          <w:sz w:val="18"/>
          <w:szCs w:val="18"/>
          <w:color w:val="auto"/>
        </w:rPr>
      </w:pPr>
    </w:p>
    <w:p>
      <w:pPr>
        <w:ind w:left="1160" w:right="100" w:hanging="3"/>
        <w:spacing w:after="0" w:line="261" w:lineRule="auto"/>
        <w:tabs>
          <w:tab w:leader="none" w:pos="14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cost of risk of March 17 and June 17calculated eliminating provisions related to the construction sector and the El Nino weather phenomenon.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indicators, it is important to remember that:</w:t>
      </w:r>
    </w:p>
    <w:p>
      <w:pPr>
        <w:spacing w:after="0" w:line="225" w:lineRule="exact"/>
        <w:rPr>
          <w:sz w:val="20"/>
          <w:szCs w:val="20"/>
          <w:color w:val="auto"/>
        </w:rPr>
      </w:pPr>
    </w:p>
    <w:p>
      <w:pPr>
        <w:jc w:val="both"/>
        <w:ind w:left="880" w:hanging="494"/>
        <w:spacing w:after="0" w:line="31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continued to be distorted by the presence of real estate guarantees (commercial properties). This means that a significant portion of the loans that are more than 150 days overdue cannot be written-off, although provisions have been set aside for them, given that a judicial process must be followed to liquidate the guarantee, which can take between 4 to 5 years.</w:t>
      </w:r>
    </w:p>
    <w:p>
      <w:pPr>
        <w:spacing w:after="0" w:line="146" w:lineRule="exact"/>
        <w:rPr>
          <w:rFonts w:ascii="Arial" w:cs="Arial" w:eastAsia="Arial" w:hAnsi="Arial"/>
          <w:sz w:val="16"/>
          <w:szCs w:val="16"/>
          <w:color w:val="auto"/>
        </w:rPr>
      </w:pPr>
    </w:p>
    <w:p>
      <w:pPr>
        <w:jc w:val="both"/>
        <w:ind w:left="880" w:hanging="494"/>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first half (1H) of every year, loans are less dynamic, mainly in the SME-Pyme segment and Mibanco given that the main financing campaigns for the Christmas season are held in the second half of the year (2H) and these short-term loans are paid off in the 1H of the following year.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figure above, it is important to note the QoQ relative stability of the adjusted NPL ratio, since growth in the non-performing portfolio was offset by the expansion of total loans. Accordingly, both the IOL ratio and the NPL ratio fell QoQ.</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contraction in the IOL was due to an increase in the level of refinanced loans and write-offs, mainly in SME-Pyme, Consumer, SME-Business and Mibanco. The NPL (which includes refinanced loans) grew slightly, in line with growth in NPL in the Mortgage and Consumer segments.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figure below shows the evolution of the cost of risk by business line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risk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82845" cy="3284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284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analyzing the delinquency ratios by business line it is important to note that, as is evident in the figure above, the Cost of Risk fell QoQ in all segments (with the exception of Mortgage, which posted an unusually low level in 1Q17), and contracted YoY for the fourth consecutive quarter (without including 1Q17 due to the El Nino).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accumulated analysis, the cost of risk in 1H17 (2.07%) remained stable versus 1H16 (2.04%) despite the effects of the El Nino phenomenon, and the scenario of low economic growth and less dynamism in internal demand that has characterized the past few months. As such, the cost of risk for Credicorp and its segments continues to be within the organization’s risk appetite.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3.2.1 Delinquency ratios by business segment</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154940</wp:posOffset>
            </wp:positionV>
            <wp:extent cx="5419725" cy="2212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972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80" w:hanging="494"/>
        <w:spacing w:after="0" w:line="282"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cost of risk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was situated at 0.21%, which represents a decline of -107 bps QoQ and -14 bps YoY. This reduction is attributable to a decrease in the provisions required in 2Q17 for construction companies.</w:t>
      </w: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48555" cy="1878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4855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80" w:hanging="494"/>
        <w:spacing w:after="0" w:line="282"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 QoQ and YoY drop in its cost of risk and in its IOL and NPL ratios given that the increase in loan growth (+4.7% QoQ</w:t>
      </w:r>
      <w:r>
        <w:rPr>
          <w:rFonts w:ascii="Arial" w:cs="Arial" w:eastAsia="Arial" w:hAnsi="Arial"/>
          <w:sz w:val="18"/>
          <w:szCs w:val="18"/>
          <w:b w:val="1"/>
          <w:bCs w:val="1"/>
          <w:color w:val="auto"/>
        </w:rPr>
        <w:t xml:space="preserve"> </w:t>
      </w:r>
      <w:r>
        <w:rPr>
          <w:rFonts w:ascii="Arial" w:cs="Arial" w:eastAsia="Arial" w:hAnsi="Arial"/>
          <w:sz w:val="18"/>
          <w:szCs w:val="18"/>
          <w:color w:val="auto"/>
        </w:rPr>
        <w:t>and +16.4% YoY) outpaced growth in the IOL and NPL portfolios.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380"/>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154940</wp:posOffset>
            </wp:positionV>
            <wp:extent cx="5025390" cy="2246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2539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500" w:hanging="494"/>
        <w:spacing w:after="0" w:line="25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risk in the SME-Business segment fell QoQ and YoY due mainly to a decrease in provisions for loan losses in 2Q17, which was attributable to recoveries. The NPL ratio improved QoQ, which was in line with (i) a contraction in the NPL portfolio due to higher write-offs during June 2017; and (ii) a +5.2% expansion in the SME-Business loan portfolio. Nevertheless, the YoY evolution shows an increase in the NPL ratio given that total loans grew at a slower pace than the NPL portfolio. It is important to note that this segment continues to post portfolio quality ratios that are within the organization’s risk appetite.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154940</wp:posOffset>
            </wp:positionV>
            <wp:extent cx="5034280" cy="2212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3428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00" w:hanging="494"/>
        <w:spacing w:after="0" w:line="261"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segment it is important to analyze the early delinquency ratio, which excludes loans that are less than 60 days overdue (volatile loans whose percentage of recovery is very high) and those overdue more than 150 days (loans for which provisions have been set aside but which cannot be written-off due to the existence of real estate collateral– commercial properties- that must follow a judicial process that require between four and five years on average, to foreclose and liquidate).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Since the beginning of the second half of 2014, early delinquency has maintained a downward trend YoY, in line with on-going improvements in the SME-Pyme business model as reflected in the better risk quality of vintages originated from 2015 and on. In 2Q17 early delinquency fell -100 bps YoY reporting its lowest level since 1Q13, prior to the delinquency problem that was triggered by a downturn in the Peruvian economy. This reflects the improvement seen in the risk quality of new vintages, in line with the measures taken to improve portfolio quality and client admission processes.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cost of risk fell -211 bps YoY, reaching a record low in the past three years. This was mainly attributable to the decrease in provisions, related to an increase in recoveries.</w:t>
      </w:r>
    </w:p>
    <w:p>
      <w:pPr>
        <w:spacing w:after="0" w:line="17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 xml:space="preserve">Mortgage – Portfolio quality and Cost of risk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90170</wp:posOffset>
            </wp:positionV>
            <wp:extent cx="5154295" cy="2109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5429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60" w:hanging="262"/>
        <w:spacing w:after="0"/>
        <w:tabs>
          <w:tab w:leader="none" w:pos="13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880" w:hanging="494"/>
        <w:spacing w:after="0" w:line="25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loans, although traditional delinquency ratios show an upward trend, it is important to note that these loans are also affected by the existence of real estate guarantees that take years to execute, which means that they cannot be charged off when more than 150 days overdue. For this reason, it is important to analyze the Early Delinquency indicator, which fell -9 bps QoQ to reach its lowest point in the last year (2016-2017). Nevertheless, the cost of risk increased +21 bps QoQ due to an increase in provisions, which registered an unusually low level in 1Q17 due to reversals for the Mivivienda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early delinquency fell -15 bps and the cost of risk fell -47 bps, in line with a significant drop in provisions.</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 xml:space="preserve">Consumer – Portfolio quality and Cost of risk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90170</wp:posOffset>
            </wp:positionV>
            <wp:extent cx="5137150" cy="2255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3715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80" w:hanging="251"/>
        <w:spacing w:after="0"/>
        <w:tabs>
          <w:tab w:leader="none" w:pos="12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880" w:hanging="494"/>
        <w:spacing w:after="0" w:line="25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portfolio, the cost of risk fell -39 bps QoQ and -263 YoY, mainly due to a significant reduction in provisions that was attributable to (i) the extinction of vintages prior to 2015; and (ii) a change in the portfolio’s composition. At the end of June 2017, 66% of the portfolio corresponds to vintages from 2016 an on, whose risk profiles are better than those associated with vintages from 2015 or before, which were responsible for the delinquency issues. The portfolio’s new composition reflects the new profile that resulted from the change in the risk admission policy and as such, entails a lower provision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Early delinquency increased slightly QoQ but contracted -65 bps YoY due to an improvement in the risk quality of new vintages.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154940</wp:posOffset>
            </wp:positionV>
            <wp:extent cx="5205730" cy="1920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0573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880" w:hanging="494"/>
        <w:spacing w:after="0" w:line="25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Credit Card portfolio posted a decline in its cost of risk both QoQ and YoY. This was in line with a drop in provisions, which offset the effect of a contraction in the loan portfolio. The drop in loan balances was due to a decrease in new loans origination that was attributable to more restrictive measures for loan placement, which not only exclude clients with a high probability of default but also admit new clients with better risk profiles and higher debt amortization ratios. As such, it is evident that the risk quality of this portfolio has improved due to the corrective measures applied following the delinquency problem that arose at the end of 2015.</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Early delinquency fell -24 bps QoQ and -56 bps YoY, which reflects the improvement in the risk quality of new vintages. The IOL and NPL ratios continued to post a downward trend.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154940</wp:posOffset>
            </wp:positionV>
            <wp:extent cx="4673600" cy="2195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7360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hanging="263"/>
        <w:spacing w:after="0"/>
        <w:tabs>
          <w:tab w:leader="none" w:pos="1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cost of risk of March 2017 and June 2017 calculated eliminating provisions related to the El Nino weather phenomenon.</w:t>
      </w:r>
    </w:p>
    <w:p>
      <w:pPr>
        <w:spacing w:after="0" w:line="34" w:lineRule="exact"/>
        <w:rPr>
          <w:rFonts w:ascii="Arial" w:cs="Arial" w:eastAsia="Arial" w:hAnsi="Arial"/>
          <w:sz w:val="17"/>
          <w:szCs w:val="17"/>
          <w:color w:val="auto"/>
        </w:rPr>
      </w:pPr>
    </w:p>
    <w:p>
      <w:pPr>
        <w:ind w:left="1420" w:hanging="263"/>
        <w:spacing w:after="0"/>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 of risk of Mibanco is calculated starting on 2Q14 since net provisions were consolidated on BAP’s results at the beginning of this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both"/>
        <w:ind w:left="880" w:hanging="494"/>
        <w:spacing w:after="0" w:line="279"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 of risk at Mibanco fell -64 bps QoQ. This was due primarily to a decrease in provisions for El Nino (FEN) in 2Q17, followed by portfolio growth. If we exclude the provisions set aside for FEN in 1Q17 and 2Q17, which totaled S/ 35.5 million and S/ 15.0 million respectively, the adjusted cost of risk increases from 3.43% to 3.74%. The latter reflects the continuous growth and higher returns of Mibanco, which imply taking some more risks in line with this kind of business, but always within the organization’s risk appetite.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NPL ratio increased slightly both QoQ and YoY, which reflects some deterioration in (i) some customers affected by FEN; and (ii) the core portfolio, as we explained above.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an environment of low loan growth and high competition, NIM after provisions increased +10 bps QoQ, +24 bps YoY and +4 bps YTD. This was due primarily to a drop in net provisions for loan losses and to higher returns on other assets, in a scenario in which NIM on loans continues to experience downward pressure.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2Q16</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line="202" w:lineRule="exact"/>
              <w:rPr>
                <w:sz w:val="20"/>
                <w:szCs w:val="20"/>
                <w:color w:val="auto"/>
              </w:rPr>
            </w:pPr>
            <w:r>
              <w:rPr>
                <w:rFonts w:ascii="Arial" w:cs="Arial" w:eastAsia="Arial" w:hAnsi="Arial"/>
                <w:sz w:val="14"/>
                <w:szCs w:val="14"/>
                <w:b w:val="1"/>
                <w:bCs w:val="1"/>
                <w:color w:val="auto"/>
              </w:rPr>
              <w:t xml:space="preserve">1Q17 </w:t>
            </w:r>
            <w:r>
              <w:rPr>
                <w:rFonts w:ascii="Arial" w:cs="Arial" w:eastAsia="Arial" w:hAnsi="Arial"/>
                <w:sz w:val="23"/>
                <w:szCs w:val="23"/>
                <w:b w:val="1"/>
                <w:bCs w:val="1"/>
                <w:color w:val="auto"/>
                <w:vertAlign w:val="superscript"/>
              </w:rPr>
              <w:t>(2)</w:t>
            </w: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2Q17</w:t>
            </w: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 16</w:t>
            </w: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17</w:t>
            </w:r>
          </w:p>
        </w:tc>
        <w:tc>
          <w:tcPr>
            <w:tcW w:w="2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17 / Jun 16</w:t>
            </w:r>
          </w:p>
        </w:tc>
        <w:tc>
          <w:tcPr>
            <w:tcW w:w="120" w:type="dxa"/>
            <w:vAlign w:val="bottom"/>
            <w:tcBorders>
              <w:bottom w:val="single" w:sz="8" w:color="CCEEFF"/>
            </w:tcBorders>
          </w:tcPr>
          <w:p>
            <w:pPr>
              <w:spacing w:after="0"/>
              <w:rPr>
                <w:sz w:val="17"/>
                <w:szCs w:val="17"/>
                <w:color w:val="auto"/>
              </w:rPr>
            </w:pPr>
          </w:p>
        </w:tc>
      </w:tr>
      <w:tr>
        <w:trPr>
          <w:trHeight w:val="142"/>
        </w:trPr>
        <w:tc>
          <w:tcPr>
            <w:tcW w:w="26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2,611,712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2,739,779</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2,715,901</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-0.9%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5,246,047</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5,455,680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w:t>
            </w:r>
          </w:p>
        </w:tc>
      </w:tr>
      <w:tr>
        <w:trPr>
          <w:trHeight w:val="149"/>
        </w:trPr>
        <w:tc>
          <w:tcPr>
            <w:tcW w:w="2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2,331,491</w:t>
            </w: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2,361,659</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2,353,070</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4,643,487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4,714,729</w:t>
            </w:r>
          </w:p>
        </w:tc>
        <w:tc>
          <w:tcPr>
            <w:tcW w:w="2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2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6,146</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30,123</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4,223</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-86.0%</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-31.3%</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45,954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34,346</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r>
      <w:tr>
        <w:trPr>
          <w:trHeight w:val="149"/>
        </w:trPr>
        <w:tc>
          <w:tcPr>
            <w:tcW w:w="2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11,758</w:t>
            </w: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23,460</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20,416</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-13.0%</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73.6%</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24,124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43,876</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81.9%</w:t>
            </w:r>
          </w:p>
        </w:tc>
      </w:tr>
      <w:tr>
        <w:trPr>
          <w:trHeight w:val="149"/>
        </w:trPr>
        <w:tc>
          <w:tcPr>
            <w:tcW w:w="2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252,704</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313,432</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331,953</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31.4%</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505,757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645,385</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r>
      <w:tr>
        <w:trPr>
          <w:trHeight w:val="149"/>
        </w:trPr>
        <w:tc>
          <w:tcPr>
            <w:tcW w:w="2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9,613</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11,105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6,239</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-43.8%</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-35.1%</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26,725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17,344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w:t>
            </w:r>
          </w:p>
        </w:tc>
      </w:tr>
      <w:tr>
        <w:trPr>
          <w:trHeight w:val="149"/>
        </w:trPr>
        <w:tc>
          <w:tcPr>
            <w:tcW w:w="2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Interest expense</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708,002</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723,692</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743,196</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5.0%</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1,403,944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1,466,888</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r>
      <w:tr>
        <w:trPr>
          <w:trHeight w:val="149"/>
        </w:trPr>
        <w:tc>
          <w:tcPr>
            <w:tcW w:w="2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261,015</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267,534</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284,093</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517,705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551,627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w:t>
            </w:r>
          </w:p>
        </w:tc>
      </w:tr>
      <w:tr>
        <w:trPr>
          <w:trHeight w:val="149"/>
        </w:trPr>
        <w:tc>
          <w:tcPr>
            <w:tcW w:w="2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208,730</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198,506</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199,127</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411,680</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397,633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9"/>
        </w:trPr>
        <w:tc>
          <w:tcPr>
            <w:tcW w:w="27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6"/>
              </w:rPr>
              <w:t>Interest on bonds and subordinated notes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185,389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208,159</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210,905</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13.8%</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378,679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419,064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r>
      <w:tr>
        <w:trPr>
          <w:trHeight w:val="162"/>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interest expense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52,868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49,493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49,071</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-0.9%</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95,880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98,564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42"/>
        </w:trPr>
        <w:tc>
          <w:tcPr>
            <w:tcW w:w="270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Net interest income</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1,903,710</w:t>
            </w: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2,016,087</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1,972,705</w:t>
            </w:r>
          </w:p>
        </w:tc>
        <w:tc>
          <w:tcPr>
            <w:tcW w:w="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3,842,103</w:t>
            </w:r>
          </w:p>
        </w:tc>
        <w:tc>
          <w:tcPr>
            <w:tcW w:w="3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3,988,792</w:t>
            </w:r>
          </w:p>
        </w:tc>
        <w:tc>
          <w:tcPr>
            <w:tcW w:w="2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w:t>
            </w:r>
          </w:p>
        </w:tc>
        <w:tc>
          <w:tcPr>
            <w:tcW w:w="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79"/>
              </w:rPr>
              <w:t>%</w:t>
            </w: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interest income after provisions</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1,419,799</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1,479,593</w:t>
            </w:r>
          </w:p>
        </w:tc>
        <w:tc>
          <w:tcPr>
            <w:tcW w:w="2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1,539,486</w:t>
            </w:r>
          </w:p>
        </w:tc>
        <w:tc>
          <w:tcPr>
            <w:tcW w:w="2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2,904,955</w:t>
            </w:r>
          </w:p>
        </w:tc>
        <w:tc>
          <w:tcPr>
            <w:tcW w:w="32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3,019,079</w:t>
            </w:r>
          </w:p>
        </w:tc>
        <w:tc>
          <w:tcPr>
            <w:tcW w:w="260" w:type="dxa"/>
            <w:vAlign w:val="bottom"/>
            <w:shd w:val="clear" w:color="auto" w:fill="CCEEFF"/>
          </w:tcPr>
          <w:p>
            <w:pPr>
              <w:spacing w:after="0"/>
              <w:rPr>
                <w:sz w:val="12"/>
                <w:szCs w:val="12"/>
                <w:color w:val="auto"/>
              </w:rPr>
            </w:pPr>
          </w:p>
        </w:tc>
        <w:tc>
          <w:tcPr>
            <w:tcW w:w="98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9"/>
              </w:rPr>
              <w:t>%</w:t>
            </w:r>
          </w:p>
        </w:tc>
      </w:tr>
      <w:tr>
        <w:trPr>
          <w:trHeight w:val="142"/>
        </w:trPr>
        <w:tc>
          <w:tcPr>
            <w:tcW w:w="270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Average interest earning assets</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146,761,868</w:t>
            </w: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147,636,361</w:t>
            </w: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149,939,696</w:t>
            </w: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144,725,643</w:t>
            </w: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148,745,969</w:t>
            </w:r>
          </w:p>
        </w:tc>
        <w:tc>
          <w:tcPr>
            <w:tcW w:w="2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79"/>
              </w:rPr>
              <w:t>%</w:t>
            </w:r>
          </w:p>
        </w:tc>
      </w:tr>
      <w:tr>
        <w:trPr>
          <w:trHeight w:val="169"/>
        </w:trPr>
        <w:tc>
          <w:tcPr>
            <w:tcW w:w="27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5.46%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5.26%</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-20bps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7bps</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5.31%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5.36%</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5bps</w:t>
            </w:r>
          </w:p>
        </w:tc>
      </w:tr>
      <w:tr>
        <w:trPr>
          <w:trHeight w:val="149"/>
        </w:trPr>
        <w:tc>
          <w:tcPr>
            <w:tcW w:w="2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NIM on loans</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8.25%</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8.13%</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8.13%</w:t>
            </w: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0bps</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-11bps</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8.23%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8.18%</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-5bps</w:t>
            </w:r>
          </w:p>
        </w:tc>
      </w:tr>
      <w:tr>
        <w:trPr>
          <w:trHeight w:val="189"/>
        </w:trPr>
        <w:tc>
          <w:tcPr>
            <w:tcW w:w="27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3"/>
                <w:szCs w:val="13"/>
                <w:b w:val="1"/>
                <w:bCs w:val="1"/>
                <w:color w:val="auto"/>
              </w:rPr>
              <w:t xml:space="preserve">Net interest margin after provisions </w:t>
            </w:r>
            <w:r>
              <w:rPr>
                <w:rFonts w:ascii="Arial" w:cs="Arial" w:eastAsia="Arial" w:hAnsi="Arial"/>
                <w:sz w:val="21"/>
                <w:szCs w:val="21"/>
                <w:b w:val="1"/>
                <w:bCs w:val="1"/>
                <w:color w:val="auto"/>
                <w:vertAlign w:val="superscript"/>
              </w:rPr>
              <w:t>(1)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4.11%</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10bps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24bps</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4.06%</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4bps</w:t>
            </w:r>
          </w:p>
        </w:tc>
      </w:tr>
      <w:tr>
        <w:trPr>
          <w:trHeight w:val="126"/>
        </w:trPr>
        <w:tc>
          <w:tcPr>
            <w:tcW w:w="270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Net provisions for loan losses / Net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5"/>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income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25.42%</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26.61%</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21.96%</w:t>
            </w: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-465bps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-346bps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24.39%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24.31%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-9bps</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we have decided to eliminate the derivatives net result from the NII line and include it in non-financial income starting on 1Q17. The aim of this change is to manage NIM more accurately while ensuring optimum disclosure. For comparative purposes, these changes have been applied retroactively to 2Q16.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Interest income contracted -0.9% QoQ due to a decrease in </w:t>
      </w:r>
      <w:r>
        <w:rPr>
          <w:rFonts w:ascii="Arial" w:cs="Arial" w:eastAsia="Arial" w:hAnsi="Arial"/>
          <w:sz w:val="17"/>
          <w:szCs w:val="17"/>
          <w:b w:val="1"/>
          <w:bCs w:val="1"/>
          <w:color w:val="auto"/>
        </w:rPr>
        <w:t>Dividend income on investments</w:t>
      </w:r>
      <w:r>
        <w:rPr>
          <w:rFonts w:ascii="Arial" w:cs="Arial" w:eastAsia="Arial" w:hAnsi="Arial"/>
          <w:sz w:val="17"/>
          <w:szCs w:val="17"/>
          <w:color w:val="auto"/>
        </w:rPr>
        <w:t xml:space="preserve">, which is received in 1Q every year. Additionally, the drop in interest income also reflects, although to a lesser degree, lower income from interest income on loans (-0.4%), which was attributable to the contraction in average daily loan balances. The decrease in interest on loans was partially offset by the increase in </w:t>
      </w:r>
      <w:r>
        <w:rPr>
          <w:rFonts w:ascii="Arial" w:cs="Arial" w:eastAsia="Arial" w:hAnsi="Arial"/>
          <w:sz w:val="17"/>
          <w:szCs w:val="17"/>
          <w:b w:val="1"/>
          <w:bCs w:val="1"/>
          <w:color w:val="auto"/>
        </w:rPr>
        <w:t>Interest on securities.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xml:space="preserve"> interest income grew +4.0%, which was primarily due to an increase in </w:t>
      </w:r>
      <w:r>
        <w:rPr>
          <w:rFonts w:ascii="Arial" w:cs="Arial" w:eastAsia="Arial" w:hAnsi="Arial"/>
          <w:sz w:val="17"/>
          <w:szCs w:val="17"/>
          <w:b w:val="1"/>
          <w:bCs w:val="1"/>
          <w:color w:val="auto"/>
        </w:rPr>
        <w:t>interest income on securities,</w:t>
      </w:r>
      <w:r>
        <w:rPr>
          <w:rFonts w:ascii="Arial" w:cs="Arial" w:eastAsia="Arial" w:hAnsi="Arial"/>
          <w:sz w:val="17"/>
          <w:szCs w:val="17"/>
          <w:color w:val="auto"/>
        </w:rPr>
        <w:t xml:space="preserve"> and to a lesser degree due to </w:t>
      </w:r>
      <w:r>
        <w:rPr>
          <w:rFonts w:ascii="Arial" w:cs="Arial" w:eastAsia="Arial" w:hAnsi="Arial"/>
          <w:sz w:val="17"/>
          <w:szCs w:val="17"/>
          <w:b w:val="1"/>
          <w:bCs w:val="1"/>
          <w:color w:val="auto"/>
        </w:rPr>
        <w:t>interest income on loans</w:t>
      </w:r>
      <w:r>
        <w:rPr>
          <w:rFonts w:ascii="Arial" w:cs="Arial" w:eastAsia="Arial" w:hAnsi="Arial"/>
          <w:sz w:val="17"/>
          <w:szCs w:val="17"/>
          <w:color w:val="auto"/>
        </w:rPr>
        <w:t>. The former was in turn the result of higher income on Central Banks’ debt instruments and on securities issued by governments.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latter was in line with expansion in loans measured in average daily balances from Mibanco, BCP Bolivia and SME-Pyme.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expenses increased +2.7% </w:t>
      </w:r>
      <w:r>
        <w:rPr>
          <w:rFonts w:ascii="Arial" w:cs="Arial" w:eastAsia="Arial" w:hAnsi="Arial"/>
          <w:sz w:val="16"/>
          <w:szCs w:val="16"/>
          <w:b w:val="1"/>
          <w:bCs w:val="1"/>
          <w:color w:val="auto"/>
        </w:rPr>
        <w:t>QoQ,</w:t>
      </w:r>
      <w:r>
        <w:rPr>
          <w:rFonts w:ascii="Arial" w:cs="Arial" w:eastAsia="Arial" w:hAnsi="Arial"/>
          <w:sz w:val="16"/>
          <w:szCs w:val="16"/>
          <w:color w:val="auto"/>
        </w:rPr>
        <w:t xml:space="preserve"> due to </w:t>
      </w:r>
      <w:r>
        <w:rPr>
          <w:rFonts w:ascii="Arial" w:cs="Arial" w:eastAsia="Arial" w:hAnsi="Arial"/>
          <w:sz w:val="16"/>
          <w:szCs w:val="16"/>
          <w:b w:val="1"/>
          <w:bCs w:val="1"/>
          <w:color w:val="auto"/>
        </w:rPr>
        <w:t>interest expenses on deposits</w:t>
      </w:r>
      <w:r>
        <w:rPr>
          <w:rFonts w:ascii="Arial" w:cs="Arial" w:eastAsia="Arial" w:hAnsi="Arial"/>
          <w:sz w:val="16"/>
          <w:szCs w:val="16"/>
          <w:color w:val="auto"/>
        </w:rPr>
        <w:t xml:space="preserve"> mainly at BCP and BCP Bolivia, as explained in section 2. Funding Sources.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expenses grew +5.0%, mainly due to higher </w:t>
      </w:r>
      <w:r>
        <w:rPr>
          <w:rFonts w:ascii="Arial" w:cs="Arial" w:eastAsia="Arial" w:hAnsi="Arial"/>
          <w:sz w:val="18"/>
          <w:szCs w:val="18"/>
          <w:b w:val="1"/>
          <w:bCs w:val="1"/>
          <w:color w:val="auto"/>
        </w:rPr>
        <w:t>Interest on bonds and subordinated notes</w:t>
      </w:r>
      <w:r>
        <w:rPr>
          <w:rFonts w:ascii="Arial" w:cs="Arial" w:eastAsia="Arial" w:hAnsi="Arial"/>
          <w:sz w:val="18"/>
          <w:szCs w:val="18"/>
          <w:color w:val="auto"/>
        </w:rPr>
        <w:t xml:space="preserve"> that was associated with issuances made by BCP Stand-alone in 2H16 and 1Q17 and, to a lesser extent, to higher expenses for </w:t>
      </w:r>
      <w:r>
        <w:rPr>
          <w:rFonts w:ascii="Arial" w:cs="Arial" w:eastAsia="Arial" w:hAnsi="Arial"/>
          <w:sz w:val="18"/>
          <w:szCs w:val="18"/>
          <w:b w:val="1"/>
          <w:bCs w:val="1"/>
          <w:color w:val="auto"/>
        </w:rPr>
        <w:t>Interest on Deposits.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expenses on deposits </w:t>
      </w:r>
      <w:r>
        <w:rPr>
          <w:rFonts w:ascii="Arial" w:cs="Arial" w:eastAsia="Arial" w:hAnsi="Arial"/>
          <w:sz w:val="18"/>
          <w:szCs w:val="18"/>
          <w:color w:val="auto"/>
        </w:rPr>
        <w:t>grew in line with:</w:t>
      </w:r>
    </w:p>
    <w:p>
      <w:pPr>
        <w:spacing w:after="0" w:line="229" w:lineRule="exact"/>
        <w:rPr>
          <w:sz w:val="20"/>
          <w:szCs w:val="20"/>
          <w:color w:val="auto"/>
        </w:rPr>
      </w:pPr>
    </w:p>
    <w:p>
      <w:pPr>
        <w:jc w:val="both"/>
        <w:ind w:left="880" w:hanging="494"/>
        <w:spacing w:after="0" w:line="312"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change in the currency mix at BCP Stand-alone, considering average daily balances of deposits at BCP Stand-alone were relatively stable (-0.3% YoY). The de-dollarization of deposits (in average daily balances for the year) resulted in higher interest expenses. Deposits contracted in FC while those denominated in LC expanded. This put pressure on interest expenses because FC deposits are less costly than LC deposits.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880" w:hanging="49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deposits growth at BCP Bolivia at the expense of savings deposits, which put pressure on the funding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QoQ analysis, NIM fell due to a drop in NII (-2.2% QoQ) in a scenario in which average IEA grew slightly (+1.6%). The QoQ contraction in NII was mainly due to the reduction in Dividend Income on investments, as it is explained in section 4.1 Interest Income.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YoY analysis, NIM growth was attributable to an increase in interest income from securities and loans, which offset moderate growth in average IEA and the increase in interest expenses on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NIM after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NIM after provisions increased of +10 bps QoQ. This was in line with a drop in net provisions for loan losses, which offset the contraction registered in NII.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NIM after provisions improved +24 bps due to an increase in net interest income and a contraction in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and NIM after provisions</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90170</wp:posOffset>
            </wp:positionV>
            <wp:extent cx="5154295" cy="2366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5429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80" w:hanging="215"/>
        <w:spacing w:after="0" w:line="277" w:lineRule="auto"/>
        <w:rPr>
          <w:sz w:val="20"/>
          <w:szCs w:val="20"/>
          <w:color w:val="auto"/>
        </w:rPr>
      </w:pPr>
      <w:r>
        <w:rPr>
          <w:rFonts w:ascii="Arial" w:cs="Arial" w:eastAsia="Arial" w:hAnsi="Arial"/>
          <w:sz w:val="18"/>
          <w:szCs w:val="18"/>
          <w:color w:val="auto"/>
        </w:rPr>
        <w:t>(1)Starting on 1Q17, we exclude derivatives from the NII result. For comparative purposes, figures starting from 1Q16 have been recalculated with the new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137160</wp:posOffset>
            </wp:positionV>
            <wp:extent cx="435673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right="17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3841115</wp:posOffset>
            </wp:positionH>
            <wp:positionV relativeFrom="page">
              <wp:posOffset>573405</wp:posOffset>
            </wp:positionV>
            <wp:extent cx="34290" cy="1611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1611630"/>
                    </a:xfrm>
                    <a:prstGeom prst="rect">
                      <a:avLst/>
                    </a:prstGeom>
                    <a:noFill/>
                  </pic:spPr>
                </pic:pic>
              </a:graphicData>
            </a:graphic>
          </wp:anchor>
        </w:drawing>
        <w:t xml:space="preserve">NIM on loans </w:t>
      </w:r>
      <w:r>
        <w:rPr>
          <w:rFonts w:ascii="Arial" w:cs="Arial" w:eastAsia="Arial" w:hAnsi="Arial"/>
          <w:sz w:val="18"/>
          <w:szCs w:val="18"/>
          <w:color w:val="auto"/>
        </w:rPr>
        <w:t>remained stable</w:t>
      </w:r>
      <w:r>
        <w:rPr>
          <w:rFonts w:ascii="Arial" w:cs="Arial" w:eastAsia="Arial" w:hAnsi="Arial"/>
          <w:sz w:val="18"/>
          <w:szCs w:val="18"/>
          <w:b w:val="1"/>
          <w:bCs w:val="1"/>
          <w:color w:val="auto"/>
        </w:rPr>
        <w:t xml:space="preserve"> QoQ </w:t>
      </w:r>
      <w:r>
        <w:rPr>
          <w:rFonts w:ascii="Arial" w:cs="Arial" w:eastAsia="Arial" w:hAnsi="Arial"/>
          <w:sz w:val="18"/>
          <w:szCs w:val="18"/>
          <w:color w:val="auto"/>
        </w:rPr>
        <w:t>but contracted</w:t>
      </w:r>
      <w:r>
        <w:rPr>
          <w:rFonts w:ascii="Arial" w:cs="Arial" w:eastAsia="Arial" w:hAnsi="Arial"/>
          <w:sz w:val="18"/>
          <w:szCs w:val="18"/>
          <w:b w:val="1"/>
          <w:bCs w:val="1"/>
          <w:color w:val="auto"/>
        </w:rPr>
        <w:t xml:space="preserve"> YoY and YTD.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contraction is the result of the pressure on margins due to the increase in the level of competition in some segments. This was partially offset by the change in the loan book mix, which shows higher share in the business segments with higher margins.</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7"/>
          <w:szCs w:val="17"/>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161925</wp:posOffset>
            </wp:positionV>
            <wp:extent cx="2101215" cy="127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01215" cy="1277620"/>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7380" w:space="720"/>
            <w:col w:w="33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shows the interest margins posted by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BCP Stand-alone</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ASB</w:t>
            </w: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 xml:space="preserve">Credicorp </w:t>
            </w:r>
            <w:r>
              <w:rPr>
                <w:rFonts w:ascii="Arial" w:cs="Arial" w:eastAsia="Arial" w:hAnsi="Arial"/>
                <w:sz w:val="30"/>
                <w:szCs w:val="30"/>
                <w:b w:val="1"/>
                <w:bCs w:val="1"/>
                <w:color w:val="auto"/>
                <w:w w:val="87"/>
                <w:vertAlign w:val="superscript"/>
              </w:rPr>
              <w:t>(1)</w:t>
            </w:r>
          </w:p>
        </w:tc>
        <w:tc>
          <w:tcPr>
            <w:tcW w:w="180" w:type="dxa"/>
            <w:vAlign w:val="bottom"/>
            <w:tcBorders>
              <w:bottom w:val="single" w:sz="8" w:color="CCEEFF"/>
            </w:tcBorders>
          </w:tcPr>
          <w:p>
            <w:pPr>
              <w:spacing w:after="0"/>
              <w:rPr>
                <w:sz w:val="24"/>
                <w:szCs w:val="24"/>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2Q16</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r>
      <w:tr>
        <w:trPr>
          <w:trHeight w:val="216"/>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1Q17</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15.47%</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5.46%</w:t>
            </w:r>
          </w:p>
        </w:tc>
      </w:tr>
      <w:tr>
        <w:trPr>
          <w:trHeight w:val="216"/>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2Q17</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of global NIM by subsidiary shows a contraction in Credicorp’s margin, which was attributable primarily to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which represents around 66% of the group’s net interest income. This subsidiary is also explaining most of the pressure on NIM on loans described above. Furthermore, the decrease QoQ in global NIM was also due, to a lesser extent, to a drop in NIM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which accounts for 22% of Credicorp’s net interest income. This decline was partially offset by the improvement in </w:t>
      </w:r>
      <w:r>
        <w:rPr>
          <w:rFonts w:ascii="Arial" w:cs="Arial" w:eastAsia="Arial" w:hAnsi="Arial"/>
          <w:sz w:val="18"/>
          <w:szCs w:val="18"/>
          <w:b w:val="1"/>
          <w:bCs w:val="1"/>
          <w:color w:val="auto"/>
        </w:rPr>
        <w:t>ASB</w:t>
      </w:r>
      <w:r>
        <w:rPr>
          <w:rFonts w:ascii="Arial" w:cs="Arial" w:eastAsia="Arial" w:hAnsi="Arial"/>
          <w:sz w:val="18"/>
          <w:szCs w:val="18"/>
          <w:color w:val="auto"/>
        </w:rPr>
        <w:t>’s margin.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reveals that the increase in NIM at Credicorp is attributable to growth in NIM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and </w:t>
      </w:r>
      <w:r>
        <w:rPr>
          <w:rFonts w:ascii="Arial" w:cs="Arial" w:eastAsia="Arial" w:hAnsi="Arial"/>
          <w:sz w:val="18"/>
          <w:szCs w:val="18"/>
          <w:b w:val="1"/>
          <w:bCs w:val="1"/>
          <w:color w:val="auto"/>
        </w:rPr>
        <w:t>ASB,</w:t>
      </w:r>
      <w:r>
        <w:rPr>
          <w:rFonts w:ascii="Arial" w:cs="Arial" w:eastAsia="Arial" w:hAnsi="Arial"/>
          <w:sz w:val="18"/>
          <w:szCs w:val="18"/>
          <w:color w:val="auto"/>
        </w:rPr>
        <w:t xml:space="preserve"> and to stable NIM at </w:t>
      </w:r>
      <w:r>
        <w:rPr>
          <w:rFonts w:ascii="Arial" w:cs="Arial" w:eastAsia="Arial" w:hAnsi="Arial"/>
          <w:sz w:val="18"/>
          <w:szCs w:val="18"/>
          <w:b w:val="1"/>
          <w:bCs w:val="1"/>
          <w:color w:val="auto"/>
        </w:rPr>
        <w:t>BCP Stand-alone</w:t>
      </w:r>
      <w:r>
        <w:rPr>
          <w:rFonts w:ascii="Arial" w:cs="Arial" w:eastAsia="Arial" w:hAnsi="Arial"/>
          <w:sz w:val="18"/>
          <w:szCs w:val="18"/>
          <w:color w:val="auto"/>
        </w:rPr>
        <w:t>.</w:t>
      </w:r>
    </w:p>
    <w:p>
      <w:pPr>
        <w:spacing w:after="0" w:line="16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non-financial income posted an increase QoQ due to fee income and gains on sales of securities. The YoY analysis reflects a contraction that was primarily due to a drop in gains on sales of securities and in gains on foreign exchange transactions, which was, nevertheless, offset by the increase in fee income and other non-financial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ind w:left="74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Jun 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2017 / 2016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693,185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678,047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717,190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1,363,943</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1,395,237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Net gain on foreign exchange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165,398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166,486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160,256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330,166</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326,742</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176,623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57,821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83,151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182,076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140,972</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derivatives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54,341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Result on exchange difference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(8,794)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9,070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2,305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-126.2%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(45,544)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11,375</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non-financial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68,745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69,771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138,516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 financial income</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1,065,248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1,040,533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1,053,960</w:t>
            </w:r>
          </w:p>
        </w:tc>
        <w:tc>
          <w:tcPr>
            <w:tcW w:w="200" w:type="dxa"/>
            <w:vAlign w:val="bottom"/>
            <w:vMerge w:val="continue"/>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1,943,797</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2,094,493</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QoQ growth in non-financial income was due primarily to:</w:t>
      </w:r>
    </w:p>
    <w:p>
      <w:pPr>
        <w:spacing w:after="0" w:line="221" w:lineRule="exact"/>
        <w:rPr>
          <w:sz w:val="20"/>
          <w:szCs w:val="20"/>
          <w:color w:val="auto"/>
        </w:rPr>
      </w:pPr>
    </w:p>
    <w:p>
      <w:pPr>
        <w:jc w:val="both"/>
        <w:ind w:left="880" w:hanging="494"/>
        <w:spacing w:after="0" w:line="289"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 increase in </w:t>
      </w:r>
      <w:r>
        <w:rPr>
          <w:rFonts w:ascii="Arial" w:cs="Arial" w:eastAsia="Arial" w:hAnsi="Arial"/>
          <w:sz w:val="17"/>
          <w:szCs w:val="17"/>
          <w:b w:val="1"/>
          <w:bCs w:val="1"/>
          <w:color w:val="auto"/>
        </w:rPr>
        <w:t>fee income</w:t>
      </w:r>
      <w:r>
        <w:rPr>
          <w:rFonts w:ascii="Arial" w:cs="Arial" w:eastAsia="Arial" w:hAnsi="Arial"/>
          <w:sz w:val="17"/>
          <w:szCs w:val="17"/>
          <w:color w:val="auto"/>
        </w:rPr>
        <w:t>- the main source of non-financial income- which was generated, in large part, by higher income at Credicorp Capital. This expansion was attributable to the capital markets business line at Credicorp Capital after the bond issuance service provided to a client. A slight increase was also reported in fee income in the banking business, which we will address in section 5.1.2.</w:t>
      </w:r>
    </w:p>
    <w:p>
      <w:pPr>
        <w:spacing w:after="0" w:line="158" w:lineRule="exact"/>
        <w:rPr>
          <w:rFonts w:ascii="Arial" w:cs="Arial" w:eastAsia="Arial" w:hAnsi="Arial"/>
          <w:sz w:val="17"/>
          <w:szCs w:val="17"/>
          <w:color w:val="auto"/>
        </w:rPr>
      </w:pPr>
    </w:p>
    <w:p>
      <w:pPr>
        <w:ind w:left="880" w:hanging="494"/>
        <w:spacing w:after="0" w:line="282"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b w:val="1"/>
          <w:bCs w:val="1"/>
          <w:color w:val="auto"/>
        </w:rPr>
        <w:t>net gains on sales of securities,</w:t>
      </w:r>
      <w:r>
        <w:rPr>
          <w:rFonts w:ascii="Arial" w:cs="Arial" w:eastAsia="Arial" w:hAnsi="Arial"/>
          <w:sz w:val="18"/>
          <w:szCs w:val="18"/>
          <w:color w:val="auto"/>
        </w:rPr>
        <w:t xml:space="preserve"> which was attributable to the income generated by BCP Stand-alone for the sale of sovereign bonds and certificates of deposit issued by the Peruvian government and BCRP, respectively.</w:t>
      </w:r>
    </w:p>
    <w:p>
      <w:pPr>
        <w:spacing w:after="0" w:line="16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Other non-financial income</w:t>
      </w:r>
      <w:r>
        <w:rPr>
          <w:rFonts w:ascii="Arial" w:cs="Arial" w:eastAsia="Arial" w:hAnsi="Arial"/>
          <w:sz w:val="18"/>
          <w:szCs w:val="18"/>
          <w:color w:val="auto"/>
        </w:rPr>
        <w:t xml:space="preserve"> due to earnings generated by the sale of a real estate asset at BCP Stand-alone. It is important to remember that this line posted in 1Q17 a level that was unusual due to a reversal of provisions on performance bonuses, which are awarded every 1Q.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w:t>
      </w:r>
    </w:p>
    <w:p>
      <w:pPr>
        <w:spacing w:after="0" w:line="221" w:lineRule="exact"/>
        <w:rPr>
          <w:sz w:val="20"/>
          <w:szCs w:val="20"/>
          <w:color w:val="auto"/>
        </w:rPr>
      </w:pPr>
    </w:p>
    <w:p>
      <w:pPr>
        <w:jc w:val="both"/>
        <w:ind w:left="880" w:right="20" w:hanging="494"/>
        <w:spacing w:after="0" w:line="26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reduction in net gains on </w:t>
      </w:r>
      <w:r>
        <w:rPr>
          <w:rFonts w:ascii="Arial" w:cs="Arial" w:eastAsia="Arial" w:hAnsi="Arial"/>
          <w:sz w:val="18"/>
          <w:szCs w:val="18"/>
          <w:b w:val="1"/>
          <w:bCs w:val="1"/>
          <w:color w:val="auto"/>
        </w:rPr>
        <w:t>foreign exchange transactions</w:t>
      </w:r>
      <w:r>
        <w:rPr>
          <w:rFonts w:ascii="Arial" w:cs="Arial" w:eastAsia="Arial" w:hAnsi="Arial"/>
          <w:sz w:val="18"/>
          <w:szCs w:val="18"/>
          <w:color w:val="auto"/>
        </w:rPr>
        <w:t xml:space="preserve"> at BCP Stand-alone, which was attributable to a contraction in business volumes and a decrease in the margin. The former was due to the fact that the economy is less dynamic while the latter reflects relative low volatility in the exchange rate.</w:t>
      </w:r>
    </w:p>
    <w:p>
      <w:pPr>
        <w:spacing w:after="0" w:line="176"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 lower </w:t>
      </w:r>
      <w:r>
        <w:rPr>
          <w:rFonts w:ascii="Arial" w:cs="Arial" w:eastAsia="Arial" w:hAnsi="Arial"/>
          <w:sz w:val="18"/>
          <w:szCs w:val="18"/>
          <w:b w:val="1"/>
          <w:bCs w:val="1"/>
          <w:color w:val="auto"/>
        </w:rPr>
        <w:t>result for derivatives</w:t>
      </w:r>
      <w:r>
        <w:rPr>
          <w:rFonts w:ascii="Arial" w:cs="Arial" w:eastAsia="Arial" w:hAnsi="Arial"/>
          <w:sz w:val="18"/>
          <w:szCs w:val="18"/>
          <w:color w:val="auto"/>
        </w:rPr>
        <w:t xml:space="preserve"> at BCP Stand-alone due to a drop in gains on forwards, which posted unusual high levels in 1Q17 due to income from adjustments to swap agreements.</w:t>
      </w:r>
    </w:p>
    <w:p>
      <w:pPr>
        <w:spacing w:after="0" w:line="165"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drop in the contribution of the EPS was registered in net gains for investments in associates due a drop in the net earned premiums in Regular and SCTR businesses (Complementary Insurance for High-Risk Occupations). Nevertheless, this was attenuated by a decrease in claims and a drop in the acquisition cost, as is evident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06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Millions (S/)</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2Q16</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1Q17</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2Q17</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5"/>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 excluding</w:t>
            </w: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Non-recurring income / expense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0.89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5.97</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570.8%</w:t>
            </w: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Non-recurring income/expense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 Net gain from associates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570.8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shows a contraction due to the fact that non-financial income posted an unusually high level in 2Q16, which was attributable to gains on the sale of 50% of the investment in BCI shares. Nevertheless, growth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was noteworthy.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terms of accumulated results (1H17 vs 1H16), non-financial income increased due to growth in the main lines:</w:t>
      </w:r>
    </w:p>
    <w:p>
      <w:pPr>
        <w:spacing w:after="0" w:line="221" w:lineRule="exact"/>
        <w:rPr>
          <w:sz w:val="20"/>
          <w:szCs w:val="20"/>
          <w:color w:val="auto"/>
        </w:rPr>
      </w:pPr>
    </w:p>
    <w:p>
      <w:pPr>
        <w:ind w:left="880" w:hanging="49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improved primarily due to the banking business and, to a lesser extent, to Credicorp Capital in 1H17.</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b w:val="1"/>
          <w:bCs w:val="1"/>
          <w:color w:val="auto"/>
        </w:rPr>
        <w:t>net gains on investments in associates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positive </w:t>
      </w:r>
      <w:r>
        <w:rPr>
          <w:rFonts w:ascii="Arial" w:cs="Arial" w:eastAsia="Arial" w:hAnsi="Arial"/>
          <w:sz w:val="18"/>
          <w:szCs w:val="18"/>
          <w:b w:val="1"/>
          <w:bCs w:val="1"/>
          <w:color w:val="auto"/>
        </w:rPr>
        <w:t>result on exchange difference</w:t>
      </w:r>
      <w:r>
        <w:rPr>
          <w:rFonts w:ascii="Arial" w:cs="Arial" w:eastAsia="Arial" w:hAnsi="Arial"/>
          <w:sz w:val="18"/>
          <w:szCs w:val="18"/>
          <w:color w:val="auto"/>
        </w:rPr>
        <w:t>, compared to the loss posted in 1H16, which was due to the effect of the appreciation of the Sol against the US dollar on the structural position. It is important to note that this position has been reduced since 2Q16.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Nevertheless, the result was somewhat offset by a drop in net gains on </w:t>
      </w:r>
      <w:r>
        <w:rPr>
          <w:rFonts w:ascii="Arial" w:cs="Arial" w:eastAsia="Arial" w:hAnsi="Arial"/>
          <w:sz w:val="18"/>
          <w:szCs w:val="18"/>
          <w:b w:val="1"/>
          <w:bCs w:val="1"/>
          <w:color w:val="auto"/>
        </w:rPr>
        <w:t>foreign exchange transactions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growth in fee income at Credicorp in 2Q17.</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8954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611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720" w:firstLine="137"/>
        <w:spacing w:after="0" w:line="561" w:lineRule="auto"/>
        <w:tabs>
          <w:tab w:leader="none" w:pos="2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Others include Grupo Pacifico and eliminations for consolidation purposes. The following figure shows the YoY evolution of fee income by subsidiary:</w:t>
      </w: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154940</wp:posOffset>
            </wp:positionV>
            <wp:extent cx="5711190" cy="1903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11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b w:val="1"/>
                <w:bCs w:val="1"/>
                <w:color w:val="auto"/>
              </w:rPr>
              <w:t>Fee Income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6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 000</w:t>
            </w:r>
          </w:p>
        </w:tc>
        <w:tc>
          <w:tcPr>
            <w:tcW w:w="1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1Q17</w:t>
            </w:r>
          </w:p>
        </w:tc>
        <w:tc>
          <w:tcPr>
            <w:tcW w:w="2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2Q17</w:t>
            </w:r>
          </w:p>
        </w:tc>
        <w:tc>
          <w:tcPr>
            <w:tcW w:w="2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Jun 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Jun 17</w:t>
            </w:r>
          </w:p>
        </w:tc>
        <w:tc>
          <w:tcPr>
            <w:tcW w:w="22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8"/>
              </w:rPr>
              <w:t>2017 / 2016</w:t>
            </w:r>
          </w:p>
        </w:tc>
        <w:tc>
          <w:tcPr>
            <w:tcW w:w="0" w:type="dxa"/>
            <w:vAlign w:val="bottom"/>
          </w:tcPr>
          <w:p>
            <w:pPr>
              <w:spacing w:after="0"/>
              <w:rPr>
                <w:sz w:val="1"/>
                <w:szCs w:val="1"/>
                <w:color w:val="auto"/>
              </w:rPr>
            </w:pPr>
          </w:p>
        </w:tc>
      </w:tr>
      <w:tr>
        <w:trPr>
          <w:trHeight w:val="20"/>
        </w:trPr>
        <w:tc>
          <w:tcPr>
            <w:tcW w:w="3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100" w:type="dxa"/>
            <w:vAlign w:val="bottom"/>
            <w:vMerge w:val="continue"/>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165,084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173,891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170,676</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331,012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344,568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34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74,019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72,126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72,237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144,769</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144,363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Drafts and transfers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39,234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34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23,017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24,989</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5.3%</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45,968</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48,725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15,266</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34,680</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34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18,139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18,515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18,297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36,436</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36,813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10,417</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15,821</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34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41,785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43,074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44,303</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84,343</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87,377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95,047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95,547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96,404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189,034</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4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16,472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17,180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18,547</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12.6%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33,231</w:t>
            </w:r>
          </w:p>
        </w:tc>
        <w:tc>
          <w:tcPr>
            <w:tcW w:w="1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35,727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24,819</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Corporate finance and mutual funds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13,835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13,323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20,548</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54.2%</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48.5%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33,871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-29.5%</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3420" w:type="dxa"/>
            <w:vAlign w:val="bottom"/>
            <w:gridSpan w:val="2"/>
          </w:tcPr>
          <w:p>
            <w:pPr>
              <w:ind w:left="20"/>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47,269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43,623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53,635</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23.0%</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13.5%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88,159</w:t>
            </w:r>
          </w:p>
        </w:tc>
        <w:tc>
          <w:tcPr>
            <w:tcW w:w="1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102,069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fee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576,063</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586,564</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600,520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1,143,401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1,191,894</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hanging="264"/>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23" w:lineRule="exact"/>
        <w:rPr>
          <w:rFonts w:ascii="Arial" w:cs="Arial" w:eastAsia="Arial" w:hAnsi="Arial"/>
          <w:sz w:val="18"/>
          <w:szCs w:val="18"/>
          <w:color w:val="auto"/>
        </w:rPr>
      </w:pPr>
    </w:p>
    <w:p>
      <w:pPr>
        <w:ind w:left="400" w:hanging="264"/>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140" w:right="3320" w:hanging="4"/>
        <w:spacing w:after="0" w:line="261" w:lineRule="auto"/>
        <w:tabs>
          <w:tab w:leader="none" w:pos="3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 Source: BCP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fee income in the banking business increased +2.4% QoQ, this was due primarily to:</w:t>
      </w:r>
    </w:p>
    <w:p>
      <w:pPr>
        <w:spacing w:after="0" w:line="225" w:lineRule="exact"/>
        <w:rPr>
          <w:sz w:val="20"/>
          <w:szCs w:val="20"/>
          <w:color w:val="auto"/>
        </w:rPr>
      </w:pPr>
    </w:p>
    <w:p>
      <w:pPr>
        <w:ind w:left="880" w:hanging="494"/>
        <w:spacing w:after="0" w:line="282"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w:t>
      </w:r>
      <w:r>
        <w:rPr>
          <w:rFonts w:ascii="Arial" w:cs="Arial" w:eastAsia="Arial" w:hAnsi="Arial"/>
          <w:sz w:val="18"/>
          <w:szCs w:val="18"/>
          <w:b w:val="1"/>
          <w:bCs w:val="1"/>
          <w:color w:val="auto"/>
        </w:rPr>
        <w:t>,</w:t>
      </w:r>
      <w:r>
        <w:rPr>
          <w:rFonts w:ascii="Arial" w:cs="Arial" w:eastAsia="Arial" w:hAnsi="Arial"/>
          <w:sz w:val="18"/>
          <w:szCs w:val="18"/>
          <w:color w:val="auto"/>
        </w:rPr>
        <w:t xml:space="preserve"> which was due primarily to higher fee income generated by the growth in the volume of transfers abroad at BCP Bolivia and, to a lesser extent, to a slight increase in fee income at Mibanco.</w:t>
      </w:r>
    </w:p>
    <w:p>
      <w:pPr>
        <w:spacing w:after="0" w:line="16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increase in fee income from </w:t>
      </w:r>
      <w:r>
        <w:rPr>
          <w:rFonts w:ascii="Arial" w:cs="Arial" w:eastAsia="Arial" w:hAnsi="Arial"/>
          <w:sz w:val="18"/>
          <w:szCs w:val="18"/>
          <w:b w:val="1"/>
          <w:bCs w:val="1"/>
          <w:color w:val="auto"/>
        </w:rPr>
        <w:t>corporate finance and mutual funds</w:t>
      </w:r>
      <w:r>
        <w:rPr>
          <w:rFonts w:ascii="Arial" w:cs="Arial" w:eastAsia="Arial" w:hAnsi="Arial"/>
          <w:sz w:val="18"/>
          <w:szCs w:val="18"/>
          <w:color w:val="auto"/>
        </w:rPr>
        <w:t>, which was attributable to fees received at Credicorp Capital for the advisory on bond issuances, and to fee income from structuring services that had been deferred but after the pre-payment of a mid-term loan the fee income was accounted in full.</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aforementioned offset by (i) the drop in Miscellaneous Account, mainly due to maintenance fees and excess transactions in current and savings accounts; (ii) the contraction in commissions from the SME-Pyme portfolio; and (iii) less fee income from letters of credit due to a drop in </w:t>
      </w:r>
      <w:r>
        <w:rPr>
          <w:rFonts w:ascii="Arial" w:cs="Arial" w:eastAsia="Arial" w:hAnsi="Arial"/>
          <w:sz w:val="16"/>
          <w:szCs w:val="16"/>
          <w:b w:val="1"/>
          <w:bCs w:val="1"/>
          <w:color w:val="auto"/>
        </w:rPr>
        <w:t>foreign trade</w:t>
      </w:r>
      <w:r>
        <w:rPr>
          <w:rFonts w:ascii="Arial" w:cs="Arial" w:eastAsia="Arial" w:hAnsi="Arial"/>
          <w:sz w:val="16"/>
          <w:szCs w:val="16"/>
          <w:color w:val="auto"/>
        </w:rPr>
        <w:t xml:space="preserve"> transactions.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growth of 4.2% was due to an increase in commissions for financial services at Mibanco; growth posted by </w:t>
      </w:r>
      <w:r>
        <w:rPr>
          <w:rFonts w:ascii="Arial" w:cs="Arial" w:eastAsia="Arial" w:hAnsi="Arial"/>
          <w:sz w:val="18"/>
          <w:szCs w:val="18"/>
          <w:b w:val="1"/>
          <w:bCs w:val="1"/>
          <w:color w:val="auto"/>
        </w:rPr>
        <w:t>corporate finance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mutual funds </w:t>
      </w:r>
      <w:r>
        <w:rPr>
          <w:rFonts w:ascii="Arial" w:cs="Arial" w:eastAsia="Arial" w:hAnsi="Arial"/>
          <w:sz w:val="18"/>
          <w:szCs w:val="18"/>
          <w:color w:val="auto"/>
        </w:rPr>
        <w:t>due to corporate financing transactions in 2Q17; and better performance by</w:t>
      </w:r>
      <w:r>
        <w:rPr>
          <w:rFonts w:ascii="Arial" w:cs="Arial" w:eastAsia="Arial" w:hAnsi="Arial"/>
          <w:sz w:val="18"/>
          <w:szCs w:val="18"/>
          <w:b w:val="1"/>
          <w:bCs w:val="1"/>
          <w:color w:val="auto"/>
        </w:rPr>
        <w:t xml:space="preserve"> miscellaneous accounts</w:t>
      </w:r>
      <w:r>
        <w:rPr>
          <w:rFonts w:ascii="Arial" w:cs="Arial" w:eastAsia="Arial" w:hAnsi="Arial"/>
          <w:sz w:val="18"/>
          <w:szCs w:val="18"/>
          <w:color w:val="auto"/>
        </w:rPr>
        <w:t>, which was attributable to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volume of debit cards.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insurance underwriting result increased 3.4% TaT and fell 6.2% YoY. This increase QoQ was registered in the life insurance business due to (i) a slight expansion in net earned premiums, which was in turn attributable to lower technical reserves for private pension funds and (ii) a lower loss ratio, mainly in Individual Life and Personal Accidents. This was offset by a decrease in the Property and Casualty Insurance due to the higher acquisition cost, mainly in the Wholesale Lines.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 underwriting result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ind w:left="60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2Q16</w:t>
            </w: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1Q17</w:t>
            </w: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 16</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Jun 17</w:t>
            </w: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Jun 17 / Jun 16</w:t>
            </w:r>
          </w:p>
        </w:tc>
        <w:tc>
          <w:tcPr>
            <w:tcW w:w="120" w:type="dxa"/>
            <w:vAlign w:val="bottom"/>
            <w:tcBorders>
              <w:bottom w:val="single" w:sz="8" w:color="CCEEFF"/>
            </w:tcBorders>
          </w:tcPr>
          <w:p>
            <w:pPr>
              <w:spacing w:after="0"/>
              <w:rPr>
                <w:sz w:val="14"/>
                <w:szCs w:val="14"/>
                <w:color w:val="auto"/>
              </w:rPr>
            </w:pP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earned premiums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453,647</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465,304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466,375</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2.8%</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906,884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931,679</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r>
      <w:tr>
        <w:trPr>
          <w:trHeight w:val="149"/>
        </w:trPr>
        <w:tc>
          <w:tcPr>
            <w:tcW w:w="2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claims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(265,815)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(280,964)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(278,265)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(529,738)</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(559,229)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r>
      <w:tr>
        <w:trPr>
          <w:trHeight w:val="203"/>
        </w:trPr>
        <w:tc>
          <w:tcPr>
            <w:tcW w:w="29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(53,066)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(62,061)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(61,665)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(113,241)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(123,726)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42"/>
        </w:trPr>
        <w:tc>
          <w:tcPr>
            <w:tcW w:w="2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 insurance underwriting result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134,766</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122,279</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126,445</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w:t>
            </w: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263,905</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248,724</w:t>
            </w:r>
          </w:p>
        </w:tc>
        <w:tc>
          <w:tcPr>
            <w:tcW w:w="20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142875</wp:posOffset>
            </wp:positionV>
            <wp:extent cx="3138805" cy="18440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880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Written premiums by business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earned premiums by business</w:t>
      </w:r>
    </w:p>
    <w:p>
      <w:pPr>
        <w:spacing w:after="0" w:line="61" w:lineRule="exact"/>
        <w:rPr>
          <w:sz w:val="20"/>
          <w:szCs w:val="20"/>
          <w:color w:val="auto"/>
        </w:rPr>
      </w:pPr>
    </w:p>
    <w:p>
      <w:pPr>
        <w:sectPr>
          <w:pgSz w:w="11900" w:h="16838" w:orient="portrait"/>
          <w:cols w:equalWidth="0" w:num="2">
            <w:col w:w="6620" w:space="720"/>
            <w:col w:w="4080"/>
          </w:cols>
          <w:pgMar w:left="240" w:top="904" w:right="239" w:bottom="1440" w:gutter="0" w:footer="0" w:header="0"/>
          <w:type w:val="continuous"/>
        </w:sectPr>
      </w:pPr>
    </w:p>
    <w:p>
      <w:pPr>
        <w:ind w:left="2360"/>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150495</wp:posOffset>
            </wp:positionV>
            <wp:extent cx="2933065" cy="1586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33065"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-1140460</wp:posOffset>
            </wp:positionH>
            <wp:positionV relativeFrom="paragraph">
              <wp:posOffset>150495</wp:posOffset>
            </wp:positionV>
            <wp:extent cx="2855595" cy="1543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5595" cy="1543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2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6" w:name="page37"/>
    <w:bookmarkEnd w:id="36"/>
    <w:p>
      <w:pPr>
        <w:jc w:val="both"/>
        <w:spacing w:after="0" w:line="244" w:lineRule="auto"/>
        <w:rPr>
          <w:sz w:val="20"/>
          <w:szCs w:val="20"/>
          <w:color w:val="auto"/>
        </w:rPr>
      </w:pPr>
      <w:r>
        <w:rPr>
          <w:rFonts w:ascii="Arial" w:cs="Arial" w:eastAsia="Arial" w:hAnsi="Arial"/>
          <w:sz w:val="17"/>
          <w:szCs w:val="17"/>
          <w:b w:val="1"/>
          <w:bCs w:val="1"/>
          <w:color w:val="auto"/>
        </w:rPr>
        <w:t xml:space="preserve">Total premiums </w:t>
      </w:r>
      <w:r>
        <w:rPr>
          <w:rFonts w:ascii="Arial" w:cs="Arial" w:eastAsia="Arial" w:hAnsi="Arial"/>
          <w:sz w:val="17"/>
          <w:szCs w:val="17"/>
          <w:color w:val="auto"/>
        </w:rPr>
        <w:t>fell 5.9% QoQ. This was mainly attributable to property and casualty insurance and, to a lesser extent, to life insurance. The drop in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and casualty insurance was seen primarily in Personal Lines and in the Home Mortgage</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product in particular given that in 1Q17, the modality for reporting premiums changed from a monthly to a yearly scheme. The QoQ drop in the life insurance business was attributable to group insurance business –SCTR (Complementary Insurance for High Risk) and </w:t>
      </w:r>
      <w:r>
        <w:rPr>
          <w:rFonts w:ascii="Arial" w:cs="Arial" w:eastAsia="Arial" w:hAnsi="Arial"/>
          <w:sz w:val="17"/>
          <w:szCs w:val="17"/>
          <w:i w:val="1"/>
          <w:iCs w:val="1"/>
          <w:color w:val="auto"/>
        </w:rPr>
        <w:t>Vida Ley</w:t>
      </w:r>
      <w:r>
        <w:rPr>
          <w:rFonts w:ascii="Arial" w:cs="Arial" w:eastAsia="Arial" w:hAnsi="Arial"/>
          <w:sz w:val="17"/>
          <w:szCs w:val="17"/>
          <w:color w:val="auto"/>
        </w:rPr>
        <w:t>- due to annual and semester renewals at mining companies in 1Q17.</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rose slightly due to an increase in the life insurance business attributable to the AFP line due to the fact that fewer technical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adjusted for inflation, were set aside. Nevertheless, this effect was attenuated by a drop in property and casualty insurance in Personal Lines due to lower total premiums in 2Q17.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the YoY analysis, net earned premiums increased 2.8%, particularly in the life insurance business due to an increase in rates in the credit life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142875</wp:posOffset>
            </wp:positionV>
            <wp:extent cx="3430270" cy="1878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3027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fell 1.1% QoQ due to a decrease in the net loss ratio in the property and casualty and life insurance lines. In the case of property and casualty,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due primarily to the Wholesale Lines given that the majority of cases associated with the El Nino Phenomenon were registered in 1Q17. Nevertheless, this effect was offset by an increase in i) Medical Assistance due to a seasonal effect (1Q is the quarter that reports the lowest net loss ratio of the year) and ii) Automobile due to the low loss ratio in 1Q17.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life insurance, the drop was reported in group insurance in the SCTR product given that fewer claims were reported. The Individual Life and Personal Accident businesses posted a drop in claims due to fewer reported cases in 2Q17.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net claims increased in the property and casualty and life lines. The increase in property and casualty insurance was attributable to Private Medical Assistance and was due to an increase in both frequency and in the median cost for Oncological care. Growth in claims in life insurance was due to an increase in the loss ratio for group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4"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Insurance that covers homes against material damages caused by natural disasters or man under unforseen circumstances.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142875</wp:posOffset>
            </wp:positionV>
            <wp:extent cx="3190240" cy="1955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024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ind w:left="580"/>
              <w:spacing w:after="0"/>
              <w:rPr>
                <w:sz w:val="20"/>
                <w:szCs w:val="20"/>
                <w:color w:val="auto"/>
              </w:rPr>
            </w:pPr>
            <w:r>
              <w:rPr>
                <w:rFonts w:ascii="Arial" w:cs="Arial" w:eastAsia="Arial" w:hAnsi="Arial"/>
                <w:sz w:val="18"/>
                <w:szCs w:val="18"/>
                <w:b w:val="1"/>
                <w:bCs w:val="1"/>
                <w:color w:val="auto"/>
                <w:w w:val="90"/>
              </w:rPr>
              <w:t>% change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16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Jun 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17 / Jun 16</w:t>
            </w:r>
          </w:p>
        </w:tc>
        <w:tc>
          <w:tcPr>
            <w:tcW w:w="160" w:type="dxa"/>
            <w:vAlign w:val="bottom"/>
            <w:tcBorders>
              <w:bottom w:val="single" w:sz="8" w:color="CCEEFF"/>
            </w:tcBorders>
          </w:tcPr>
          <w:p>
            <w:pPr>
              <w:spacing w:after="0"/>
              <w:rPr>
                <w:sz w:val="20"/>
                <w:szCs w:val="20"/>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7"/>
              </w:rPr>
              <w:t>(46,223)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(103,344)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(22,430)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(23,840)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(24,882)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(52,358)</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(48,721)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30,056</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28,339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76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85"/>
              </w:rPr>
              <w:t>(53,067</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(62,061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(61,665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(113,242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(123,726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cost fell slightly due to the lower commissions, which was offset by the higher underwriting expenses. The decrease in commissions was seen primarily in the group insurance line for the Life Insurance business. Nevertheless, this effect was mitigated by higher underwriting expenses in the P&amp;C business given that in 1Q17, reinsurance provisions were liberated.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acquisition cost increased due to the higher commissions in the P&amp;C business especially in the Wholesale lines which is associated with the lower commission received from reinsurers. Furthermore, the higher underwriting expenses were explained by the release of uncollectible reinsurance reserves in 2Q16, which were not repeated in 2Q17. Finally, the drop in underwriting income was due to the reinsurance profit sharing was not registered in 2Q17.</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efficiency ratio improved 30 bps YoY and -50 bps YTD due to better operating income generation, which offset the increase in operating expenses. The QoQ comparison represented an increase of 200 bps, which shows the impact of operating expenses seasonality that makes the ratio hit its lowest level of the year in 1Q of every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 change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2Q16</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1Q17</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2Q17</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16</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17</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Jun 17/ Jun 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735,414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753,266</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746,499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1,471,384</w:t>
            </w:r>
          </w:p>
        </w:tc>
        <w:tc>
          <w:tcPr>
            <w:tcW w:w="3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1,499,765</w:t>
            </w:r>
          </w:p>
        </w:tc>
        <w:tc>
          <w:tcPr>
            <w:tcW w:w="260" w:type="dxa"/>
            <w:vAlign w:val="bottom"/>
            <w:tcBorders>
              <w:right w:val="single" w:sz="8" w:color="CCEEFF"/>
            </w:tcBorders>
            <w:shd w:val="clear" w:color="auto" w:fill="CCEEFF"/>
          </w:tcPr>
          <w:p>
            <w:pPr>
              <w:spacing w:after="0"/>
              <w:rPr>
                <w:sz w:val="12"/>
                <w:szCs w:val="12"/>
                <w:color w:val="auto"/>
              </w:rPr>
            </w:pPr>
          </w:p>
        </w:tc>
        <w:tc>
          <w:tcPr>
            <w:tcW w:w="1040" w:type="dxa"/>
            <w:vAlign w:val="bottom"/>
            <w:gridSpan w:val="2"/>
            <w:shd w:val="clear" w:color="auto" w:fill="CCEEFF"/>
          </w:tcPr>
          <w:p>
            <w:pPr>
              <w:ind w:left="720"/>
              <w:spacing w:after="0" w:line="142" w:lineRule="exact"/>
              <w:rPr>
                <w:sz w:val="20"/>
                <w:szCs w:val="20"/>
                <w:color w:val="auto"/>
              </w:rPr>
            </w:pPr>
            <w:r>
              <w:rPr>
                <w:rFonts w:ascii="Arial" w:cs="Arial" w:eastAsia="Arial" w:hAnsi="Arial"/>
                <w:sz w:val="14"/>
                <w:szCs w:val="14"/>
                <w:color w:val="auto"/>
                <w:w w:val="93"/>
              </w:rPr>
              <w:t>1.9%</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513,652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488,466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541,054</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10.8%</w:t>
            </w:r>
          </w:p>
        </w:tc>
        <w:tc>
          <w:tcPr>
            <w:tcW w:w="18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5.3%</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967,338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1,029,520</w:t>
            </w:r>
          </w:p>
        </w:tc>
        <w:tc>
          <w:tcPr>
            <w:tcW w:w="260" w:type="dxa"/>
            <w:vAlign w:val="bottom"/>
          </w:tcPr>
          <w:p>
            <w:pPr>
              <w:spacing w:after="0"/>
              <w:rPr>
                <w:sz w:val="12"/>
                <w:szCs w:val="12"/>
                <w:color w:val="auto"/>
              </w:rPr>
            </w:pPr>
          </w:p>
        </w:tc>
        <w:tc>
          <w:tcPr>
            <w:tcW w:w="1040" w:type="dxa"/>
            <w:vAlign w:val="bottom"/>
            <w:gridSpan w:val="2"/>
          </w:tcPr>
          <w:p>
            <w:pPr>
              <w:ind w:left="720"/>
              <w:spacing w:after="0" w:line="149" w:lineRule="exact"/>
              <w:rPr>
                <w:sz w:val="20"/>
                <w:szCs w:val="20"/>
                <w:color w:val="auto"/>
              </w:rPr>
            </w:pPr>
            <w:r>
              <w:rPr>
                <w:rFonts w:ascii="Arial" w:cs="Arial" w:eastAsia="Arial" w:hAnsi="Arial"/>
                <w:sz w:val="14"/>
                <w:szCs w:val="14"/>
                <w:color w:val="auto"/>
                <w:w w:val="93"/>
              </w:rPr>
              <w:t>6.4%</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113,910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115,887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113,958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0.0%</w:t>
            </w:r>
          </w:p>
        </w:tc>
        <w:tc>
          <w:tcPr>
            <w:tcW w:w="102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225,680</w:t>
            </w:r>
          </w:p>
        </w:tc>
        <w:tc>
          <w:tcPr>
            <w:tcW w:w="8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229,845</w:t>
            </w:r>
          </w:p>
        </w:tc>
        <w:tc>
          <w:tcPr>
            <w:tcW w:w="104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w w:val="93"/>
              </w:rPr>
              <w:t>1.8%</w:t>
            </w: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47,463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49,492</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51,676</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8.9%</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94,496</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101,168</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w w:val="93"/>
              </w:rPr>
              <w:t>7.1%</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1,410,439</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1,407,111</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1,453,187</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w w:val="81"/>
              </w:rPr>
              <w:t>3.0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2,758,898</w:t>
            </w: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2,860,298</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b w:val="1"/>
                <w:bCs w:val="1"/>
                <w:color w:val="auto"/>
                <w:w w:val="81"/>
              </w:rPr>
              <w:t>3.7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384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3,208,546</w:t>
            </w:r>
          </w:p>
        </w:tc>
        <w:tc>
          <w:tcPr>
            <w:tcW w:w="700" w:type="dxa"/>
            <w:vAlign w:val="bottom"/>
          </w:tcPr>
          <w:p>
            <w:pPr>
              <w:jc w:val="right"/>
              <w:spacing w:after="0"/>
              <w:rPr>
                <w:sz w:val="20"/>
                <w:szCs w:val="20"/>
                <w:color w:val="auto"/>
              </w:rPr>
            </w:pPr>
            <w:r>
              <w:rPr>
                <w:rFonts w:ascii="Arial" w:cs="Arial" w:eastAsia="Arial" w:hAnsi="Arial"/>
                <w:sz w:val="14"/>
                <w:szCs w:val="14"/>
                <w:color w:val="auto"/>
              </w:rPr>
              <w:t>3,395,358</w:t>
            </w:r>
          </w:p>
        </w:tc>
        <w:tc>
          <w:tcPr>
            <w:tcW w:w="2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3,340,118</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4.1%</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6,410,787</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6,735,476</w:t>
            </w:r>
          </w:p>
        </w:tc>
        <w:tc>
          <w:tcPr>
            <w:tcW w:w="26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w w:val="93"/>
              </w:rPr>
              <w:t>5.1%</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1,416,042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1,419,680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1,463,176</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3.3%</w:t>
            </w:r>
          </w:p>
        </w:tc>
        <w:tc>
          <w:tcPr>
            <w:tcW w:w="10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2,777,643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2,882,856</w:t>
            </w:r>
          </w:p>
        </w:tc>
        <w:tc>
          <w:tcPr>
            <w:tcW w:w="26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gridSpan w:val="2"/>
            <w:vMerge w:val="continue"/>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41.8%</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43.8%</w:t>
            </w: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 bps</w:t>
            </w: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3"/>
              </w:rPr>
              <w:t>-30 bps</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43.3%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42.8%</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-50 bps</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(4)</w:t>
            </w: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3.59%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3.63%</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4 bps</w:t>
            </w:r>
          </w:p>
        </w:tc>
        <w:tc>
          <w:tcPr>
            <w:tcW w:w="7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5 bps</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3.5%</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3.7%</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 bps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8"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 on derivatives+ Result on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expenses rose 3.3% QoQ, due primarily to an increase in Administrative, general and tax expenses. At BCP Stand-Alone, the main accounts that explained this increase were:</w:t>
      </w:r>
    </w:p>
    <w:p>
      <w:pPr>
        <w:spacing w:after="0" w:line="166" w:lineRule="exact"/>
        <w:rPr>
          <w:sz w:val="20"/>
          <w:szCs w:val="20"/>
          <w:color w:val="auto"/>
        </w:rPr>
      </w:pPr>
    </w:p>
    <w:p>
      <w:pPr>
        <w:ind w:left="880" w:hanging="49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Marketing</w:t>
      </w:r>
      <w:r>
        <w:rPr>
          <w:rFonts w:ascii="Arial" w:cs="Arial" w:eastAsia="Arial" w:hAnsi="Arial"/>
          <w:sz w:val="17"/>
          <w:szCs w:val="17"/>
          <w:color w:val="auto"/>
        </w:rPr>
        <w:t>, due to higher provisions for the “Lan Pass” program and for Advertising and Publicity to launch the new “VIABCP” web page.</w:t>
      </w:r>
    </w:p>
    <w:p>
      <w:pPr>
        <w:spacing w:after="0" w:line="236" w:lineRule="exact"/>
        <w:rPr>
          <w:rFonts w:ascii="Arial" w:cs="Arial" w:eastAsia="Arial" w:hAnsi="Arial"/>
          <w:sz w:val="17"/>
          <w:szCs w:val="17"/>
          <w:color w:val="auto"/>
        </w:rPr>
      </w:pPr>
    </w:p>
    <w:p>
      <w:pPr>
        <w:ind w:left="880" w:hanging="49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mainly for the Digital Transformation initiative.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YoY, total expenses rose +3.0%, which was due mainly to an increase in Administrative, general and tax expenses, which were in turn attributable to higher expenses on Consultants for the Digital Transformation initiative that is a strategic project, and Marketing.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200" w:type="dxa"/>
            <w:vAlign w:val="bottom"/>
            <w:gridSpan w:val="11"/>
          </w:tcPr>
          <w:p>
            <w:pPr>
              <w:jc w:val="right"/>
              <w:ind w:right="70"/>
              <w:spacing w:after="0"/>
              <w:rPr>
                <w:sz w:val="20"/>
                <w:szCs w:val="20"/>
                <w:color w:val="auto"/>
              </w:rPr>
            </w:pPr>
            <w:r>
              <w:rPr>
                <w:rFonts w:ascii="Arial" w:cs="Arial" w:eastAsia="Arial" w:hAnsi="Arial"/>
                <w:sz w:val="18"/>
                <w:szCs w:val="18"/>
                <w:b w:val="1"/>
                <w:bCs w:val="1"/>
                <w:color w:val="auto"/>
                <w:w w:val="95"/>
              </w:rPr>
              <w:t>Credicorp’s administrative and general expenses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3540" w:type="dxa"/>
            <w:vAlign w:val="bottom"/>
          </w:tcPr>
          <w:p>
            <w:pPr>
              <w:spacing w:after="0"/>
              <w:rPr>
                <w:sz w:val="20"/>
                <w:szCs w:val="20"/>
                <w:color w:val="auto"/>
              </w:rPr>
            </w:pPr>
            <w:r>
              <w:rPr>
                <w:rFonts w:ascii="Arial" w:cs="Arial" w:eastAsia="Arial" w:hAnsi="Arial"/>
                <w:sz w:val="18"/>
                <w:szCs w:val="18"/>
                <w:b w:val="1"/>
                <w:bCs w:val="1"/>
                <w:color w:val="auto"/>
              </w:rPr>
              <w:t>Administrative and general expenses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b w:val="1"/>
                <w:bCs w:val="1"/>
                <w:color w:val="auto"/>
                <w:w w:val="95"/>
              </w:rPr>
              <w:t>Quarter</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67,901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Taxes and contributions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56,586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51,394</w:t>
            </w:r>
          </w:p>
        </w:tc>
        <w:tc>
          <w:tcPr>
            <w:tcW w:w="2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52,589</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64,870</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61,398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68,611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Minor expenses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58,402</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60,834</w:t>
            </w:r>
          </w:p>
        </w:tc>
        <w:tc>
          <w:tcPr>
            <w:tcW w:w="2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54,345</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56,867</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55,254</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Programs and systems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60,743</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55,458</w:t>
            </w:r>
          </w:p>
        </w:tc>
        <w:tc>
          <w:tcPr>
            <w:tcW w:w="2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57,922</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27,394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22,284</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Rent</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44,506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43,978</w:t>
            </w:r>
          </w:p>
        </w:tc>
        <w:tc>
          <w:tcPr>
            <w:tcW w:w="2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45,846</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Consulting</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27,289</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31,244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48,498</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Channels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44,254</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44,894</w:t>
            </w:r>
          </w:p>
        </w:tc>
        <w:tc>
          <w:tcPr>
            <w:tcW w:w="2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47,109</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35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(1)</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17,255</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7,447</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20,695</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0"/>
        </w:trPr>
        <w:tc>
          <w:tcPr>
            <w:tcW w:w="3540" w:type="dxa"/>
            <w:vAlign w:val="bottom"/>
          </w:tcPr>
          <w:p>
            <w:pPr>
              <w:spacing w:after="0"/>
              <w:rPr>
                <w:sz w:val="20"/>
                <w:szCs w:val="20"/>
                <w:color w:val="auto"/>
              </w:rPr>
            </w:pPr>
            <w:r>
              <w:rPr>
                <w:rFonts w:ascii="Arial" w:cs="Arial" w:eastAsia="Arial" w:hAnsi="Arial"/>
                <w:sz w:val="18"/>
                <w:szCs w:val="18"/>
                <w:b w:val="1"/>
                <w:bCs w:val="1"/>
                <w:color w:val="auto"/>
                <w:w w:val="96"/>
              </w:rPr>
              <w:t>Total administrative and general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513,652</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488,466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541,054</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Others include ASB, BCP Bolivia, Grupo Credito and eliminations for consolidation.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7.1 Operating Expenses / Total Average Assets Ratio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operating expenses/total average assets ratio reported a slight increase of +4 bps QoQ, which was primarily attributable to the QoQ increase in operating expenses and to the seasonality of every 1Q, were this ratio posts its lowest level of the year, as is evident in the following graph: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154940</wp:posOffset>
            </wp:positionV>
            <wp:extent cx="4030345" cy="1938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3034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shows the on-going control of operating expenses, which has led to stability over time and a lower normalized level of the operating expenses/total average assets ratio. The YoY analysis shows an increase of +5 bps, which was mainly associated with the increase in Administrative, general and tax expenses.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154305</wp:posOffset>
            </wp:positionV>
            <wp:extent cx="4090670" cy="1946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9067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7.2 Efficiency Ratio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BCP Stand-alone</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Mibanco</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BCP Bolivia</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ASB</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Grupo Pacífico</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Prima</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Credicorp</w:t>
            </w:r>
          </w:p>
        </w:tc>
        <w:tc>
          <w:tcPr>
            <w:tcW w:w="10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CEEFF"/>
          </w:tcPr>
          <w:p>
            <w:pPr>
              <w:jc w:val="center"/>
              <w:ind w:right="9"/>
              <w:spacing w:after="0" w:line="189" w:lineRule="exact"/>
              <w:rPr>
                <w:sz w:val="20"/>
                <w:szCs w:val="20"/>
                <w:color w:val="auto"/>
              </w:rPr>
            </w:pPr>
            <w:r>
              <w:rPr>
                <w:rFonts w:ascii="Arial" w:cs="Arial" w:eastAsia="Arial" w:hAnsi="Arial"/>
                <w:sz w:val="13"/>
                <w:szCs w:val="13"/>
                <w:b w:val="1"/>
                <w:bCs w:val="1"/>
                <w:color w:val="auto"/>
                <w:w w:val="95"/>
              </w:rPr>
              <w:t xml:space="preserve">2Q16 </w:t>
            </w:r>
            <w:r>
              <w:rPr>
                <w:rFonts w:ascii="Arial" w:cs="Arial" w:eastAsia="Arial" w:hAnsi="Arial"/>
                <w:sz w:val="21"/>
                <w:szCs w:val="21"/>
                <w:b w:val="1"/>
                <w:bCs w:val="1"/>
                <w:color w:val="auto"/>
                <w:w w:val="95"/>
                <w:vertAlign w:val="superscript"/>
              </w:rPr>
              <w:t>(2)</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vMerge w:val="continue"/>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54.9%</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87.4%</w:t>
            </w: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95"/>
              </w:rPr>
              <w:t>44.1%</w:t>
            </w:r>
          </w:p>
        </w:tc>
        <w:tc>
          <w:tcPr>
            <w:tcW w:w="0" w:type="dxa"/>
            <w:vAlign w:val="bottom"/>
          </w:tcPr>
          <w:p>
            <w:pPr>
              <w:spacing w:after="0"/>
              <w:rPr>
                <w:sz w:val="1"/>
                <w:szCs w:val="1"/>
                <w:color w:val="auto"/>
              </w:rPr>
            </w:pPr>
          </w:p>
        </w:tc>
      </w:tr>
      <w:tr>
        <w:trPr>
          <w:trHeight w:val="149"/>
        </w:trPr>
        <w:tc>
          <w:tcPr>
            <w:tcW w:w="23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3"/>
              </w:rPr>
              <w:t>1Q17</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112.6%</w:t>
            </w:r>
          </w:p>
        </w:tc>
        <w:tc>
          <w:tcPr>
            <w:tcW w:w="1060" w:type="dxa"/>
            <w:vAlign w:val="bottom"/>
            <w:gridSpan w:val="3"/>
          </w:tcPr>
          <w:p>
            <w:pPr>
              <w:ind w:left="660"/>
              <w:spacing w:after="0" w:line="149" w:lineRule="exact"/>
              <w:rPr>
                <w:sz w:val="20"/>
                <w:szCs w:val="20"/>
                <w:color w:val="auto"/>
              </w:rPr>
            </w:pPr>
            <w:r>
              <w:rPr>
                <w:rFonts w:ascii="Arial" w:cs="Arial" w:eastAsia="Arial" w:hAnsi="Arial"/>
                <w:sz w:val="14"/>
                <w:szCs w:val="14"/>
                <w:color w:val="auto"/>
                <w:w w:val="95"/>
              </w:rPr>
              <w:t>41.8%</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3"/>
              </w:rPr>
              <w:t>2Q17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54.4%</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88.6%</w:t>
            </w: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95"/>
              </w:rPr>
              <w:t>43.8%</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tcPr>
          <w:p>
            <w:pPr>
              <w:jc w:val="center"/>
              <w:ind w:right="9"/>
              <w:spacing w:after="0" w:line="142" w:lineRule="exact"/>
              <w:rPr>
                <w:sz w:val="20"/>
                <w:szCs w:val="20"/>
                <w:color w:val="auto"/>
              </w:rPr>
            </w:pPr>
            <w:r>
              <w:rPr>
                <w:rFonts w:ascii="Arial" w:cs="Arial" w:eastAsia="Arial" w:hAnsi="Arial"/>
                <w:sz w:val="14"/>
                <w:szCs w:val="14"/>
                <w:b w:val="1"/>
                <w:bCs w:val="1"/>
                <w:color w:val="auto"/>
                <w:w w:val="95"/>
              </w:rPr>
              <w:t>Var. QoQ</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380 bps</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87"/>
              </w:rPr>
              <w:t>-150 bps</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-300 bps</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 bps</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-2400 bps</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 bps</w:t>
            </w:r>
          </w:p>
        </w:tc>
        <w:tc>
          <w:tcPr>
            <w:tcW w:w="14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jc w:val="center"/>
              <w:ind w:right="29"/>
              <w:spacing w:after="0" w:line="142" w:lineRule="exact"/>
              <w:rPr>
                <w:sz w:val="20"/>
                <w:szCs w:val="20"/>
                <w:color w:val="auto"/>
              </w:rPr>
            </w:pPr>
            <w:r>
              <w:rPr>
                <w:rFonts w:ascii="Arial" w:cs="Arial" w:eastAsia="Arial" w:hAnsi="Arial"/>
                <w:sz w:val="14"/>
                <w:szCs w:val="14"/>
                <w:b w:val="1"/>
                <w:bCs w:val="1"/>
                <w:color w:val="auto"/>
                <w:w w:val="97"/>
              </w:rPr>
              <w:t>Var. YoY</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w w:val="87"/>
              </w:rPr>
              <w:t>-520 bps</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 bps</w:t>
            </w:r>
          </w:p>
        </w:tc>
        <w:tc>
          <w:tcPr>
            <w:tcW w:w="24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 bps</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1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jc w:val="center"/>
              <w:ind w:right="29"/>
              <w:spacing w:after="0" w:line="142" w:lineRule="exact"/>
              <w:rPr>
                <w:sz w:val="20"/>
                <w:szCs w:val="20"/>
                <w:color w:val="auto"/>
              </w:rPr>
            </w:pPr>
            <w:r>
              <w:rPr>
                <w:rFonts w:ascii="Arial" w:cs="Arial" w:eastAsia="Arial" w:hAnsi="Arial"/>
                <w:sz w:val="14"/>
                <w:szCs w:val="14"/>
                <w:b w:val="1"/>
                <w:bCs w:val="1"/>
                <w:color w:val="auto"/>
                <w:w w:val="92"/>
              </w:rPr>
              <w:t>Acum. Jun 16</w:t>
            </w:r>
          </w:p>
        </w:tc>
        <w:tc>
          <w:tcPr>
            <w:tcW w:w="12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39.8%</w:t>
            </w: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58.6%</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56.5%</w:t>
            </w: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24.6%</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26.9%</w:t>
            </w: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44.6%</w:t>
            </w: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101.5%</w:t>
            </w:r>
          </w:p>
        </w:tc>
        <w:tc>
          <w:tcPr>
            <w:tcW w:w="106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w w:val="95"/>
              </w:rPr>
              <w:t>43.3%</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2"/>
              </w:rPr>
              <w:t>Acum. Jun 17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55.9%</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99.0%</w:t>
            </w: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w w:val="95"/>
              </w:rPr>
              <w:t>42.8%</w:t>
            </w:r>
          </w:p>
        </w:tc>
        <w:tc>
          <w:tcPr>
            <w:tcW w:w="0" w:type="dxa"/>
            <w:vAlign w:val="bottom"/>
          </w:tcPr>
          <w:p>
            <w:pPr>
              <w:spacing w:after="0"/>
              <w:rPr>
                <w:sz w:val="1"/>
                <w:szCs w:val="1"/>
                <w:color w:val="auto"/>
              </w:rPr>
            </w:pPr>
          </w:p>
        </w:tc>
      </w:tr>
      <w:tr>
        <w:trPr>
          <w:trHeight w:val="142"/>
        </w:trPr>
        <w:tc>
          <w:tcPr>
            <w:tcW w:w="2300" w:type="dxa"/>
            <w:vAlign w:val="bottom"/>
          </w:tcPr>
          <w:p>
            <w:pPr>
              <w:jc w:val="center"/>
              <w:ind w:right="9"/>
              <w:spacing w:after="0" w:line="142" w:lineRule="exact"/>
              <w:rPr>
                <w:sz w:val="20"/>
                <w:szCs w:val="20"/>
                <w:color w:val="auto"/>
              </w:rPr>
            </w:pPr>
            <w:r>
              <w:rPr>
                <w:rFonts w:ascii="Arial" w:cs="Arial" w:eastAsia="Arial" w:hAnsi="Arial"/>
                <w:sz w:val="14"/>
                <w:szCs w:val="14"/>
                <w:b w:val="1"/>
                <w:bCs w:val="1"/>
                <w:color w:val="auto"/>
                <w:w w:val="93"/>
              </w:rPr>
              <w:t>Var. Jun 17 / Jun 16</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87"/>
              </w:rPr>
              <w:t>-390 bps</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-230 bps</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 bps</w:t>
            </w:r>
          </w:p>
        </w:tc>
        <w:tc>
          <w:tcPr>
            <w:tcW w:w="2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-250 bps</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 bps</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right="440" w:hanging="4"/>
        <w:spacing w:after="0" w:line="258" w:lineRule="auto"/>
        <w:tabs>
          <w:tab w:leader="none" w:pos="3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income + acquisition cost - other expenses) / (Net interest income + fee income + Net gain on foreign exchange transactions + Result on exchange difference + Net gain on derivates + Net gain from associates + Net earned premiums).</w:t>
      </w:r>
    </w:p>
    <w:p>
      <w:pPr>
        <w:spacing w:after="0" w:line="1" w:lineRule="exact"/>
        <w:rPr>
          <w:rFonts w:ascii="Arial" w:cs="Arial" w:eastAsia="Arial" w:hAnsi="Arial"/>
          <w:sz w:val="18"/>
          <w:szCs w:val="18"/>
          <w:color w:val="auto"/>
        </w:rPr>
      </w:pPr>
    </w:p>
    <w:p>
      <w:pPr>
        <w:ind w:left="400" w:hanging="264"/>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the quarterly analysis, the </w:t>
      </w:r>
      <w:r>
        <w:rPr>
          <w:rFonts w:ascii="Arial" w:cs="Arial" w:eastAsia="Arial" w:hAnsi="Arial"/>
          <w:sz w:val="17"/>
          <w:szCs w:val="17"/>
          <w:b w:val="1"/>
          <w:bCs w:val="1"/>
          <w:color w:val="auto"/>
        </w:rPr>
        <w:t>efficiency ratio</w:t>
      </w:r>
      <w:r>
        <w:rPr>
          <w:rFonts w:ascii="Arial" w:cs="Arial" w:eastAsia="Arial" w:hAnsi="Arial"/>
          <w:sz w:val="17"/>
          <w:szCs w:val="17"/>
          <w:color w:val="auto"/>
        </w:rPr>
        <w:t xml:space="preserve"> was situated at 43.8% at the end of 2Q17, 200 bps above the level of 41.8% posted in 1Q17. The aforementioned was due primarily to the increase in operating expenses, which accounts for 130 bps. In terms of operating income, the QoQ reduction accounts for 70 bps and was associated primarily with a drop in net interest income. For more details, see section “4. Net interest Income”.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Mibanco and BCP Bolivia continue to improve their efficiency ratios; nevertheless, this improvement was not enough to attenuate the impact of BCP Stand-alone.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YoY analysis, Credicorp’s efficiency ratio fell -30 bps given that the increase in operating income outweighed operating expenses growth. In regard to, operating income, the line that experienced the highest growth in volume was net interest income, which was primarily attributable to Mibanco. In line with the latter, Mibanco posted a -520 bps reduction in efficiency YoY, which offset the 220 bps increase registered at BCP Stand-alone.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in the accumulated analysis, which was not affected by seasonality, the vast majority of Credicorp’s subsidiaries posted improvements in their efficiency ratios. This led to a -50 bps in Credicorp’s accumulated efficiency ratio.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494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b w:val="1"/>
                <w:bCs w:val="1"/>
                <w:color w:val="auto"/>
              </w:rPr>
              <w:t>8.1</w:t>
            </w:r>
          </w:p>
        </w:tc>
        <w:tc>
          <w:tcPr>
            <w:tcW w:w="494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 – BAP</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16</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17</w:t>
            </w: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 17</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Treasury Stocks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(209,228)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(210,563)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(208,952)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282,985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229,339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271,561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13,507,601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15,889,763</w:t>
            </w:r>
          </w:p>
        </w:tc>
        <w:tc>
          <w:tcPr>
            <w:tcW w:w="1040" w:type="dxa"/>
            <w:vAlign w:val="bottom"/>
          </w:tcPr>
          <w:p>
            <w:pPr>
              <w:jc w:val="right"/>
              <w:spacing w:after="0"/>
              <w:rPr>
                <w:sz w:val="20"/>
                <w:szCs w:val="20"/>
                <w:color w:val="auto"/>
              </w:rPr>
            </w:pPr>
            <w:r>
              <w:rPr>
                <w:rFonts w:ascii="Arial" w:cs="Arial" w:eastAsia="Arial" w:hAnsi="Arial"/>
                <w:sz w:val="18"/>
                <w:szCs w:val="18"/>
                <w:color w:val="auto"/>
              </w:rPr>
              <w:t>15,865,972</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57"/>
        </w:trPr>
        <w:tc>
          <w:tcPr>
            <w:tcW w:w="52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395,472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349,667</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349,354</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1,285,561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1,284,453</w:t>
            </w:r>
          </w:p>
        </w:tc>
        <w:tc>
          <w:tcPr>
            <w:tcW w:w="1040" w:type="dxa"/>
            <w:vAlign w:val="bottom"/>
          </w:tcPr>
          <w:p>
            <w:pPr>
              <w:jc w:val="right"/>
              <w:spacing w:after="0"/>
              <w:rPr>
                <w:sz w:val="20"/>
                <w:szCs w:val="20"/>
                <w:color w:val="auto"/>
              </w:rPr>
            </w:pPr>
            <w:r>
              <w:rPr>
                <w:rFonts w:ascii="Arial" w:cs="Arial" w:eastAsia="Arial" w:hAnsi="Arial"/>
                <w:sz w:val="18"/>
                <w:szCs w:val="18"/>
                <w:color w:val="auto"/>
              </w:rPr>
              <w:t>1,288,931</w:t>
            </w:r>
          </w:p>
        </w:tc>
        <w:tc>
          <w:tcPr>
            <w:tcW w:w="18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813,250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5,039,308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4,965,484</w:t>
            </w:r>
          </w:p>
        </w:tc>
        <w:tc>
          <w:tcPr>
            <w:tcW w:w="1040" w:type="dxa"/>
            <w:vAlign w:val="bottom"/>
          </w:tcPr>
          <w:p>
            <w:pPr>
              <w:jc w:val="right"/>
              <w:spacing w:after="0"/>
              <w:rPr>
                <w:sz w:val="20"/>
                <w:szCs w:val="20"/>
                <w:color w:val="auto"/>
              </w:rPr>
            </w:pPr>
            <w:r>
              <w:rPr>
                <w:rFonts w:ascii="Arial" w:cs="Arial" w:eastAsia="Arial" w:hAnsi="Arial"/>
                <w:sz w:val="18"/>
                <w:szCs w:val="18"/>
                <w:color w:val="auto"/>
              </w:rPr>
              <w:t>5,001,933</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02"/>
        </w:trPr>
        <w:tc>
          <w:tcPr>
            <w:tcW w:w="52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(728,148)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(752,488)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(751,329)</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(633,611)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(636,479)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(632,707)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05"/>
        </w:trPr>
        <w:tc>
          <w:tcPr>
            <w:tcW w:w="52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67"/>
        </w:trPr>
        <w:tc>
          <w:tcPr>
            <w:tcW w:w="5220" w:type="dxa"/>
            <w:vAlign w:val="bottom"/>
            <w:gridSpan w:val="3"/>
            <w:shd w:val="clear" w:color="auto" w:fill="CCEEFF"/>
          </w:tcPr>
          <w:p>
            <w:pPr>
              <w:spacing w:after="0" w:line="266"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30"/>
                <w:szCs w:val="30"/>
                <w:color w:val="auto"/>
                <w:vertAlign w:val="superscript"/>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22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21,081,183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23,250,169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23,317,006</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522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Tier I </w:t>
            </w:r>
            <w:r>
              <w:rPr>
                <w:rFonts w:ascii="Arial" w:cs="Arial" w:eastAsia="Arial" w:hAnsi="Arial"/>
                <w:sz w:val="27"/>
                <w:szCs w:val="27"/>
                <w:color w:val="auto"/>
                <w:vertAlign w:val="superscript"/>
              </w:rPr>
              <w:t>(5)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12,180,475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12,554,858</w:t>
            </w:r>
          </w:p>
        </w:tc>
        <w:tc>
          <w:tcPr>
            <w:tcW w:w="1040" w:type="dxa"/>
            <w:vAlign w:val="bottom"/>
          </w:tcPr>
          <w:p>
            <w:pPr>
              <w:jc w:val="right"/>
              <w:spacing w:after="0"/>
              <w:rPr>
                <w:sz w:val="20"/>
                <w:szCs w:val="20"/>
                <w:color w:val="auto"/>
              </w:rPr>
            </w:pPr>
            <w:r>
              <w:rPr>
                <w:rFonts w:ascii="Arial" w:cs="Arial" w:eastAsia="Arial" w:hAnsi="Arial"/>
                <w:sz w:val="18"/>
                <w:szCs w:val="18"/>
                <w:color w:val="auto"/>
              </w:rPr>
              <w:t>12,603,980</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8,900,708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10,695,311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10,713,027</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182"/>
        </w:trPr>
        <w:tc>
          <w:tcPr>
            <w:tcW w:w="5220" w:type="dxa"/>
            <w:vAlign w:val="bottom"/>
            <w:gridSpan w:val="3"/>
          </w:tcPr>
          <w:p>
            <w:pPr>
              <w:spacing w:after="0" w:line="182"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15,653,442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16,236,995</w:t>
            </w:r>
          </w:p>
        </w:tc>
        <w:tc>
          <w:tcPr>
            <w:tcW w:w="1040" w:type="dxa"/>
            <w:vAlign w:val="bottom"/>
          </w:tcPr>
          <w:p>
            <w:pPr>
              <w:jc w:val="right"/>
              <w:spacing w:after="0"/>
              <w:rPr>
                <w:sz w:val="20"/>
                <w:szCs w:val="20"/>
                <w:color w:val="auto"/>
              </w:rPr>
            </w:pPr>
            <w:r>
              <w:rPr>
                <w:rFonts w:ascii="Arial" w:cs="Arial" w:eastAsia="Arial" w:hAnsi="Arial"/>
                <w:sz w:val="18"/>
                <w:szCs w:val="18"/>
                <w:color w:val="auto"/>
              </w:rPr>
              <w:t>16,583,872</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923,434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1,184,589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974,207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52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FCG Capital Requirements related to operations with ICG </w:t>
            </w:r>
            <w:r>
              <w:rPr>
                <w:rFonts w:ascii="Arial" w:cs="Arial" w:eastAsia="Arial" w:hAnsi="Arial"/>
                <w:sz w:val="29"/>
                <w:szCs w:val="29"/>
                <w:color w:val="auto"/>
                <w:vertAlign w:val="superscript"/>
              </w:rPr>
              <w:t>(8)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(325,433)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(219,634)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(259,450)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ICG Capital Requirements related to operations with FCG </w:t>
            </w:r>
            <w:r>
              <w:rPr>
                <w:rFonts w:ascii="Arial" w:cs="Arial" w:eastAsia="Arial" w:hAnsi="Arial"/>
                <w:sz w:val="30"/>
                <w:szCs w:val="30"/>
                <w:color w:val="auto"/>
                <w:vertAlign w:val="superscript"/>
              </w:rPr>
              <w:t>(9)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16,251,443</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17,201,950</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17,298,629</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0"/>
        </w:trPr>
        <w:tc>
          <w:tcPr>
            <w:tcW w:w="522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11,071 million) and optional capital reserves (PEN 4,795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Minority interest includes Tier I (PEN 346.5 million) and Tier II (PEN 2.8 million) minority interests.</w:t>
      </w:r>
    </w:p>
    <w:p>
      <w:pPr>
        <w:spacing w:after="0" w:line="9" w:lineRule="exact"/>
        <w:rPr>
          <w:rFonts w:ascii="Arial" w:cs="Arial" w:eastAsia="Arial" w:hAnsi="Arial"/>
          <w:sz w:val="18"/>
          <w:szCs w:val="18"/>
          <w:color w:val="auto"/>
        </w:rPr>
      </w:pPr>
    </w:p>
    <w:p>
      <w:pPr>
        <w:ind w:right="280" w:firstLine="8"/>
        <w:spacing w:after="0" w:line="25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right="560" w:firstLine="8"/>
        <w:spacing w:after="0" w:line="25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right="700" w:firstLine="8"/>
        <w:spacing w:after="0" w:line="25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II = subordinated debt + Tier II minority interest tier + loan loss reserves - (0.5 x investment in equity and subordinated debt of financial and insurance companies).</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June 2017, Credicorp reported a comfortable capitalization level that was 1.35 times higher than the capital required by the Peruvian Regulator. This ratio maintained QoQ as a result of the minor increase of regulatory capital requirement (+ 0.8% QoQ), which was offset by the slight increase in Credicorp's regulatory capital (0.4% QoQ).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growth in regulatory capital was due primarily to the net income generated in 2Q17.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increase in the regulatory capital requirement was due mainly to the higher capital requirement for the Consolidated Financial Group (+2.4 QoQ), which in turn reflected the fact that more capital was required for the loan growth at BCP Consolidated.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regulatory capital ratio increased from 1.30 in 2Q16 to 1.35 in 2Q17 due to higher growth in total regulatory capital (+10.7% YoY) compared to total regulatory capital requirements (+6.7 YoY). Regulatory capital increased due to a higher level in Legal and Other Capital Reserves (+17.5% YoY), while Total regulatory capital requirement grew +6.7% QoQ as a result of +6.2% YoY increase in the Consolidated Financial Group Regulatory Capital Requirements.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Balance 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16</w:t>
            </w: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17</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17</w:t>
            </w: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920" w:type="dxa"/>
            <w:vAlign w:val="bottom"/>
          </w:tcPr>
          <w:p>
            <w:pPr>
              <w:jc w:val="right"/>
              <w:spacing w:after="0"/>
              <w:rPr>
                <w:sz w:val="20"/>
                <w:szCs w:val="20"/>
                <w:color w:val="auto"/>
              </w:rPr>
            </w:pPr>
            <w:r>
              <w:rPr>
                <w:rFonts w:ascii="Arial" w:cs="Arial" w:eastAsia="Arial" w:hAnsi="Arial"/>
                <w:sz w:val="18"/>
                <w:szCs w:val="18"/>
                <w:color w:val="auto"/>
              </w:rPr>
              <w:t>3,582,218</w:t>
            </w: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3,885,484</w:t>
            </w:r>
          </w:p>
        </w:tc>
        <w:tc>
          <w:tcPr>
            <w:tcW w:w="1020" w:type="dxa"/>
            <w:vAlign w:val="bottom"/>
          </w:tcPr>
          <w:p>
            <w:pPr>
              <w:jc w:val="right"/>
              <w:spacing w:after="0"/>
              <w:rPr>
                <w:sz w:val="20"/>
                <w:szCs w:val="20"/>
                <w:color w:val="auto"/>
              </w:rPr>
            </w:pPr>
            <w:r>
              <w:rPr>
                <w:rFonts w:ascii="Arial" w:cs="Arial" w:eastAsia="Arial" w:hAnsi="Arial"/>
                <w:sz w:val="18"/>
                <w:szCs w:val="18"/>
                <w:color w:val="auto"/>
              </w:rPr>
              <w:t>3,885,494</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1,140,215</w:t>
            </w:r>
          </w:p>
        </w:tc>
        <w:tc>
          <w:tcPr>
            <w:tcW w:w="2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1,135,286</w:t>
            </w:r>
          </w:p>
        </w:tc>
        <w:tc>
          <w:tcPr>
            <w:tcW w:w="1020" w:type="dxa"/>
            <w:vAlign w:val="bottom"/>
          </w:tcPr>
          <w:p>
            <w:pPr>
              <w:jc w:val="right"/>
              <w:spacing w:after="0"/>
              <w:rPr>
                <w:sz w:val="20"/>
                <w:szCs w:val="20"/>
                <w:color w:val="auto"/>
              </w:rPr>
            </w:pPr>
            <w:r>
              <w:rPr>
                <w:rFonts w:ascii="Arial" w:cs="Arial" w:eastAsia="Arial" w:hAnsi="Arial"/>
                <w:sz w:val="18"/>
                <w:szCs w:val="18"/>
                <w:color w:val="auto"/>
              </w:rPr>
              <w:t>1,135,491</w:t>
            </w:r>
          </w:p>
        </w:tc>
        <w:tc>
          <w:tcPr>
            <w:tcW w:w="260" w:type="dxa"/>
            <w:vAlign w:val="bottom"/>
          </w:tcPr>
          <w:p>
            <w:pPr>
              <w:spacing w:after="0"/>
              <w:rPr>
                <w:sz w:val="22"/>
                <w:szCs w:val="22"/>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822,250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730,800</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731,925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right"/>
              <w:spacing w:after="0"/>
              <w:rPr>
                <w:sz w:val="20"/>
                <w:szCs w:val="20"/>
                <w:color w:val="auto"/>
              </w:rPr>
            </w:pPr>
            <w:r>
              <w:rPr>
                <w:rFonts w:ascii="Arial" w:cs="Arial" w:eastAsia="Arial" w:hAnsi="Arial"/>
                <w:sz w:val="18"/>
                <w:szCs w:val="18"/>
                <w:color w:val="auto"/>
              </w:rPr>
              <w:t>4,442,054</w:t>
            </w: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4,472,169</w:t>
            </w:r>
          </w:p>
        </w:tc>
        <w:tc>
          <w:tcPr>
            <w:tcW w:w="1020" w:type="dxa"/>
            <w:vAlign w:val="bottom"/>
          </w:tcPr>
          <w:p>
            <w:pPr>
              <w:jc w:val="right"/>
              <w:spacing w:after="0"/>
              <w:rPr>
                <w:sz w:val="20"/>
                <w:szCs w:val="20"/>
                <w:color w:val="auto"/>
              </w:rPr>
            </w:pPr>
            <w:r>
              <w:rPr>
                <w:rFonts w:ascii="Arial" w:cs="Arial" w:eastAsia="Arial" w:hAnsi="Arial"/>
                <w:sz w:val="18"/>
                <w:szCs w:val="18"/>
                <w:color w:val="auto"/>
              </w:rPr>
              <w:t>4,478,286</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3"/>
              </w:rPr>
              <w:t>Investment in subsidiaries and others, net of unrealized profit and net income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(1,228,010)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(1,242,640)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(1,242,614)</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(1,347,105)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(1,310,797)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(1,388,099)</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Unrealized profit and net income in subsidiaries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119,095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68,157</w:t>
            </w:r>
          </w:p>
        </w:tc>
        <w:tc>
          <w:tcPr>
            <w:tcW w:w="1020" w:type="dxa"/>
            <w:vAlign w:val="bottom"/>
          </w:tcPr>
          <w:p>
            <w:pPr>
              <w:jc w:val="right"/>
              <w:spacing w:after="0"/>
              <w:rPr>
                <w:sz w:val="20"/>
                <w:szCs w:val="20"/>
                <w:color w:val="auto"/>
              </w:rPr>
            </w:pPr>
            <w:r>
              <w:rPr>
                <w:rFonts w:ascii="Arial" w:cs="Arial" w:eastAsia="Arial" w:hAnsi="Arial"/>
                <w:sz w:val="18"/>
                <w:szCs w:val="18"/>
                <w:color w:val="auto"/>
              </w:rPr>
              <w:t>145,486</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113.5%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 ill</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(122,083)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15,702,990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16,792,358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16,799,842</w:t>
            </w:r>
          </w:p>
        </w:tc>
        <w:tc>
          <w:tcPr>
            <w:tcW w:w="26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31,913,377</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31,054,769</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30,829,912</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10,794,274</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11,806,223</w:t>
            </w:r>
          </w:p>
        </w:tc>
        <w:tc>
          <w:tcPr>
            <w:tcW w:w="1020" w:type="dxa"/>
            <w:vAlign w:val="bottom"/>
          </w:tcPr>
          <w:p>
            <w:pPr>
              <w:jc w:val="right"/>
              <w:spacing w:after="0"/>
              <w:rPr>
                <w:sz w:val="20"/>
                <w:szCs w:val="20"/>
                <w:color w:val="auto"/>
              </w:rPr>
            </w:pPr>
            <w:r>
              <w:rPr>
                <w:rFonts w:ascii="Arial" w:cs="Arial" w:eastAsia="Arial" w:hAnsi="Arial"/>
                <w:sz w:val="18"/>
                <w:szCs w:val="18"/>
                <w:color w:val="auto"/>
              </w:rPr>
              <w:t>11,807,371</w:t>
            </w:r>
          </w:p>
        </w:tc>
        <w:tc>
          <w:tcPr>
            <w:tcW w:w="2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4,908,716</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4,986,135</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4,992,471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risk -weighted assets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99,612,081</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100,356,369</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100,527,444</w:t>
            </w:r>
          </w:p>
        </w:tc>
        <w:tc>
          <w:tcPr>
            <w:tcW w:w="2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707,066</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1,205,828</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1,198,004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91,217,162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90,822,870</w:t>
            </w:r>
          </w:p>
        </w:tc>
        <w:tc>
          <w:tcPr>
            <w:tcW w:w="1020" w:type="dxa"/>
            <w:vAlign w:val="bottom"/>
          </w:tcPr>
          <w:p>
            <w:pPr>
              <w:jc w:val="right"/>
              <w:spacing w:after="0"/>
              <w:rPr>
                <w:sz w:val="20"/>
                <w:szCs w:val="20"/>
                <w:color w:val="auto"/>
              </w:rPr>
            </w:pPr>
            <w:r>
              <w:rPr>
                <w:rFonts w:ascii="Arial" w:cs="Arial" w:eastAsia="Arial" w:hAnsi="Arial"/>
                <w:sz w:val="18"/>
                <w:szCs w:val="18"/>
                <w:color w:val="auto"/>
              </w:rPr>
              <w:t>90,839,316</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7,687,852</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8,327,672</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8,490,124</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Risk-Weighted Assets(7)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99,124,208</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99,785,022</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99,945,976</w:t>
            </w:r>
          </w:p>
        </w:tc>
        <w:tc>
          <w:tcPr>
            <w:tcW w:w="2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99,612,081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100,356,369</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100,527,444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920" w:type="dxa"/>
            <w:vAlign w:val="bottom"/>
          </w:tcPr>
          <w:p>
            <w:pPr>
              <w:jc w:val="right"/>
              <w:spacing w:after="0"/>
              <w:rPr>
                <w:sz w:val="20"/>
                <w:szCs w:val="20"/>
                <w:color w:val="auto"/>
              </w:rPr>
            </w:pPr>
            <w:r>
              <w:rPr>
                <w:rFonts w:ascii="Arial" w:cs="Arial" w:eastAsia="Arial" w:hAnsi="Arial"/>
                <w:sz w:val="18"/>
                <w:szCs w:val="18"/>
                <w:color w:val="auto"/>
              </w:rPr>
              <w:t>487,873</w:t>
            </w: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571,347</w:t>
            </w:r>
          </w:p>
        </w:tc>
        <w:tc>
          <w:tcPr>
            <w:tcW w:w="1020" w:type="dxa"/>
            <w:vAlign w:val="bottom"/>
          </w:tcPr>
          <w:p>
            <w:pPr>
              <w:jc w:val="right"/>
              <w:spacing w:after="0"/>
              <w:rPr>
                <w:sz w:val="20"/>
                <w:szCs w:val="20"/>
                <w:color w:val="auto"/>
              </w:rPr>
            </w:pPr>
            <w:r>
              <w:rPr>
                <w:rFonts w:ascii="Arial" w:cs="Arial" w:eastAsia="Arial" w:hAnsi="Arial"/>
                <w:sz w:val="18"/>
                <w:szCs w:val="18"/>
                <w:color w:val="auto"/>
              </w:rPr>
              <w:t>581,469</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 RWA Deferred tax assets generated as a result of temporary differences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income tax, in excess of 10% of CET1</w:t>
            </w:r>
          </w:p>
        </w:tc>
        <w:tc>
          <w:tcPr>
            <w:tcW w:w="9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20" w:type="dxa"/>
            <w:vAlign w:val="bottom"/>
            <w:tcBorders>
              <w:right w:val="single" w:sz="8" w:color="CCEEFF"/>
            </w:tcBorders>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 RWA Deferred tax assets generated as a result of past losses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12,060,046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12,458,416</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12,506,582</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70,707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120,583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119,800</w:t>
            </w:r>
          </w:p>
        </w:tc>
        <w:tc>
          <w:tcPr>
            <w:tcW w:w="26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9,121,716</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9,082,287</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9,083,932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768,785</w:t>
            </w: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832,767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849,012</w:t>
            </w:r>
          </w:p>
        </w:tc>
        <w:tc>
          <w:tcPr>
            <w:tcW w:w="26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2,098,838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2,422,779</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2,453,837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11.75%</w:t>
            </w: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11.54%</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w:t>
            </w: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340" w:firstLine="8"/>
        <w:spacing w:after="0" w:line="265" w:lineRule="auto"/>
        <w:tabs>
          <w:tab w:leader="none" w:pos="2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32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At the end of 2Q17, the BIS ratio was situated at 16.71%, which represented a slight decrease QoQ. This was a result of the minor increase of the Regulatory capital and Risk-weighted assets (RWAs), which in turn is explained by the slight growth of the credit RWAs. This last in line with the slight loan growth at BCP Stand-alone.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register a slight contraction from 11.76% in 1Q17 to 11.75% in 2Q17, due to the slight growth in the RWAs.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Finally, the Common equity tier 1 (CET1) ratio, which is considered the most rigorous in terms of measuring capitalization levels, reported a significant increase and situated at 11.54% at the end of June. This was mainly due to the net income generated in 2Q17, which helped us build around 70 bps of CET1.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520"/>
        <w:spacing w:after="0"/>
        <w:tabs>
          <w:tab w:leader="none" w:pos="8280" w:val="left"/>
        </w:tabs>
        <w:rPr>
          <w:sz w:val="20"/>
          <w:szCs w:val="20"/>
          <w:color w:val="auto"/>
        </w:rPr>
      </w:pPr>
      <w:r>
        <w:rPr>
          <w:rFonts w:ascii="Arial" w:cs="Arial" w:eastAsia="Arial" w:hAnsi="Arial"/>
          <w:sz w:val="18"/>
          <w:szCs w:val="18"/>
          <w:b w:val="1"/>
          <w:bCs w:val="1"/>
          <w:color w:val="auto"/>
        </w:rPr>
        <w:t>March 2017</w:t>
      </w:r>
      <w:r>
        <w:rPr>
          <w:sz w:val="20"/>
          <w:szCs w:val="20"/>
          <w:color w:val="auto"/>
        </w:rPr>
        <w:tab/>
      </w:r>
      <w:r>
        <w:rPr>
          <w:rFonts w:ascii="Arial" w:cs="Arial" w:eastAsia="Arial" w:hAnsi="Arial"/>
          <w:sz w:val="15"/>
          <w:szCs w:val="15"/>
          <w:b w:val="1"/>
          <w:bCs w:val="1"/>
          <w:color w:val="auto"/>
        </w:rPr>
        <w:t>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142240</wp:posOffset>
            </wp:positionV>
            <wp:extent cx="6423025" cy="128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minor investments.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Banking business’s Distribution channels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4"/>
          </w:tcPr>
          <w:p>
            <w:pPr>
              <w:ind w:left="3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45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 16</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Mar 17</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 17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ind w:left="280"/>
              <w:spacing w:after="0"/>
              <w:rPr>
                <w:sz w:val="20"/>
                <w:szCs w:val="20"/>
                <w:color w:val="auto"/>
              </w:rPr>
            </w:pPr>
            <w:r>
              <w:rPr>
                <w:rFonts w:ascii="Arial" w:cs="Arial" w:eastAsia="Arial" w:hAnsi="Arial"/>
                <w:sz w:val="18"/>
                <w:szCs w:val="18"/>
                <w:b w:val="1"/>
                <w:bCs w:val="1"/>
                <w:color w:val="auto"/>
              </w:rPr>
              <w:t>YoY</w:t>
            </w: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Branches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2,311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2,332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2,344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Agentes BCP</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r>
      <w:tr>
        <w:trPr>
          <w:trHeight w:val="21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BCP's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8,343</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8,770</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8,812</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Peru's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8,660</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9,132</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8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Branches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70"/>
        </w:trPr>
        <w:tc>
          <w:tcPr>
            <w:tcW w:w="450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Agentes BCP Bolivia </w:t>
            </w:r>
            <w:r>
              <w:rPr>
                <w:rFonts w:ascii="Arial" w:cs="Arial" w:eastAsia="Arial" w:hAnsi="Arial"/>
                <w:sz w:val="30"/>
                <w:szCs w:val="30"/>
                <w:color w:val="auto"/>
                <w:vertAlign w:val="superscript"/>
              </w:rPr>
              <w:t>(2)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1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Bolivia's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9,015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9,536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9,624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609</w:t>
            </w:r>
          </w:p>
        </w:tc>
      </w:tr>
      <w:tr>
        <w:trPr>
          <w:trHeight w:val="20"/>
        </w:trPr>
        <w:tc>
          <w:tcPr>
            <w:tcW w:w="4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Information at Jun 16 differs from the previously reported because the figure was not closed at the date of disclosure.</w:t>
      </w:r>
    </w:p>
    <w:p>
      <w:pPr>
        <w:spacing w:after="0" w:line="23" w:lineRule="exact"/>
        <w:rPr>
          <w:sz w:val="20"/>
          <w:szCs w:val="20"/>
          <w:color w:val="auto"/>
        </w:rPr>
      </w:pPr>
    </w:p>
    <w:p>
      <w:pPr>
        <w:ind w:left="140" w:right="2180" w:hanging="4"/>
        <w:spacing w:after="0" w:line="250" w:lineRule="auto"/>
        <w:tabs>
          <w:tab w:leader="none" w:pos="3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2Q16, 1Q17 and 2Q17 were 38, 40 and 40 respectively.</w:t>
      </w:r>
    </w:p>
    <w:p>
      <w:pPr>
        <w:ind w:left="400" w:hanging="264"/>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Figures differ from the previously reported because they do not include Agentes Billetera BCP, which are not physical points of contact.</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distribution channels of BCP Stand-alone, Mibanco and BCP Bolivia reached a total of 9,624 points of contact at the end of 2Q17, which represents an increase of 88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BCP Stand-alone reached a total of 8,812 points of contact at the end of 2Q17, which represented an increase of 42 points QoQ. The aforementioned was due primarily to an increase in the number of </w:t>
      </w:r>
      <w:r>
        <w:rPr>
          <w:rFonts w:ascii="Arial" w:cs="Arial" w:eastAsia="Arial" w:hAnsi="Arial"/>
          <w:sz w:val="18"/>
          <w:szCs w:val="18"/>
          <w:i w:val="1"/>
          <w:iCs w:val="1"/>
          <w:color w:val="auto"/>
        </w:rPr>
        <w:t>Agentes BCP</w:t>
      </w:r>
      <w:r>
        <w:rPr>
          <w:rFonts w:ascii="Arial" w:cs="Arial" w:eastAsia="Arial" w:hAnsi="Arial"/>
          <w:sz w:val="18"/>
          <w:szCs w:val="18"/>
          <w:color w:val="auto"/>
        </w:rPr>
        <w:t xml:space="preserve"> (+31 QoQ) and of ATMs (+12 QoQ). Quarterly growth in ATMs is in line with the goal to achieve net growth of 60 points of contact in 2017.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Mibanco branches increased by 2 QoQ. It is important to note that Mibanco has an agreement with the Banco de la Nacion that allows it to use the latter’s installations throughout the country to reduce operating costs. At the end of 2Q17, these branches represented 13% of the total (40).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BCP Bolivia increased in 44 the number of points of contact QoQ. The aforementioned was due primarily to an increase in the number of </w:t>
      </w:r>
      <w:r>
        <w:rPr>
          <w:rFonts w:ascii="Arial" w:cs="Arial" w:eastAsia="Arial" w:hAnsi="Arial"/>
          <w:sz w:val="18"/>
          <w:szCs w:val="18"/>
          <w:i w:val="1"/>
          <w:iCs w:val="1"/>
          <w:color w:val="auto"/>
        </w:rPr>
        <w:t>Agentes BCP</w:t>
      </w:r>
      <w:r>
        <w:rPr>
          <w:rFonts w:ascii="Arial" w:cs="Arial" w:eastAsia="Arial" w:hAnsi="Arial"/>
          <w:sz w:val="18"/>
          <w:szCs w:val="18"/>
          <w:color w:val="auto"/>
        </w:rPr>
        <w:t xml:space="preserve"> </w:t>
      </w:r>
      <w:r>
        <w:rPr>
          <w:rFonts w:ascii="Arial" w:cs="Arial" w:eastAsia="Arial" w:hAnsi="Arial"/>
          <w:sz w:val="18"/>
          <w:szCs w:val="18"/>
          <w:i w:val="1"/>
          <w:iCs w:val="1"/>
          <w:color w:val="auto"/>
        </w:rPr>
        <w:t>Bolivia</w:t>
      </w:r>
      <w:r>
        <w:rPr>
          <w:rFonts w:ascii="Arial" w:cs="Arial" w:eastAsia="Arial" w:hAnsi="Arial"/>
          <w:sz w:val="18"/>
          <w:szCs w:val="18"/>
          <w:color w:val="auto"/>
        </w:rPr>
        <w:t>, which is in line with the bank’s strategy to grow its network to 200 Agentes BCP at the end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YoY analysis, the total number of BCP Stand-alone points of contacted increased by 469 units due to an expansion in </w:t>
      </w:r>
      <w:r>
        <w:rPr>
          <w:rFonts w:ascii="Arial" w:cs="Arial" w:eastAsia="Arial" w:hAnsi="Arial"/>
          <w:sz w:val="18"/>
          <w:szCs w:val="18"/>
          <w:i w:val="1"/>
          <w:iCs w:val="1"/>
          <w:color w:val="auto"/>
        </w:rPr>
        <w:t>Agentes BCP</w:t>
      </w:r>
      <w:r>
        <w:rPr>
          <w:rFonts w:ascii="Arial" w:cs="Arial" w:eastAsia="Arial" w:hAnsi="Arial"/>
          <w:sz w:val="18"/>
          <w:szCs w:val="18"/>
          <w:color w:val="auto"/>
        </w:rPr>
        <w:t xml:space="preserve"> (+444), which was in line with the banking penetration strategy and reflected the migration to cost-efficient channels. BCP Bolivia increased its points of contact (+137 YoY). This was mainly due to an increase in the number of </w:t>
      </w:r>
      <w:r>
        <w:rPr>
          <w:rFonts w:ascii="Arial" w:cs="Arial" w:eastAsia="Arial" w:hAnsi="Arial"/>
          <w:sz w:val="18"/>
          <w:szCs w:val="18"/>
          <w:i w:val="1"/>
          <w:iCs w:val="1"/>
          <w:color w:val="auto"/>
        </w:rPr>
        <w:t>Agentes BCP Bolivia</w:t>
      </w:r>
      <w:r>
        <w:rPr>
          <w:rFonts w:ascii="Arial" w:cs="Arial" w:eastAsia="Arial" w:hAnsi="Arial"/>
          <w:sz w:val="18"/>
          <w:szCs w:val="18"/>
          <w:color w:val="auto"/>
        </w:rPr>
        <w:t>. Finally, Mibanco increased its total number of branches (+3 YoY) following business expansion despite closing branches after merging with Edyficar.</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40" w:type="dxa"/>
            <w:vAlign w:val="bottom"/>
            <w:gridSpan w:val="7"/>
          </w:tcPr>
          <w:p>
            <w:pPr>
              <w:ind w:left="620"/>
              <w:spacing w:after="0"/>
              <w:rPr>
                <w:sz w:val="20"/>
                <w:szCs w:val="20"/>
                <w:color w:val="auto"/>
              </w:rPr>
            </w:pPr>
            <w:r>
              <w:rPr>
                <w:rFonts w:ascii="Arial" w:cs="Arial" w:eastAsia="Arial" w:hAnsi="Arial"/>
                <w:sz w:val="18"/>
                <w:szCs w:val="18"/>
                <w:b w:val="1"/>
                <w:bCs w:val="1"/>
                <w:color w:val="auto"/>
              </w:rPr>
              <w:t>Points of Contact by Locality – BCP Stand-alone</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 16</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Mar 17</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 17</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Provinces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Lima</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2,344</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Provinces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This quarter, the points of contact at BCP Stand-alone in the provinces fell by 7 QoQ. Nevertheless, this decline was offset by an increase of 49 points of contact in Lima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YoY analysis shows significant growth in </w:t>
      </w:r>
      <w:r>
        <w:rPr>
          <w:rFonts w:ascii="Arial" w:cs="Arial" w:eastAsia="Arial" w:hAnsi="Arial"/>
          <w:sz w:val="18"/>
          <w:szCs w:val="18"/>
          <w:i w:val="1"/>
          <w:iCs w:val="1"/>
          <w:color w:val="auto"/>
        </w:rPr>
        <w:t>Agentes BCP</w:t>
      </w:r>
      <w:r>
        <w:rPr>
          <w:rFonts w:ascii="Arial" w:cs="Arial" w:eastAsia="Arial" w:hAnsi="Arial"/>
          <w:sz w:val="18"/>
          <w:szCs w:val="18"/>
          <w:color w:val="auto"/>
        </w:rPr>
        <w:t xml:space="preserve"> both in Lima (+264) and in the provinces (+180). This growth is planned according to the historical evolution in each territory to achieve the target for total growth. In the provinces, there was a decrease YoY in the number of ATMs (-24) and offices (-7).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gridSpan w:val="9"/>
          </w:tcPr>
          <w:p>
            <w:pPr>
              <w:ind w:left="860"/>
              <w:spacing w:after="0"/>
              <w:rPr>
                <w:sz w:val="20"/>
                <w:szCs w:val="20"/>
                <w:color w:val="auto"/>
              </w:rPr>
            </w:pPr>
            <w:r>
              <w:rPr>
                <w:rFonts w:ascii="Arial" w:cs="Arial" w:eastAsia="Arial" w:hAnsi="Arial"/>
                <w:sz w:val="18"/>
                <w:szCs w:val="18"/>
                <w:b w:val="1"/>
                <w:bCs w:val="1"/>
                <w:color w:val="auto"/>
                <w:w w:val="90"/>
              </w:rPr>
              <w:t>Transactions per channel – BCP Stand-alone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 of Transactions per channel </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1"/>
              </w:rPr>
              <w:t>Monthly average in each quarter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right"/>
              <w:ind w:right="565"/>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3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8,669,772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8,209,262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8,032,558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ATMs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19,255,754</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19.6%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19,689,451</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20,322,610</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17.8%</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Balance inquiries </w:t>
            </w:r>
            <w:r>
              <w:rPr>
                <w:rFonts w:ascii="Arial" w:cs="Arial" w:eastAsia="Arial" w:hAnsi="Arial"/>
                <w:sz w:val="29"/>
                <w:szCs w:val="29"/>
                <w:color w:val="auto"/>
                <w:vertAlign w:val="superscript"/>
              </w:rPr>
              <w:t>(2)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2,405,842</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2,063,968</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2,315,504</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3,119,883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1000" w:type="dxa"/>
            <w:vAlign w:val="bottom"/>
          </w:tcPr>
          <w:p>
            <w:pPr>
              <w:jc w:val="right"/>
              <w:spacing w:after="0"/>
              <w:rPr>
                <w:sz w:val="20"/>
                <w:szCs w:val="20"/>
                <w:color w:val="auto"/>
              </w:rPr>
            </w:pPr>
            <w:r>
              <w:rPr>
                <w:rFonts w:ascii="Arial" w:cs="Arial" w:eastAsia="Arial" w:hAnsi="Arial"/>
                <w:sz w:val="18"/>
                <w:szCs w:val="18"/>
                <w:color w:val="auto"/>
              </w:rPr>
              <w:t>3,617,008</w:t>
            </w:r>
          </w:p>
        </w:tc>
        <w:tc>
          <w:tcPr>
            <w:tcW w:w="1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3,444,444</w:t>
            </w:r>
          </w:p>
        </w:tc>
        <w:tc>
          <w:tcPr>
            <w:tcW w:w="2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20,126,606</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18,665,888</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19,063,071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14,660,153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14.9%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15,883,836</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16,756,666</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14.6%</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8,839,570</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9,348,825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9,642,090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10,553,955</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10.8%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19,161,532</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22,820,770</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19.9%</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19.1%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681,891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678,060</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650,734</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9,595,055</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10,609,166</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11,161,763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201,560</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216,113</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202,417</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98,110,042</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108,143,108</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114,412,626</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264"/>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400" w:hanging="264"/>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Figures for May 2017 and June 2017 estimated.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monthly average of transactions rose QoQ. This was due primarily to an increase in the volume of transactions in Mobile Banking, </w:t>
      </w:r>
      <w:r>
        <w:rPr>
          <w:rFonts w:ascii="Arial" w:cs="Arial" w:eastAsia="Arial" w:hAnsi="Arial"/>
          <w:sz w:val="17"/>
          <w:szCs w:val="17"/>
          <w:i w:val="1"/>
          <w:iCs w:val="1"/>
          <w:color w:val="auto"/>
        </w:rPr>
        <w:t>Agentes BCP</w:t>
      </w:r>
      <w:r>
        <w:rPr>
          <w:rFonts w:ascii="Arial" w:cs="Arial" w:eastAsia="Arial" w:hAnsi="Arial"/>
          <w:sz w:val="17"/>
          <w:szCs w:val="17"/>
          <w:color w:val="auto"/>
        </w:rPr>
        <w:t xml:space="preserve"> and ATMs. It is important to note that in 1Q17, there was in increase in the number of points of contact (+42 QoQ) that was mainly attributable to growth in the number of Agentes BCP (+31 QoQ). The new payment services offered at the Agentes and promotion campaigns also contributed to the increase in transactions through this venue. Mobile Banking continued to grow, increasing its share of total transactions from 10.8% in 2Q16 to 19.9% in 2Q17.</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YoY analysis, which excludes the seasonal effect, shows an increase in the monthly average of transactions (+14.3%). The aforementioned is due primarily to an increase in the transaction volume registered in cost-efficient channels such as:</w:t>
      </w:r>
    </w:p>
    <w:p>
      <w:pPr>
        <w:spacing w:after="0" w:line="170" w:lineRule="exact"/>
        <w:rPr>
          <w:sz w:val="20"/>
          <w:szCs w:val="20"/>
          <w:color w:val="auto"/>
        </w:rPr>
      </w:pPr>
    </w:p>
    <w:p>
      <w:pPr>
        <w:jc w:val="both"/>
        <w:ind w:left="880" w:right="20" w:hanging="494"/>
        <w:spacing w:after="0" w:line="264"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Mobile Banking (+116.2% YoY) which continues to increase its share due to a new update in the “Sales Engine” functionality, which allows clients to use an app to purchase preferential cash products and card protection insurance. This considerably increased the transaction volume along with the Donate to Puno campaign, which was conducted via the app at the end of the last quarter.</w:t>
      </w:r>
    </w:p>
    <w:p>
      <w:pPr>
        <w:spacing w:after="0" w:line="181"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Agentes BCP (+14.3% YoY) posted a large increase in the transaction volume (2,096,513), which was primarily attributable to the increase in </w:t>
      </w:r>
      <w:r>
        <w:rPr>
          <w:rFonts w:ascii="Arial" w:cs="Arial" w:eastAsia="Arial" w:hAnsi="Arial"/>
          <w:sz w:val="18"/>
          <w:szCs w:val="18"/>
          <w:i w:val="1"/>
          <w:iCs w:val="1"/>
          <w:color w:val="auto"/>
        </w:rPr>
        <w:t xml:space="preserve">Agentes BCP </w:t>
      </w:r>
      <w:r>
        <w:rPr>
          <w:rFonts w:ascii="Arial" w:cs="Arial" w:eastAsia="Arial" w:hAnsi="Arial"/>
          <w:sz w:val="18"/>
          <w:szCs w:val="18"/>
          <w:color w:val="auto"/>
        </w:rPr>
        <w:t>through 2016.</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Points of sale P.O.S (+16.3% YoY), which continued to grow with the total volume of transactions to account for 9.8% and 10% of total transactions in 2Q16 and 2Q17 respectively.</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ATMs (+5.5% YoY), mainly due to the increase in these points of contact as well as in the number of functions they offer such as deposits, balance inquiries and other types of non-monetary transactions.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the channels that posted a drop in their transaction volume YoY were: Banca por internet VíaBCP (-5.3%) and Tellers (-7.3% YoY), which was in line with migration to cost-efficient channels.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important to note that future growth in banking in the region will be channeled primarily through digital venues. In light of this, Credicorp’s companies continue to increase their strategic positions in these cost-efficient channels.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Peru</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203,058</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192,386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195,415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212,837</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222,743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2"/>
            <w:vMerge w:val="continue"/>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3.25-3.30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3.25-3.30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GDP)</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37,019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43,919</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41,042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37,385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36,885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62,308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62,834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63,151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Estimates by BCP Economic Research as of July, 2017; INEI, BCRP, and SBS.</w:t>
      </w:r>
    </w:p>
    <w:p>
      <w:pPr>
        <w:spacing w:after="0" w:line="23"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Multiple Banking, Current Exchange Rate, 2017 as of June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Economic Activity: </w:t>
      </w:r>
      <w:r>
        <w:rPr>
          <w:rFonts w:ascii="Arial" w:cs="Arial" w:eastAsia="Arial" w:hAnsi="Arial"/>
          <w:sz w:val="17"/>
          <w:szCs w:val="17"/>
          <w:color w:val="auto"/>
        </w:rPr>
        <w:t>despite El Niño and the stagnation in the advance of infrastructure projects, GDP will grow around 2.3% this year. However, domestic</w:t>
      </w:r>
      <w:r>
        <w:rPr>
          <w:rFonts w:ascii="Arial" w:cs="Arial" w:eastAsia="Arial" w:hAnsi="Arial"/>
          <w:sz w:val="17"/>
          <w:szCs w:val="17"/>
          <w:b w:val="1"/>
          <w:bCs w:val="1"/>
          <w:color w:val="auto"/>
        </w:rPr>
        <w:t xml:space="preserve"> </w:t>
      </w:r>
      <w:r>
        <w:rPr>
          <w:rFonts w:ascii="Arial" w:cs="Arial" w:eastAsia="Arial" w:hAnsi="Arial"/>
          <w:sz w:val="17"/>
          <w:szCs w:val="17"/>
          <w:color w:val="auto"/>
        </w:rPr>
        <w:t>demand will expand below 1% for the second consecutive year. In 2018 GDP will grow between 3.0% - 3.5% boosted by public investment.</w:t>
      </w:r>
    </w:p>
    <w:p>
      <w:pPr>
        <w:spacing w:after="0" w:line="13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inflation will remain within the target range (2.0% +/- 1pp.) during 2017 and 2018 amid a weak domestic demand and after the reversion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supply-side shock of El Niño on food prices.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after cutting its monetary policy rate in 50bps so far this year, the President of the Central Bank pointed out that the institution could</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one or two additional rate cuts.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we expect the exchange rate to stand between US$PEN 3.25-3.30 for 2017 and 2018 due to the strong trade surplus (around 2.5% of GDP).</w:t>
      </w:r>
      <w:r>
        <w:rPr>
          <w:rFonts w:ascii="Arial" w:cs="Arial" w:eastAsia="Arial" w:hAnsi="Arial"/>
          <w:sz w:val="18"/>
          <w:szCs w:val="18"/>
          <w:b w:val="1"/>
          <w:bCs w:val="1"/>
          <w:color w:val="auto"/>
        </w:rPr>
        <w:t xml:space="preserve"> </w:t>
      </w:r>
      <w:r>
        <w:rPr>
          <w:rFonts w:ascii="Arial" w:cs="Arial" w:eastAsia="Arial" w:hAnsi="Arial"/>
          <w:sz w:val="18"/>
          <w:szCs w:val="18"/>
          <w:color w:val="auto"/>
        </w:rPr>
        <w:t>Nonetheless, the reduction of the FED balance sheet and the high holdings from non residents of sovereign bonds (43%, maximum of 37 months) could generate volatility in the exchange market.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Main Economic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154305</wp:posOffset>
            </wp:positionV>
            <wp:extent cx="3644900" cy="1672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4490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Source: Central Bank of Peru</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1Q17 GDP grew 2.1% YoY (the lowest print in 8 quarters), while domestic demand contracted 1.1% YoY (the first negative print since 2009). Private investment fell 5.6% YoY (4Q16: -5.0%) and added up 13 consecutive quarters of contraction. In contrast, exports of goods and services expanded 12.8% YoY, and had a positive impact of 3.3 percentage points towards GDP growth.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estimates suggest GDP expanded around 2.2% YoY in 2Q17 due to the expansion of fishing and primary resources manufacturing sectors (both sectors explained around two-thirds of GDP growth in 2Q17). In contrast, non-primary sectors would have registered a mild expansion around 1% YoY (1Q17: 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154305</wp:posOffset>
            </wp:positionV>
            <wp:extent cx="3833495" cy="16205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3349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Source: BCRP, INEI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2Q17, annual inflation closed at 2.7% YoY, within the target range of the Central Bank (2.0% +/- 1pp.) for the first time in 10 months. The slowdown of inflation compared to 1Q17 (4.0%) is explained by the correction in food prices after the increases observed due to El Niño Phenomenon. In parallel, core inflation closed 2Q17 at 2.4%, the lowest print in 4 years.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such scenario, in May of 2017 the Central Bank lowered its monetary policy rate from 4.25% to 4.00% amid subdued domestic demand and the convergence of inflation towards the target range. In July of 2017, the Central Bank made another cut to its monetary policy rate to 3.75%.</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154940</wp:posOffset>
            </wp:positionV>
            <wp:extent cx="3155950" cy="17151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5595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Source: BCRP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12-months-rolled fiscal deficit closed 2Q17 at 2.9% of GDP, close to the ceiling proposed by the government for this year (3.0% of GDP). Current revenues of the government fell, in real terms, 4.4% YoY in 2Q17 and 2.0% YoY in 1H17. Regarding spending, public investment of the general government declined 7.6% YoY in 2Q17 and 10% YoY in real terms in the first semester of the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January and May of 2017, the Trade Balance registered a surplus of US$ 1,573 million, a considerable improvement compared to the deficit of US$ 485 between January and May of 2016. This is explained by the increase in copper exports (+38% YoY). It should be remarked that the average spot price of copper in the first semester of the year is almost 25% higher than the same period last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154940</wp:posOffset>
            </wp:positionV>
            <wp:extent cx="3241675" cy="1783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4167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Source: Bloomberg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Exchange Rate closed 2Q17 at US$PEN 3.253, by which PEN depreciated only 0.1% compared to 1Q17. However, it remains with gains of 3.1% compared to the closing print of 2017 (3.356). With the exception of the Mexican Peso, all of the currencies in the region registered losses during 2Q17 (US$ARS: 8.1%, US$BRL: 6.0%, US$COP: 6.0%, US$CLP: 0.6%).</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Jul-17 the exchange rate has remained between US$PEN 3.24-3.25. As of July 24</w:t>
      </w:r>
      <w:r>
        <w:rPr>
          <w:rFonts w:ascii="Arial" w:cs="Arial" w:eastAsia="Arial" w:hAnsi="Arial"/>
          <w:sz w:val="30"/>
          <w:szCs w:val="30"/>
          <w:color w:val="auto"/>
          <w:vertAlign w:val="superscript"/>
        </w:rPr>
        <w:t>th</w:t>
      </w:r>
      <w:r>
        <w:rPr>
          <w:rFonts w:ascii="Arial" w:cs="Arial" w:eastAsia="Arial" w:hAnsi="Arial"/>
          <w:sz w:val="18"/>
          <w:szCs w:val="18"/>
          <w:color w:val="auto"/>
        </w:rPr>
        <w:t>, the Central Bank has made purchases during the month of US$ 558 million, and adds up purchases for US$ 2,115 million so far this year.</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tabs>
          <w:tab w:leader="none" w:pos="4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Government starts its second year of term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On July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President Pedro Pablo Kuczynski gave his national message after his first year in office. Some of the main highlights were:</w:t>
      </w:r>
    </w:p>
    <w:p>
      <w:pPr>
        <w:spacing w:after="0" w:line="124" w:lineRule="exact"/>
        <w:rPr>
          <w:sz w:val="20"/>
          <w:szCs w:val="20"/>
          <w:color w:val="auto"/>
        </w:rPr>
      </w:pPr>
    </w:p>
    <w:p>
      <w:pPr>
        <w:ind w:left="880" w:hanging="49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Five bills sent to Congress regarding:</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Easing of the process to attain land for prioritized infrastructure projects;</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Promotion of projects for water sanitation through Public-Private Partnerships;</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Creation of the Urban Transport Authority for Lima and Callao;</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Reforming the constitution and requisites for members of the National Council of Magistrates; and</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Strengthening the labor inspection system through the National Agency of Labor Inspection (SUNAFIL, by its Spanish initials).</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extension and revision of social programs to help the population affected by El Nino phenomenon. This includes an extraordinary monetary transfer of S/ 200 to more than 358,000 families and 250,000 elderly population.</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increase in the budget of Education and Health Ministries in 2018.</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social housing program in favor of low-income families, which would help over 30,000 households this year, and aims to provide proper housing to more than 250,000 families by the end of term.</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ongoing execution of over S/ 25 billion in public infrastructure projects in the context of Reconstruction with Changes, a massive program of water and sanitation, cutting the red tape in emblematic projects, and the Pan American Games.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Government estimates GDP growth rates above 4% in the upcoming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the Prime Minister and head of the Ministry of Finance (MoF), Fernando Zavala, commented that fiscal revenues should start to recover and reach 21% of GDP by 2021. It is important to note that Fiscal revenues as a percentage of GDP went from 22.4% in June of 2012 to 18.1% in June of 2017. Regarding the expected increase of public investment, the head of the MoF noted that the fiscal stimulus should start to pick up in August and towards the end of this year. Moreover, he said that major focus will be given to Productivity Tables (</w:t>
      </w:r>
      <w:r>
        <w:rPr>
          <w:rFonts w:ascii="Arial" w:cs="Arial" w:eastAsia="Arial" w:hAnsi="Arial"/>
          <w:sz w:val="17"/>
          <w:szCs w:val="17"/>
          <w:i w:val="1"/>
          <w:iCs w:val="1"/>
          <w:color w:val="auto"/>
        </w:rPr>
        <w:t>“mesas de productividad”</w:t>
      </w:r>
      <w:r>
        <w:rPr>
          <w:rFonts w:ascii="Arial" w:cs="Arial" w:eastAsia="Arial" w:hAnsi="Arial"/>
          <w:sz w:val="17"/>
          <w:szCs w:val="17"/>
          <w:color w:val="auto"/>
        </w:rPr>
        <w:t>), particularly in Forestry and Livestock production. Finally, the Prime Minister highlighted its purpose of re-launch the National Competitiveness Council.</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right"/>
        <w:ind w:right="10120" w:firstLine="8"/>
        <w:spacing w:after="0" w:line="530" w:lineRule="auto"/>
        <w:tabs>
          <w:tab w:leader="none" w:pos="50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Appendix 11.1  Credicorp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2Q16</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1Q17</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2Q17</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3,751,246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3,982,709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4,471,422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27,831,888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25,099,672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25,588,969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31,583,134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29,082,381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30,060,391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3,383,545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5,248,004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4,686,995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91,655,366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92,414,588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93,670,216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89,043,417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89,646,784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90,921,169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Past due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2,611,949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2,767,804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2,749,047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Less - net provisions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(3,994,390)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(4,205,005)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(4,323,480)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87,660,976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88,209,583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89,346,736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18,188,377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21,031,475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22,016,939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4,288,379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5,036,349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5,086,185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470,148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690,947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561,630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629,440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604,040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1,761,123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1,665,222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1,672,321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264,235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495,936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478,117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630,584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679,744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671,064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7,404,603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7,088,300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7,134,327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156,196,734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159,714,934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162,448,062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23,194,081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22,836,306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24,051,059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64,733,524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67,044,576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67,988,073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b w:val="1"/>
                <w:bCs w:val="1"/>
                <w:color w:val="auto"/>
              </w:rPr>
              <w:t>Total deposits and obligations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87,927,605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89,880,882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92,039,132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11,305,771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9,979,835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8,989,728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8,931,350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7,639,760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8,157,166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15,255,588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15,410,094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15,295,673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495,936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478,117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925,495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1,021,623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1,159,300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5,591,173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5,900,319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5,990,833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404,316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383,457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377,100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7,343,841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8,874,547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8,707,856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137,949,374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139,586,453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141,194,905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17,656,273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19,699,940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20,802,017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Treasury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(209,228)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(210,563)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(208,952)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282,985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Reserves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13,507,601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15,889,763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15,865,972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978,575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1,400,609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1,568,865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1,777,347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1,071,799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1,985,578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Minority Interest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591,087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428,541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451,140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18,247,360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20,128,481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21,253,157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156,196,734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159,714,934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162,448,062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Contingent credits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63,364,922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61,554,544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61,671,010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17,079,143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17,569,654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17,590,872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unutilized credit lines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24,388,280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24,573,607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24,296,044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derivates (notional) and others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21,897,499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19,411,283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19,784,094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JV between Grupo Pacifico and Banmedica.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Mainly includes receivables, goodwill, tax credit, and others.</w:t>
      </w:r>
    </w:p>
    <w:p>
      <w:pPr>
        <w:sectPr>
          <w:pgSz w:w="11900" w:h="16838" w:orient="portrait"/>
          <w:cols w:equalWidth="0" w:num="1">
            <w:col w:w="11420"/>
          </w:cols>
          <w:pgMar w:left="240" w:top="904" w:right="239" w:bottom="0" w:gutter="0" w:footer="0" w:header="0"/>
        </w:sectPr>
      </w:pPr>
    </w:p>
    <w:bookmarkStart w:id="52" w:name="page53"/>
    <w:bookmarkEnd w:id="52"/>
    <w:p>
      <w:pPr>
        <w:ind w:left="100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2Q16</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1Q17</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2Q17</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YoY</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16</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17</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Jun 17 / Jun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2,611,712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2,739,779</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2,715,901</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5,246,047</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5,455,680</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(708,002)</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(723,692)</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(743,196)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(1,403,944)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(1,466,888)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1,903,710</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2,016,087</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1,972,705</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3,842,103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3,988,792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(483,911)</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(536,494)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(433,219)</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-19.2%</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(937,148)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(969,713)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693,185</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678,047</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717,190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1,363,943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1,395,237</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 (1)</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165,398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166,486</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160,256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330,166</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326,742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176,623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57,821</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83,151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182,076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140,972</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891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6,023</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5,974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570.5%</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4,428</w:t>
            </w: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11,997</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Net gain on derivatives </w:t>
            </w:r>
            <w:r>
              <w:rPr>
                <w:rFonts w:ascii="Arial" w:cs="Arial" w:eastAsia="Arial" w:hAnsi="Arial"/>
                <w:sz w:val="21"/>
                <w:szCs w:val="21"/>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54,341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15,313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8,807</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69,654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(8,794)</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9,070</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2,305</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-74.6%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-126.2%</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(45,544)</w:t>
            </w: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11,375</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 financial income, net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37,436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68,745</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69,771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86.4%</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99,921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138,516</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1,065,248</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1,040,533</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1,053,960</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1,943,797</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2,094,493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453,647</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465,304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466,375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906,884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931,679</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Net claims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(265,815)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(280,964)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(278,265)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(529,738)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(559,229)</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(53,066)</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(62,061)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(61,665)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(113,241)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(123,726)</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134,766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122,279</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126,445</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263,905</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248,724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(735,414)</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(753,266)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(746,499)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(1,471,384)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(1,499,765)</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(513,652)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(488,466)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(541,054)</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(967,338)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(1,029,520)</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(113,910)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(115,887)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(113,958)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(225,680)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(229,845)</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(47,463)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(49,492)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(51,676)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(94,496)</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(101,168)</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(1,410,439)</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(1,407,111)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(1,453,187)</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3.3%</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(2,758,898)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(2,860,298)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1,209,374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1,235,294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1,266,704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2,353,759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2,501,998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(311,932)</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(325,668)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(324,771)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(636,736)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(650,439)</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897,442</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909,626</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941,933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1,717,023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1,851,559</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23,250</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20,051</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21,713</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47,200</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41,764</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874,192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889,575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920,220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1,669,823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1,809,795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58"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1Q17, “Net gains on derivatives” is reported as non-financial income. Before 1Q17 this account was included in net interest income.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17</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29,595,262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27,480,029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27,623,675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26,232,023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24,236,044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24,920,828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3,362,115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3,030,994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2,542,490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156,591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2,991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3,766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1,761,542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3,326,738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2,675,444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84,121,534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84,745,416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85,103,689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81,608,387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82,084,000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82,464,098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2,513,147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2,661,416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2,639,591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(3,793,544)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(3,999,842)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(4,116,234)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80,327,990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80,745,574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80,987,455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7,042,344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9,170,661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10,003,821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3,977,471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4,730,549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4,779,835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1,595,504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1,501,404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1,470,418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264,235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495,936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478,116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3,865,263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3,350,523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3,551,154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128,429,611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130,801,414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131,569,918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76,398,336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78,341,176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80,169,363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24,703,667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23,923,436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24,761,053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23,338,183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24,929,341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24,467,895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21,205,896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22,800,621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23,721,680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6,997,706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6,537,982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7,039,767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178,968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11,305,771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9,979,835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8,989,728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10,000,688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8,111,636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8,512,365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13,656,079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14,195,725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14,244,088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264,235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495,936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478,117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4,420,280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6,451,236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5,210,634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116,045,389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117,575,544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117,604,295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12,242,857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13,090,791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13,825,373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7,639,962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7,639,962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3,666,622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3,666,632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63,094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56,746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1,007,086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1,007,086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1,410,121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714,027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1,454,947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141,365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135,079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140,250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12,384,222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13,225,870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13,965,623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128,429,611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130,801,414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131,569,918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Off-balance sheet</w:t>
            </w:r>
          </w:p>
        </w:tc>
        <w:tc>
          <w:tcPr>
            <w:tcW w:w="1020" w:type="dxa"/>
            <w:vAlign w:val="bottom"/>
          </w:tcPr>
          <w:p>
            <w:pPr>
              <w:jc w:val="right"/>
              <w:spacing w:after="0"/>
              <w:rPr>
                <w:sz w:val="20"/>
                <w:szCs w:val="20"/>
                <w:color w:val="auto"/>
              </w:rPr>
            </w:pPr>
            <w:r>
              <w:rPr>
                <w:rFonts w:ascii="Arial" w:cs="Arial" w:eastAsia="Arial" w:hAnsi="Arial"/>
                <w:sz w:val="18"/>
                <w:szCs w:val="18"/>
                <w:color w:val="auto"/>
              </w:rPr>
              <w:t>52,935,640</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49,631,792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49,765,645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45"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xml:space="preserve">2Q16 </w:t>
            </w:r>
            <w:r>
              <w:rPr>
                <w:rFonts w:ascii="Arial" w:cs="Arial" w:eastAsia="Arial" w:hAnsi="Arial"/>
                <w:sz w:val="23"/>
                <w:szCs w:val="23"/>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1Q17</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2Q17</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 16</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17</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17 / Jun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2,337,772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2,417,399</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2,416,342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4,656,729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4,833,741</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(641,188)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(656,438)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(672,773)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(1,269,972)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(1,329,211)</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1,696,584</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1,760,961</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1,743,569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3,386,757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3,504,530</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(463,175)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(521,728)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(418,322)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-19.8%</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(900,510)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(940,050)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543,282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564,311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571,909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1,081,584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1,136,220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on foreign exchange transactions </w:t>
            </w:r>
            <w:r>
              <w:rPr>
                <w:rFonts w:ascii="Arial" w:cs="Arial" w:eastAsia="Arial" w:hAnsi="Arial"/>
                <w:sz w:val="21"/>
                <w:szCs w:val="21"/>
                <w:color w:val="auto"/>
                <w:vertAlign w:val="superscript"/>
              </w:rPr>
              <w:t>(2)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159,119</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154,886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149,556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317,428</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304,442</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7,906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11,645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31,097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42,742</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on derivatives </w:t>
            </w:r>
            <w:r>
              <w:rPr>
                <w:rFonts w:ascii="Arial" w:cs="Arial" w:eastAsia="Arial" w:hAnsi="Arial"/>
                <w:sz w:val="21"/>
                <w:szCs w:val="21"/>
                <w:color w:val="auto"/>
                <w:vertAlign w:val="superscript"/>
              </w:rPr>
              <w:t>(3)</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(4,780)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55,724</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15,946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-71.4%</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-433.6%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14,142</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71,670</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406.8%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3,732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-52.8%</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-398.8%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(31,319)</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11,640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10,937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35,477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51,304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39,750</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86,781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715,215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829,951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823,544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1,432,752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1,653,495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(570,346)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(575,903)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(574,284)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(1,140,119)</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(1,150,187)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(409,287)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(389,731)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(436,785)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(767,390)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(826,516)</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(87,593)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(86,978)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(88,927)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(172,988)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(175,905)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(32,118)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(33,641)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(39,658)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(53,065)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(73,299)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(1,099,344)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(1,086,253)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(1,139,654)</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4.9%</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(2,133,562)</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(2,225,907)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849,280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982,931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1,009,137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1,785,437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1,992,068</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(242,171)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(265,272)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(263,243)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(492,335)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(528,515)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(3,632)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(7,563)</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(8,606)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604,439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714,027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740,920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1,285,539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1,454,947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Net income discontinuing operations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103,751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124,581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708,190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714,027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740,920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1,410,120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1,454,947</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presented on this report.</w:t>
      </w:r>
    </w:p>
    <w:p>
      <w:pPr>
        <w:spacing w:after="0" w:line="23"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1Q17, “Net gain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2Q16</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1Q17</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2Q17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18"/>
                <w:szCs w:val="18"/>
                <w:color w:val="auto"/>
              </w:rPr>
              <w:t xml:space="preserve">EPS </w:t>
            </w:r>
            <w:r>
              <w:rPr>
                <w:rFonts w:ascii="Arial" w:cs="Arial" w:eastAsia="Arial" w:hAnsi="Arial"/>
                <w:sz w:val="29"/>
                <w:szCs w:val="29"/>
                <w:color w:val="auto"/>
                <w:vertAlign w:val="superscript"/>
              </w:rPr>
              <w:t>(1)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0.089</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0.090</w:t>
            </w:r>
          </w:p>
        </w:tc>
        <w:tc>
          <w:tcPr>
            <w:tcW w:w="1480" w:type="dxa"/>
            <w:vAlign w:val="bottom"/>
          </w:tcPr>
          <w:p>
            <w:pPr>
              <w:jc w:val="right"/>
              <w:spacing w:after="0"/>
              <w:rPr>
                <w:sz w:val="20"/>
                <w:szCs w:val="20"/>
                <w:color w:val="auto"/>
              </w:rPr>
            </w:pPr>
            <w:r>
              <w:rPr>
                <w:rFonts w:ascii="Arial" w:cs="Arial" w:eastAsia="Arial" w:hAnsi="Arial"/>
                <w:sz w:val="18"/>
                <w:szCs w:val="18"/>
                <w:color w:val="auto"/>
              </w:rPr>
              <w:t>0.093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7,933.34</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7,933.34</w:t>
            </w:r>
          </w:p>
        </w:tc>
        <w:tc>
          <w:tcPr>
            <w:tcW w:w="1480" w:type="dxa"/>
            <w:vAlign w:val="bottom"/>
          </w:tcPr>
          <w:p>
            <w:pPr>
              <w:jc w:val="right"/>
              <w:spacing w:after="0"/>
              <w:rPr>
                <w:sz w:val="20"/>
                <w:szCs w:val="20"/>
                <w:color w:val="auto"/>
              </w:rPr>
            </w:pPr>
            <w:r>
              <w:rPr>
                <w:rFonts w:ascii="Arial" w:cs="Arial" w:eastAsia="Arial" w:hAnsi="Arial"/>
                <w:sz w:val="18"/>
                <w:szCs w:val="18"/>
                <w:color w:val="auto"/>
              </w:rPr>
              <w:t>7,933.34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NPL ratio</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Coverage of NPLs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as a percentage of total loans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16,792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Tier 1 capital (S/ Million)</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10,794</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11,806</w:t>
            </w:r>
          </w:p>
        </w:tc>
        <w:tc>
          <w:tcPr>
            <w:tcW w:w="1480" w:type="dxa"/>
            <w:vAlign w:val="bottom"/>
          </w:tcPr>
          <w:p>
            <w:pPr>
              <w:jc w:val="right"/>
              <w:spacing w:after="0"/>
              <w:rPr>
                <w:sz w:val="20"/>
                <w:szCs w:val="20"/>
                <w:color w:val="auto"/>
              </w:rPr>
            </w:pPr>
            <w:r>
              <w:rPr>
                <w:rFonts w:ascii="Arial" w:cs="Arial" w:eastAsia="Arial" w:hAnsi="Arial"/>
                <w:sz w:val="18"/>
                <w:szCs w:val="18"/>
                <w:color w:val="auto"/>
              </w:rPr>
              <w:t>11,807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BIS ratio</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15.76%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outstanding of 7,933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820" w:firstLine="8"/>
        <w:spacing w:after="0" w:line="265" w:lineRule="auto"/>
        <w:tabs>
          <w:tab w:leader="none" w:pos="2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personnel expenses, administrative expenses and depreciation and amortization.</w:t>
      </w: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11.3</w:t>
            </w:r>
          </w:p>
        </w:tc>
        <w:tc>
          <w:tcPr>
            <w:tcW w:w="330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jc w:val="center"/>
              <w:ind w:left="67"/>
              <w:spacing w:after="0"/>
              <w:rPr>
                <w:sz w:val="20"/>
                <w:szCs w:val="20"/>
                <w:color w:val="auto"/>
              </w:rPr>
            </w:pPr>
            <w:r>
              <w:rPr>
                <w:rFonts w:ascii="Arial" w:cs="Arial" w:eastAsia="Arial" w:hAnsi="Arial"/>
                <w:sz w:val="18"/>
                <w:szCs w:val="18"/>
                <w:b w:val="1"/>
                <w:bCs w:val="1"/>
                <w:color w:val="auto"/>
              </w:rPr>
              <w:t>MIBANCO *</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left="67"/>
              <w:spacing w:after="0"/>
              <w:rPr>
                <w:sz w:val="20"/>
                <w:szCs w:val="20"/>
                <w:color w:val="auto"/>
              </w:rPr>
            </w:pPr>
            <w:r>
              <w:rPr>
                <w:rFonts w:ascii="Arial" w:cs="Arial" w:eastAsia="Arial" w:hAnsi="Arial"/>
                <w:sz w:val="18"/>
                <w:szCs w:val="18"/>
                <w:b w:val="1"/>
                <w:bCs w:val="1"/>
                <w:color w:val="auto"/>
                <w:w w:val="92"/>
              </w:rPr>
              <w:t>(In S/ thousands, IFRS )</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16</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 17</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17</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YoY</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16</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17</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17 / Jun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300" w:type="dxa"/>
            <w:vAlign w:val="bottom"/>
            <w:tcBorders>
              <w:top w:val="single" w:sz="8" w:color="CCEEFF"/>
            </w:tcBorders>
            <w:shd w:val="clear" w:color="auto" w:fill="CCEEFF"/>
          </w:tcPr>
          <w:p>
            <w:pPr>
              <w:jc w:val="center"/>
              <w:ind w:right="366"/>
              <w:spacing w:after="0" w:line="142" w:lineRule="exact"/>
              <w:rPr>
                <w:sz w:val="20"/>
                <w:szCs w:val="20"/>
                <w:color w:val="auto"/>
              </w:rPr>
            </w:pPr>
            <w:r>
              <w:rPr>
                <w:rFonts w:ascii="Arial" w:cs="Arial" w:eastAsia="Arial" w:hAnsi="Arial"/>
                <w:sz w:val="14"/>
                <w:szCs w:val="14"/>
                <w:b w:val="1"/>
                <w:bCs w:val="1"/>
                <w:color w:val="auto"/>
                <w:w w:val="96"/>
              </w:rPr>
              <w:t>ASSETS</w:t>
            </w: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left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962,874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1,085,615</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969,097</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962,874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969,097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1,671,097</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1,916,823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1,780,779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1,671,097</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1,780,779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 loans</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8,244,004</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8,820,974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8,963,786</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8,244,004</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8,963,786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7,771,118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8,313,391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8,439,846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7,771,118</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8,439,846</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Past-due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385,018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404,684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408,552</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385,018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408,552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Refinanced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87,868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102,899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115,387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87,868</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115,387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Allowance for loan losses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(725,431)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(790,911)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(816,489)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(725,431)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(816,489)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loans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7,518,573</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8,030,063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8,147,296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7,518,573</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8,147,296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230,721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215,247</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211,811</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230,721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211,811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571,578</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457,412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518,945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571,578</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518,945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jc w:val="center"/>
              <w:ind w:right="366"/>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10,954,843</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11,705,161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11,627,928</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6.1%</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10,954,843</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11,627,928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jc w:val="center"/>
              <w:ind w:right="46"/>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5,933,981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6,829,817</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7,029,403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5,933,981</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7,029,403</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1,989,301</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1,859,034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1,724,059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1,989,301</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1,724,059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842,164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669,858</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646,525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842,164</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646,525</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807,363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980,548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769,344</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807,363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769,344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jc w:val="center"/>
              <w:ind w:right="346"/>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9,572,809</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10,339,257</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10,169,331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9,572,809</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10,169,331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1,382,034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1,365,904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1,458,597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1,382,034</w:t>
            </w:r>
          </w:p>
        </w:tc>
        <w:tc>
          <w:tcPr>
            <w:tcW w:w="240" w:type="dxa"/>
            <w:vAlign w:val="bottom"/>
            <w:shd w:val="clear" w:color="auto" w:fill="CCEEFF"/>
          </w:tcPr>
          <w:p>
            <w:pPr>
              <w:spacing w:after="0"/>
              <w:rPr>
                <w:sz w:val="12"/>
                <w:szCs w:val="12"/>
                <w:color w:val="auto"/>
              </w:rPr>
            </w:pP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1,458,597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00" w:type="dxa"/>
            <w:vAlign w:val="bottom"/>
            <w:shd w:val="clear" w:color="auto" w:fill="CCEEFF"/>
          </w:tcPr>
          <w:p>
            <w:pPr>
              <w:jc w:val="center"/>
              <w:ind w:right="346"/>
              <w:spacing w:after="0"/>
              <w:rPr>
                <w:sz w:val="20"/>
                <w:szCs w:val="20"/>
                <w:color w:val="auto"/>
              </w:rPr>
            </w:pPr>
            <w:r>
              <w:rPr>
                <w:rFonts w:ascii="Arial" w:cs="Arial" w:eastAsia="Arial" w:hAnsi="Arial"/>
                <w:sz w:val="14"/>
                <w:szCs w:val="14"/>
                <w:b w:val="1"/>
                <w:bCs w:val="1"/>
                <w:color w:val="auto"/>
                <w:w w:val="92"/>
              </w:rPr>
              <w:t>Total liabilities and net shareholders'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10,954,843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11,705,161</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11,627,928</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10,954,843</w:t>
            </w:r>
          </w:p>
        </w:tc>
        <w:tc>
          <w:tcPr>
            <w:tcW w:w="240" w:type="dxa"/>
            <w:vAlign w:val="bottom"/>
            <w:shd w:val="clear" w:color="auto" w:fill="CCEEFF"/>
          </w:tcPr>
          <w:p>
            <w:pPr>
              <w:spacing w:after="0"/>
              <w:rPr>
                <w:sz w:val="14"/>
                <w:szCs w:val="14"/>
                <w:color w:val="auto"/>
              </w:rPr>
            </w:pPr>
          </w:p>
        </w:tc>
        <w:tc>
          <w:tcPr>
            <w:tcW w:w="9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11,627,928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Net financial income</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394,179</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440,138</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438,853</w:t>
            </w:r>
          </w:p>
        </w:tc>
        <w:tc>
          <w:tcPr>
            <w:tcW w:w="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-0.3%</w:t>
            </w: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11.3%</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779,781</w:t>
            </w:r>
          </w:p>
        </w:tc>
        <w:tc>
          <w:tcPr>
            <w:tcW w:w="24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878,990</w:t>
            </w:r>
          </w:p>
        </w:tc>
        <w:tc>
          <w:tcPr>
            <w:tcW w:w="240" w:type="dxa"/>
            <w:vAlign w:val="bottom"/>
            <w:vMerge w:val="continue"/>
          </w:tcPr>
          <w:p>
            <w:pPr>
              <w:spacing w:after="0"/>
              <w:rPr>
                <w:sz w:val="12"/>
                <w:szCs w:val="12"/>
                <w:color w:val="auto"/>
              </w:rPr>
            </w:pP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(69,489)</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(111,204)</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(98,700)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(133,654)</w:t>
            </w:r>
          </w:p>
        </w:tc>
        <w:tc>
          <w:tcPr>
            <w:tcW w:w="980" w:type="dxa"/>
            <w:vAlign w:val="bottom"/>
            <w:tcBorders>
              <w:lef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(209,904)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8,321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20,055</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30,067</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16,399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50,122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(242,285)</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(255,463)</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(251,843)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(474,163)</w:t>
            </w:r>
          </w:p>
        </w:tc>
        <w:tc>
          <w:tcPr>
            <w:tcW w:w="980" w:type="dxa"/>
            <w:vAlign w:val="bottom"/>
            <w:tcBorders>
              <w:lef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(507,306)</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90,725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93,526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118,376</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188,364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211,902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(21,268)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(25,111)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(28,790)</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(43,999)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(53,901)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69,457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68,415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89,585</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144,365</w:t>
            </w:r>
          </w:p>
        </w:tc>
        <w:tc>
          <w:tcPr>
            <w:tcW w:w="9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158,000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-1140</w:t>
            </w: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20" w:type="dxa"/>
            <w:vAlign w:val="bottom"/>
            <w:gridSpan w:val="3"/>
          </w:tcPr>
          <w:p>
            <w:pPr>
              <w:spacing w:after="0"/>
              <w:rPr>
                <w:sz w:val="20"/>
                <w:szCs w:val="20"/>
                <w:color w:val="auto"/>
              </w:rPr>
            </w:pPr>
            <w:r>
              <w:rPr>
                <w:rFonts w:ascii="Arial" w:cs="Arial" w:eastAsia="Arial" w:hAnsi="Arial"/>
                <w:sz w:val="14"/>
                <w:szCs w:val="14"/>
                <w:color w:val="auto"/>
              </w:rPr>
              <w:t>L/D ratio</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138.9%</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129.2%</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-170 bps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bps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138.9%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127.5%</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-1140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98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188.4%</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195.4%</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440 bps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188.4%</w:t>
            </w:r>
          </w:p>
        </w:tc>
        <w:tc>
          <w:tcPr>
            <w:tcW w:w="98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199.8%</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153.4%</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155.8%</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153.4%</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155.8%</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680 bps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98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ROAE incl. goodwill</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610 bps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58.6%</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55.5%</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 bps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58.6%</w:t>
            </w:r>
          </w:p>
        </w:tc>
        <w:tc>
          <w:tcPr>
            <w:tcW w:w="980" w:type="dxa"/>
            <w:vAlign w:val="bottom"/>
            <w:tcBorders>
              <w:lef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317</w:t>
            </w:r>
          </w:p>
        </w:tc>
        <w:tc>
          <w:tcPr>
            <w:tcW w:w="2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318</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0.6%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0.9%</w:t>
            </w:r>
          </w:p>
        </w:tc>
        <w:tc>
          <w:tcPr>
            <w:tcW w:w="760" w:type="dxa"/>
            <w:vAlign w:val="bottom"/>
          </w:tcPr>
          <w:p>
            <w:pPr>
              <w:jc w:val="right"/>
              <w:spacing w:after="0"/>
              <w:rPr>
                <w:sz w:val="20"/>
                <w:szCs w:val="20"/>
                <w:color w:val="auto"/>
              </w:rPr>
            </w:pPr>
            <w:r>
              <w:rPr>
                <w:rFonts w:ascii="Arial" w:cs="Arial" w:eastAsia="Arial" w:hAnsi="Arial"/>
                <w:sz w:val="14"/>
                <w:szCs w:val="14"/>
                <w:color w:val="auto"/>
              </w:rPr>
              <w:t>317</w:t>
            </w: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320</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10,490</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10,386</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10,295</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10,490</w:t>
            </w:r>
          </w:p>
        </w:tc>
        <w:tc>
          <w:tcPr>
            <w:tcW w:w="9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10,295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258" w:lineRule="auto"/>
        <w:tabs>
          <w:tab w:leader="none" w:pos="1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Figures differ from previously reported since 1Q17, Net gain on Derivatives is excluded from Net Interest Income (NII) and translation result is reported as Non-financial income. Data for 2Q16 has been adjusted to allow comparisons.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Banco de la Nacion branches, which in 2Q16 were 38, for 1Q17 and 2Q17 were 40.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11.4</w:t>
            </w:r>
          </w:p>
        </w:tc>
        <w:tc>
          <w:tcPr>
            <w:tcW w:w="3320" w:type="dxa"/>
            <w:vAlign w:val="bottom"/>
          </w:tcPr>
          <w:p>
            <w:pPr>
              <w:spacing w:after="0"/>
              <w:rPr>
                <w:sz w:val="20"/>
                <w:szCs w:val="20"/>
                <w:color w:val="auto"/>
              </w:rPr>
            </w:pPr>
            <w:r>
              <w:rPr>
                <w:rFonts w:ascii="Arial" w:cs="Arial" w:eastAsia="Arial" w:hAnsi="Arial"/>
                <w:sz w:val="18"/>
                <w:szCs w:val="18"/>
                <w:b w:val="1"/>
                <w:bCs w:val="1"/>
                <w:color w:val="auto"/>
              </w:rPr>
              <w:t>BCP Bolivia</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BCP BOLIVIA</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2"/>
              </w:rPr>
              <w:t>(In S/ thousands, IFRS)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As of</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 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 17</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 17</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180" w:type="dxa"/>
            <w:vAlign w:val="bottom"/>
          </w:tcPr>
          <w:p>
            <w:pPr>
              <w:spacing w:after="0"/>
              <w:rPr>
                <w:sz w:val="14"/>
                <w:szCs w:val="14"/>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5"/>
              </w:rPr>
              <w:t>YoY</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 16</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 17</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Jun 17 / Jun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CCEEFF"/>
              <w:right w:val="single" w:sz="8" w:color="CCEEFF"/>
            </w:tcBorders>
            <w:shd w:val="clear" w:color="auto" w:fill="CCEEFF"/>
          </w:tcPr>
          <w:p>
            <w:pPr>
              <w:jc w:val="center"/>
              <w:ind w:right="684"/>
              <w:spacing w:after="0" w:line="142" w:lineRule="exact"/>
              <w:rPr>
                <w:sz w:val="20"/>
                <w:szCs w:val="20"/>
                <w:color w:val="auto"/>
              </w:rPr>
            </w:pPr>
            <w:r>
              <w:rPr>
                <w:rFonts w:ascii="Arial" w:cs="Arial" w:eastAsia="Arial" w:hAnsi="Arial"/>
                <w:sz w:val="14"/>
                <w:szCs w:val="14"/>
                <w:b w:val="1"/>
                <w:bCs w:val="1"/>
                <w:color w:val="auto"/>
                <w:w w:val="92"/>
              </w:rPr>
              <w:t>ASSETS</w:t>
            </w: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1,102,200</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1,017,399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1,730,317</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70.1%</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57.0%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1,102,200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1,730,317</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1,060,803</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1,231,499</w:t>
            </w:r>
          </w:p>
        </w:tc>
        <w:tc>
          <w:tcPr>
            <w:tcW w:w="9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1,113,964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1,060,803</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1,113,964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5,033,204</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5,593,309</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5,856,992</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18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16.4%</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5,033,204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5,856,992</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Current</w:t>
            </w: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4,920,573</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5,465,230</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5,725,735</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4,920,573</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5,725,735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95,207</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102,200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105,500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95,207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105,500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Refinanced</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17,425</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25,879</w:t>
            </w:r>
          </w:p>
        </w:tc>
        <w:tc>
          <w:tcPr>
            <w:tcW w:w="9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25,758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17,425</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25,758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Less - allowance for loan losses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-196,311</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-197,698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-200,084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-196,311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-200,084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Lonas, net</w:t>
            </w: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4,836,894</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5,395,611</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5,656,909</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4.8%</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17.0%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4,836,894</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5,656,909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32,546</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23,042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24,083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-26.0%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32,546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24,083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84,802</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108,500</w:t>
            </w:r>
          </w:p>
        </w:tc>
        <w:tc>
          <w:tcPr>
            <w:tcW w:w="9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84,918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84,802</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84,918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jc w:val="center"/>
              <w:ind w:right="684"/>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7,117,245</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7,776,051</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8,610,191</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10.7%</w:t>
            </w:r>
          </w:p>
        </w:tc>
        <w:tc>
          <w:tcPr>
            <w:tcW w:w="18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21.0%</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7,117,245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8,610,191</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right w:val="single" w:sz="8" w:color="CCEEFF"/>
            </w:tcBorders>
            <w:gridSpan w:val="2"/>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6,245,188</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6,775,870</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7,576,689</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6,245,188</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7,576,689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27,508</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98,194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172,598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75.8%</w:t>
            </w:r>
          </w:p>
        </w:tc>
        <w:tc>
          <w:tcPr>
            <w:tcW w:w="180" w:type="dxa"/>
            <w:vAlign w:val="bottom"/>
          </w:tcPr>
          <w:p>
            <w:pPr>
              <w:spacing w:after="0"/>
              <w:rPr>
                <w:sz w:val="12"/>
                <w:szCs w:val="12"/>
                <w:color w:val="auto"/>
              </w:rPr>
            </w:pPr>
          </w:p>
        </w:tc>
        <w:tc>
          <w:tcPr>
            <w:tcW w:w="7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27,508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172,598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102,890</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100,764</w:t>
            </w:r>
          </w:p>
        </w:tc>
        <w:tc>
          <w:tcPr>
            <w:tcW w:w="9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101,289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102,890</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101,289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162,352</w:t>
            </w: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217,825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150,025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w:t>
            </w:r>
          </w:p>
        </w:tc>
        <w:tc>
          <w:tcPr>
            <w:tcW w:w="18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162,352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150,025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320" w:type="dxa"/>
            <w:vAlign w:val="bottom"/>
            <w:tcBorders>
              <w:right w:val="single" w:sz="8" w:color="CCEEFF"/>
            </w:tcBorders>
            <w:shd w:val="clear" w:color="auto" w:fill="CCEEFF"/>
          </w:tcPr>
          <w:p>
            <w:pPr>
              <w:jc w:val="center"/>
              <w:ind w:right="684"/>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6,537,937</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7,192,653</w:t>
            </w: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8,000,602</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11.2%</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22.4%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6,537,937</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8,000,602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579,308</w:t>
            </w: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583,398</w:t>
            </w:r>
          </w:p>
        </w:tc>
        <w:tc>
          <w:tcPr>
            <w:tcW w:w="9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609,590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579,308</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609,590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Borders>
              <w:right w:val="single" w:sz="8" w:color="CCEEFF"/>
            </w:tcBorders>
            <w:gridSpan w:val="2"/>
            <w:shd w:val="clear" w:color="auto" w:fill="CCEEFF"/>
          </w:tcPr>
          <w:p>
            <w:pPr>
              <w:jc w:val="center"/>
              <w:ind w:right="44"/>
              <w:spacing w:after="0"/>
              <w:rPr>
                <w:sz w:val="20"/>
                <w:szCs w:val="20"/>
                <w:color w:val="auto"/>
              </w:rPr>
            </w:pPr>
            <w:r>
              <w:rPr>
                <w:rFonts w:ascii="Arial" w:cs="Arial" w:eastAsia="Arial" w:hAnsi="Arial"/>
                <w:sz w:val="14"/>
                <w:szCs w:val="14"/>
                <w:b w:val="1"/>
                <w:bCs w:val="1"/>
                <w:color w:val="auto"/>
                <w:w w:val="92"/>
              </w:rPr>
              <w:t>Total liabilities and net shareholders' equity</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7,117,245</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7,776,051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8,610,191</w:t>
            </w: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10.7%</w:t>
            </w:r>
          </w:p>
        </w:tc>
        <w:tc>
          <w:tcPr>
            <w:tcW w:w="18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7,117,245</w:t>
            </w:r>
          </w:p>
        </w:tc>
        <w:tc>
          <w:tcPr>
            <w:tcW w:w="2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8,610,191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1Q17</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16</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17</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Jun 17 / Jun 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72,473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77,255</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79,477</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9.7%</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144,117</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156,732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-17,662</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-13,480</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-13,664</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-32,797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-27,144</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54,811</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63,776</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65,813</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111,320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129,588</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31,337</w:t>
            </w:r>
          </w:p>
        </w:tc>
        <w:tc>
          <w:tcPr>
            <w:tcW w:w="1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25,784</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31,161</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8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63,068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56,946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-55,105</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-59,213</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-59,613</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-111,171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-118,827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111.8%</w:t>
            </w:r>
          </w:p>
        </w:tc>
        <w:tc>
          <w:tcPr>
            <w:tcW w:w="18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-89.7%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-10,209</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-10,748</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-10,681</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-21,570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-21,429</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20,740</w:t>
            </w: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19,594</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26,670</w:t>
            </w: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36.1%</w:t>
            </w:r>
          </w:p>
        </w:tc>
        <w:tc>
          <w:tcPr>
            <w:tcW w:w="1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28.6%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41,569</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46,264</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L/D ratio</w:t>
            </w:r>
          </w:p>
        </w:tc>
        <w:tc>
          <w:tcPr>
            <w:tcW w:w="33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80.6%</w:t>
            </w:r>
          </w:p>
        </w:tc>
        <w:tc>
          <w:tcPr>
            <w:tcW w:w="80" w:type="dxa"/>
            <w:vAlign w:val="bottom"/>
            <w:vMerge w:val="continue"/>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82.5%</w:t>
            </w:r>
          </w:p>
        </w:tc>
        <w:tc>
          <w:tcPr>
            <w:tcW w:w="92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77.3%</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-525 bps</w:t>
            </w:r>
          </w:p>
        </w:tc>
        <w:tc>
          <w:tcPr>
            <w:tcW w:w="2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-329 bps</w:t>
            </w:r>
          </w:p>
        </w:tc>
        <w:tc>
          <w:tcPr>
            <w:tcW w:w="260" w:type="dxa"/>
            <w:vAlign w:val="bottom"/>
            <w:tcBorders>
              <w:right w:val="single" w:sz="8" w:color="CCEEFF"/>
            </w:tcBorders>
            <w:vMerge w:val="continue"/>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Internal overdue ratio</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w:t>
            </w:r>
          </w:p>
        </w:tc>
        <w:tc>
          <w:tcPr>
            <w:tcW w:w="10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1.83%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 bps</w:t>
            </w:r>
          </w:p>
        </w:tc>
        <w:tc>
          <w:tcPr>
            <w:tcW w:w="180" w:type="dxa"/>
            <w:vAlign w:val="bottom"/>
          </w:tcPr>
          <w:p>
            <w:pPr>
              <w:spacing w:after="0"/>
              <w:rPr>
                <w:sz w:val="12"/>
                <w:szCs w:val="12"/>
                <w:color w:val="auto"/>
              </w:rPr>
            </w:pP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 bps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 bps</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Coverage of internal overdue ratio</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206.2%</w:t>
            </w:r>
          </w:p>
        </w:tc>
        <w:tc>
          <w:tcPr>
            <w:tcW w:w="10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193.4%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189.7%</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-379 bps</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-1654 bps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174.3%</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154.4%</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-192 bps</w:t>
            </w:r>
          </w:p>
        </w:tc>
        <w:tc>
          <w:tcPr>
            <w:tcW w:w="940" w:type="dxa"/>
            <w:vAlign w:val="bottom"/>
            <w:tcBorders>
              <w:right w:val="single" w:sz="8" w:color="CCEEFF"/>
            </w:tcBorders>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-2185 bps</w:t>
            </w: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10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57.4%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-302 bps</w:t>
            </w:r>
          </w:p>
        </w:tc>
        <w:tc>
          <w:tcPr>
            <w:tcW w:w="180" w:type="dxa"/>
            <w:vAlign w:val="bottom"/>
          </w:tcPr>
          <w:p>
            <w:pPr>
              <w:spacing w:after="0"/>
              <w:rPr>
                <w:sz w:val="12"/>
                <w:szCs w:val="12"/>
                <w:color w:val="auto"/>
              </w:rPr>
            </w:pP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-41 bps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33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10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486 bps</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338 bps</w:t>
            </w: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3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Agentes</w:t>
            </w:r>
          </w:p>
        </w:tc>
        <w:tc>
          <w:tcPr>
            <w:tcW w:w="33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3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1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261</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89"/>
              </w:rPr>
              <w:t>Employees</w:t>
            </w:r>
          </w:p>
        </w:tc>
        <w:tc>
          <w:tcPr>
            <w:tcW w:w="332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1708</w:t>
            </w:r>
          </w:p>
        </w:tc>
        <w:tc>
          <w:tcPr>
            <w:tcW w:w="12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20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6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w w:val="85"/>
              </w:rPr>
              <w:t>11.5</w:t>
            </w:r>
          </w:p>
        </w:tc>
        <w:tc>
          <w:tcPr>
            <w:tcW w:w="3180" w:type="dxa"/>
            <w:vAlign w:val="bottom"/>
            <w:gridSpan w:val="2"/>
          </w:tcPr>
          <w:p>
            <w:pPr>
              <w:ind w:left="340"/>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040" w:type="dxa"/>
            <w:vAlign w:val="bottom"/>
            <w:gridSpan w:val="3"/>
          </w:tcPr>
          <w:p>
            <w:pPr>
              <w:ind w:left="660"/>
              <w:spacing w:after="0"/>
              <w:rPr>
                <w:sz w:val="20"/>
                <w:szCs w:val="20"/>
                <w:color w:val="auto"/>
              </w:rPr>
            </w:pPr>
            <w:r>
              <w:rPr>
                <w:rFonts w:ascii="Arial" w:cs="Arial" w:eastAsia="Arial" w:hAnsi="Arial"/>
                <w:sz w:val="18"/>
                <w:szCs w:val="18"/>
                <w:b w:val="1"/>
                <w:bCs w:val="1"/>
                <w:color w:val="auto"/>
                <w:w w:val="99"/>
              </w:rPr>
              <w:t>YTD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1Q17</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Jun 16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Jun 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17 / Jun 16</w:t>
            </w:r>
          </w:p>
        </w:tc>
        <w:tc>
          <w:tcPr>
            <w:tcW w:w="180" w:type="dxa"/>
            <w:vAlign w:val="bottom"/>
            <w:tcBorders>
              <w:bottom w:val="single" w:sz="8" w:color="CCEEFF"/>
            </w:tcBorders>
          </w:tcPr>
          <w:p>
            <w:pPr>
              <w:spacing w:after="0"/>
              <w:rPr>
                <w:sz w:val="20"/>
                <w:szCs w:val="20"/>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328.4%</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136,358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131,919</w:t>
            </w:r>
          </w:p>
        </w:tc>
        <w:tc>
          <w:tcPr>
            <w:tcW w:w="760" w:type="dxa"/>
            <w:vAlign w:val="bottom"/>
          </w:tcPr>
          <w:p>
            <w:pPr>
              <w:jc w:val="right"/>
              <w:spacing w:after="0"/>
              <w:rPr>
                <w:sz w:val="20"/>
                <w:szCs w:val="20"/>
                <w:color w:val="auto"/>
              </w:rPr>
            </w:pPr>
            <w:r>
              <w:rPr>
                <w:rFonts w:ascii="Arial" w:cs="Arial" w:eastAsia="Arial" w:hAnsi="Arial"/>
                <w:sz w:val="18"/>
                <w:szCs w:val="18"/>
                <w:color w:val="auto"/>
              </w:rPr>
              <w:t>142,444</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258,785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274,364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94,628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173,732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187,371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w w:val="93"/>
              </w:rPr>
              <w:t>Net gain on foreign exchange transactions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5,568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8,778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10,948</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24.7%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96.6%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19,726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103.6%</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gain on sales of securities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24,843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30,796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24,818</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Derivative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9,384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803</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-89.9%</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-99.1%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Result from exposure to the exchange rate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-126.8%</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-189.4%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2,153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10,102</w:t>
            </w:r>
          </w:p>
        </w:tc>
        <w:tc>
          <w:tcPr>
            <w:tcW w:w="76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-88.1%</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-44.3%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11,303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100.1%</w:t>
            </w:r>
          </w:p>
        </w:tc>
      </w:tr>
      <w:tr>
        <w:trPr>
          <w:trHeight w:val="270"/>
        </w:trPr>
        <w:tc>
          <w:tcPr>
            <w:tcW w:w="35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-100,580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-196,895</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-213,822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3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39,892</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24,370</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38,401</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350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55.8%</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-92.6%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-94.6%</w:t>
            </w:r>
          </w:p>
        </w:tc>
      </w:tr>
      <w:tr>
        <w:trPr>
          <w:trHeight w:val="210"/>
        </w:trPr>
        <w:tc>
          <w:tcPr>
            <w:tcW w:w="3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26,367</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26,394</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43,175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340" w:firstLine="8"/>
        <w:spacing w:after="0" w:line="250"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Credicorp Capital Holding Colombia and Credicorp Capital Holding 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(38.32% y 39% respectively) for 2T16.</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Atlantic Security Bank</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64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872.5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890.9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942.1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860" w:type="dxa"/>
            <w:vAlign w:val="bottom"/>
          </w:tcPr>
          <w:p>
            <w:pPr>
              <w:jc w:val="right"/>
              <w:spacing w:after="0"/>
              <w:rPr>
                <w:sz w:val="20"/>
                <w:szCs w:val="20"/>
                <w:color w:val="auto"/>
              </w:rPr>
            </w:pPr>
            <w:r>
              <w:rPr>
                <w:rFonts w:ascii="Arial" w:cs="Arial" w:eastAsia="Arial" w:hAnsi="Arial"/>
                <w:sz w:val="18"/>
                <w:szCs w:val="18"/>
                <w:color w:val="auto"/>
              </w:rPr>
              <w:t>1,685.1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1,676.7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1,790.3</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 *</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US$ 000</w:t>
            </w:r>
          </w:p>
        </w:tc>
        <w:tc>
          <w:tcPr>
            <w:tcW w:w="2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Total interest earning assets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1,885</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154940</wp:posOffset>
            </wp:positionV>
            <wp:extent cx="3361690" cy="1938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169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Portfolio distribution as of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154940</wp:posOffset>
            </wp:positionV>
            <wp:extent cx="3215640" cy="1852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1564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11.7</w:t>
            </w:r>
          </w:p>
        </w:tc>
        <w:tc>
          <w:tcPr>
            <w:tcW w:w="2940" w:type="dxa"/>
            <w:vAlign w:val="bottom"/>
          </w:tcPr>
          <w:p>
            <w:pPr>
              <w:spacing w:after="0"/>
              <w:rPr>
                <w:sz w:val="20"/>
                <w:szCs w:val="20"/>
                <w:color w:val="auto"/>
              </w:rPr>
            </w:pPr>
            <w:r>
              <w:rPr>
                <w:rFonts w:ascii="Arial" w:cs="Arial" w:eastAsia="Arial" w:hAnsi="Arial"/>
                <w:sz w:val="18"/>
                <w:szCs w:val="18"/>
                <w:b w:val="1"/>
                <w:bCs w:val="1"/>
                <w:color w:val="auto"/>
              </w:rPr>
              <w:t>Grupo Pacifico</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GRUPO PACIFICO *</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(S/ in thousands)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2Q16</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1Q17</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2Q17</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YoY</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 16</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 17</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Jun 17 / Jun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w:t>
            </w:r>
          </w:p>
        </w:tc>
        <w:tc>
          <w:tcPr>
            <w:tcW w:w="29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9,940,238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10,522,957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10,731,442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9,940,238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10,731,442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7,221,832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7,729,726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7,832,406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7,221,832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7,832,406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Technical reserves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6,527,028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6,938,146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7,164,208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6,527,028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7,164,208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Net equity</w:t>
            </w:r>
          </w:p>
        </w:tc>
        <w:tc>
          <w:tcPr>
            <w:tcW w:w="2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2,242,417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2,163,338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2,339,600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2,242,417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2,339,600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Quarterly income statement</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Net earned premiums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461,628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469,005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470,708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921,425</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939,713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Net claims</w:t>
            </w:r>
          </w:p>
        </w:tc>
        <w:tc>
          <w:tcPr>
            <w:tcW w:w="2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265,815</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280,964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278,266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529,738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559,230</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29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108,884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126,863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128,331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214,364</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255,194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8,452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12,158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14,683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73.7%</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26,216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26,841</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78,477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49,020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49,428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-37.0%</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151,106</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98,448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Net financial income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108,796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121,184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124,112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208,031</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245,296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95,868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98,238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99,358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199,112</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197,596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5,288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6,806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28.7%</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17,485</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17,813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-76.5%</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-5,419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-637</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w w:val="96"/>
              </w:rPr>
              <w:t>Gain (loss) from Grupo Pacífico and Banmédica agreement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6,022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4,428</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11,996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Income tax</w:t>
            </w:r>
          </w:p>
        </w:tc>
        <w:tc>
          <w:tcPr>
            <w:tcW w:w="2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11,031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7,705</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7,763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23,698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15,468</w:t>
            </w: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84,464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81,144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78,708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-6.8%</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152,821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159,851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9,199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9,217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9,491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16,946</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18,708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75,265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71,927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69,217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-8.0%</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135,875</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141,144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2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2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 bps</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-260 bps</w:t>
            </w: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57.6%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59.9%</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59.1%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-80 bps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150 bps</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59.5%</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Fees + underwriting expenses, net / net earned premiums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 bps</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 bps</w:t>
            </w: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-650 bps</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16.4%</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 bps</w:t>
            </w: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 (4)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14.4%</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13.3%</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9.5%</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-380 bps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-490 bps</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 bps</w:t>
            </w:r>
          </w:p>
        </w:tc>
        <w:tc>
          <w:tcPr>
            <w:tcW w:w="9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4"/>
                <w:szCs w:val="14"/>
                <w:color w:val="auto"/>
              </w:rPr>
              <w:t>Combined ratio of P&amp;C</w:t>
            </w:r>
            <w:r>
              <w:rPr>
                <w:rFonts w:ascii="Arial" w:cs="Arial" w:eastAsia="Arial" w:hAnsi="Arial"/>
                <w:sz w:val="23"/>
                <w:szCs w:val="23"/>
                <w:color w:val="auto"/>
                <w:vertAlign w:val="superscript"/>
              </w:rPr>
              <w:t>(5)</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88.8%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96.5%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97.9%</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140 bps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910 bps</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89.7%</w:t>
            </w: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97.2%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750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 thousands)</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3"/>
          </w:tcPr>
          <w:p>
            <w:pPr>
              <w:ind w:left="540"/>
              <w:spacing w:after="0"/>
              <w:rPr>
                <w:sz w:val="20"/>
                <w:szCs w:val="20"/>
                <w:color w:val="auto"/>
              </w:rPr>
            </w:pPr>
            <w:r>
              <w:rPr>
                <w:rFonts w:ascii="Arial" w:cs="Arial" w:eastAsia="Arial" w:hAnsi="Arial"/>
                <w:sz w:val="14"/>
                <w:szCs w:val="14"/>
                <w:b w:val="1"/>
                <w:bCs w:val="1"/>
                <w:color w:val="auto"/>
              </w:rPr>
              <w:t>YTD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46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2Q16</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1Q17</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2Q17</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QoQ</w:t>
            </w: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YoY</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 16</w:t>
            </w: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Jun 17</w:t>
            </w:r>
          </w:p>
        </w:tc>
        <w:tc>
          <w:tcPr>
            <w:tcW w:w="12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 17 / Jun 16</w:t>
            </w: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214,537</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231,010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226,098</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427,985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457,108</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6.8%</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-183,864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-187,917</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-187,669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-360,185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-375,586</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-9,593</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-10,604</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-10,464</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-21,068</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7.7%</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-5,964</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18,087</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29,335</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25,154</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-14.3%</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39.1%</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41,838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54,489</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30.2%</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-16,707</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-17,307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-17,740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-33,401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-35,047</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4.9%</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-82.8%</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Traslations results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-57.0%</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-6,970</w:t>
            </w:r>
          </w:p>
        </w:tc>
        <w:tc>
          <w:tcPr>
            <w:tcW w:w="1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91.1%</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Medical services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2,114</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9,615</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6,147</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190.9%</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15,763</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101.6%</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11,090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13,953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13,343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20,463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27,296</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33.4%</w:t>
            </w: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13,204</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23,568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19,490</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-17.3%</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47.6%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28,280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43,059</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52.3%</w:t>
            </w:r>
          </w:p>
        </w:tc>
      </w:tr>
      <w:tr>
        <w:trPr>
          <w:trHeight w:val="20"/>
        </w:trPr>
        <w:tc>
          <w:tcPr>
            <w:tcW w:w="3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302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Prima AFP</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Main financial indicators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16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YTD</w:t>
            </w:r>
          </w:p>
        </w:tc>
        <w:tc>
          <w:tcPr>
            <w:tcW w:w="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1Q17</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2Q17</w:t>
            </w: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 16</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 17</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Jun 17 / Jun 16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760,382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950,516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763,745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760,382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245,468</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466,091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227,011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245,468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227,011</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514,914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536,734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514,914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536,734</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Income from commissions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101,314</w:t>
            </w:r>
          </w:p>
        </w:tc>
        <w:tc>
          <w:tcPr>
            <w:tcW w:w="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103,208</w:t>
            </w:r>
          </w:p>
        </w:tc>
        <w:tc>
          <w:tcPr>
            <w:tcW w:w="2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99,346</w:t>
            </w:r>
          </w:p>
        </w:tc>
        <w:tc>
          <w:tcPr>
            <w:tcW w:w="300" w:type="dxa"/>
            <w:vAlign w:val="bottom"/>
            <w:vMerge w:val="continue"/>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202,243</w:t>
            </w:r>
          </w:p>
        </w:tc>
        <w:tc>
          <w:tcPr>
            <w:tcW w:w="2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202,554</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-77,021</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(5,204)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(6,022)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(6,109)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-12,130</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56,797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57,542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55,861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112,345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113,403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1,160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(1,355)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-216.8%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-32,976</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40,140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41,643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38,590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80,448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80,233</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39,846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41,711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38,545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79,615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80,256</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0"/>
        </w:trPr>
        <w:tc>
          <w:tcPr>
            <w:tcW w:w="3580" w:type="dxa"/>
            <w:vAlign w:val="bottom"/>
            <w:gridSpan w:val="3"/>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gridSpan w:val="3"/>
            <w:vMerge w:val="continue"/>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w:t>
            </w: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Funds under management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Mar 17</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Jun 17</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88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Fund 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5,087</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5,255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31,236</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32,543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Fund 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7,372</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7,517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320" w:type="dxa"/>
            <w:vAlign w:val="bottom"/>
          </w:tcPr>
          <w:p>
            <w:pPr>
              <w:spacing w:after="0"/>
              <w:rPr>
                <w:sz w:val="20"/>
                <w:szCs w:val="20"/>
                <w:color w:val="auto"/>
              </w:rPr>
            </w:pPr>
            <w:r>
              <w:rPr>
                <w:rFonts w:ascii="Arial" w:cs="Arial" w:eastAsia="Arial" w:hAnsi="Arial"/>
                <w:sz w:val="18"/>
                <w:szCs w:val="18"/>
                <w:color w:val="auto"/>
              </w:rPr>
              <w:t>Source: SBS.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gridSpan w:val="6"/>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Arial" w:cs="Arial" w:eastAsia="Arial" w:hAnsi="Arial"/>
                <w:sz w:val="18"/>
                <w:szCs w:val="18"/>
                <w:b w:val="1"/>
                <w:bCs w:val="1"/>
                <w:color w:val="auto"/>
              </w:rPr>
              <w:t>Mar 17 / Mar 16</w:t>
            </w:r>
          </w:p>
        </w:tc>
        <w:tc>
          <w:tcPr>
            <w:tcW w:w="15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8"/>
              </w:rPr>
              <w:t>Jun 17 / Jun 16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Fund 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7.9%</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Fund 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9.3%</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32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4000" w:type="dxa"/>
            <w:vAlign w:val="bottom"/>
            <w:gridSpan w:val="15"/>
          </w:tcPr>
          <w:p>
            <w:pPr>
              <w:ind w:left="60"/>
              <w:spacing w:after="0"/>
              <w:rPr>
                <w:sz w:val="20"/>
                <w:szCs w:val="20"/>
                <w:color w:val="auto"/>
              </w:rPr>
            </w:pPr>
            <w:r>
              <w:rPr>
                <w:rFonts w:ascii="Arial" w:cs="Arial" w:eastAsia="Arial" w:hAnsi="Arial"/>
                <w:sz w:val="18"/>
                <w:szCs w:val="18"/>
                <w:color w:val="auto"/>
              </w:rPr>
              <w:t>Applied to the affiliates' monthly remuneration.</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Flow</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0.18%</w:t>
            </w:r>
          </w:p>
        </w:tc>
        <w:tc>
          <w:tcPr>
            <w:tcW w:w="6980" w:type="dxa"/>
            <w:vAlign w:val="bottom"/>
            <w:gridSpan w:val="25"/>
          </w:tcPr>
          <w:p>
            <w:pPr>
              <w:ind w:left="60"/>
              <w:spacing w:after="0"/>
              <w:rPr>
                <w:sz w:val="20"/>
                <w:szCs w:val="20"/>
                <w:color w:val="auto"/>
              </w:rPr>
            </w:pPr>
            <w:r>
              <w:rPr>
                <w:rFonts w:ascii="Arial" w:cs="Arial" w:eastAsia="Arial" w:hAnsi="Arial"/>
                <w:sz w:val="18"/>
                <w:szCs w:val="18"/>
                <w:color w:val="auto"/>
                <w:w w:val="97"/>
              </w:rPr>
              <w:t>Applied to the affiliates' monthly remuneration since June 2017. Feb 17- may 17 =0.87%.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27"/>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Balance</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4800" w:type="dxa"/>
            <w:vAlign w:val="bottom"/>
            <w:gridSpan w:val="18"/>
          </w:tcPr>
          <w:p>
            <w:pPr>
              <w:ind w:left="6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Prima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ind w:left="40"/>
              <w:spacing w:after="0"/>
              <w:rPr>
                <w:sz w:val="20"/>
                <w:szCs w:val="20"/>
                <w:color w:val="auto"/>
              </w:rPr>
            </w:pPr>
            <w:r>
              <w:rPr>
                <w:rFonts w:ascii="Arial" w:cs="Arial" w:eastAsia="Arial" w:hAnsi="Arial"/>
                <w:sz w:val="18"/>
                <w:szCs w:val="18"/>
                <w:b w:val="1"/>
                <w:bCs w:val="1"/>
                <w:color w:val="auto"/>
              </w:rPr>
              <w:t>System</w:t>
            </w:r>
          </w:p>
        </w:tc>
        <w:tc>
          <w:tcPr>
            <w:tcW w:w="80" w:type="dxa"/>
            <w:vAlign w:val="bottom"/>
          </w:tcPr>
          <w:p>
            <w:pPr>
              <w:spacing w:after="0"/>
              <w:rPr>
                <w:sz w:val="24"/>
                <w:szCs w:val="24"/>
                <w:color w:val="auto"/>
              </w:rPr>
            </w:pPr>
          </w:p>
        </w:tc>
        <w:tc>
          <w:tcPr>
            <w:tcW w:w="14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 share</w:t>
            </w:r>
          </w:p>
        </w:tc>
        <w:tc>
          <w:tcPr>
            <w:tcW w:w="80" w:type="dxa"/>
            <w:vAlign w:val="bottom"/>
          </w:tcPr>
          <w:p>
            <w:pPr>
              <w:spacing w:after="0"/>
              <w:rPr>
                <w:sz w:val="24"/>
                <w:szCs w:val="24"/>
                <w:color w:val="auto"/>
              </w:rPr>
            </w:pPr>
          </w:p>
        </w:tc>
        <w:tc>
          <w:tcPr>
            <w:tcW w:w="14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Prima</w:t>
            </w:r>
          </w:p>
        </w:tc>
        <w:tc>
          <w:tcPr>
            <w:tcW w:w="1460" w:type="dxa"/>
            <w:vAlign w:val="bottom"/>
            <w:gridSpan w:val="4"/>
          </w:tcPr>
          <w:p>
            <w:pPr>
              <w:ind w:left="340"/>
              <w:spacing w:after="0"/>
              <w:rPr>
                <w:sz w:val="20"/>
                <w:szCs w:val="20"/>
                <w:color w:val="auto"/>
              </w:rPr>
            </w:pPr>
            <w:r>
              <w:rPr>
                <w:rFonts w:ascii="Arial" w:cs="Arial" w:eastAsia="Arial" w:hAnsi="Arial"/>
                <w:sz w:val="18"/>
                <w:szCs w:val="18"/>
                <w:b w:val="1"/>
                <w:bCs w:val="1"/>
                <w:color w:val="auto"/>
              </w:rPr>
              <w:t>System</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Main indicators and market share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1Q17</w:t>
            </w:r>
          </w:p>
        </w:tc>
        <w:tc>
          <w:tcPr>
            <w:tcW w:w="14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2Q17</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6,357,025</w:t>
            </w: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1,499,027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6,429,700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7"/>
        </w:trPr>
        <w:tc>
          <w:tcPr>
            <w:tcW w:w="232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6"/>
          </w:tcPr>
          <w:p>
            <w:pPr>
              <w:jc w:val="right"/>
              <w:ind w:right="60"/>
              <w:spacing w:after="0"/>
              <w:rPr>
                <w:sz w:val="20"/>
                <w:szCs w:val="20"/>
                <w:color w:val="auto"/>
              </w:rPr>
            </w:pPr>
            <w:r>
              <w:rPr>
                <w:rFonts w:ascii="Arial" w:cs="Arial" w:eastAsia="Arial" w:hAnsi="Arial"/>
                <w:sz w:val="18"/>
                <w:szCs w:val="18"/>
                <w:color w:val="auto"/>
              </w:rPr>
              <w:t>96,856</w:t>
            </w:r>
          </w:p>
        </w:tc>
        <w:tc>
          <w:tcPr>
            <w:tcW w:w="80" w:type="dxa"/>
            <w:vAlign w:val="bottom"/>
          </w:tcPr>
          <w:p>
            <w:pPr>
              <w:spacing w:after="0"/>
              <w:rPr>
                <w:sz w:val="22"/>
                <w:szCs w:val="22"/>
                <w:color w:val="auto"/>
              </w:rPr>
            </w:pPr>
          </w:p>
        </w:tc>
        <w:tc>
          <w:tcPr>
            <w:tcW w:w="1500" w:type="dxa"/>
            <w:vAlign w:val="bottom"/>
            <w:gridSpan w:val="6"/>
          </w:tcPr>
          <w:p>
            <w:pPr>
              <w:jc w:val="right"/>
              <w:ind w:right="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24,450</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76,297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Funds under management (S/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44,034</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139,196</w:t>
            </w:r>
          </w:p>
        </w:tc>
        <w:tc>
          <w:tcPr>
            <w:tcW w:w="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5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45,737</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144,417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Collections (S/ Millions)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737</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2,394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6"/>
          </w:tcPr>
          <w:p>
            <w:pPr>
              <w:jc w:val="right"/>
              <w:ind w:right="4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750</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2,459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Voluntary contributions (S/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32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Millions)</w:t>
            </w:r>
            <w:r>
              <w:rPr>
                <w:rFonts w:ascii="Arial" w:cs="Arial" w:eastAsia="Arial" w:hAnsi="Arial"/>
                <w:sz w:val="30"/>
                <w:szCs w:val="30"/>
                <w:color w:val="auto"/>
                <w:vertAlign w:val="superscript"/>
              </w:rPr>
              <w:t>(1)</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14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80" w:type="dxa"/>
            <w:vAlign w:val="bottom"/>
            <w:tcBorders>
              <w:right w:val="single" w:sz="8" w:color="CCEEFF"/>
            </w:tcBorders>
            <w:shd w:val="clear" w:color="auto" w:fill="CCEEFF"/>
          </w:tcPr>
          <w:p>
            <w:pPr>
              <w:spacing w:after="0"/>
              <w:rPr>
                <w:sz w:val="23"/>
                <w:szCs w:val="23"/>
                <w:color w:val="auto"/>
              </w:rPr>
            </w:pPr>
          </w:p>
        </w:tc>
        <w:tc>
          <w:tcPr>
            <w:tcW w:w="15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0"/>
        </w:trPr>
        <w:tc>
          <w:tcPr>
            <w:tcW w:w="2320" w:type="dxa"/>
            <w:vAlign w:val="bottom"/>
          </w:tcPr>
          <w:p>
            <w:pPr>
              <w:spacing w:after="0" w:line="269"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7,096</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5"/>
          </w:tcPr>
          <w:p>
            <w:pPr>
              <w:jc w:val="right"/>
              <w:ind w:right="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2,196</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7,071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April and May AFP Habitat had exclusivity of affiliation. From June Prima AFP it has exclusivity for being a winner of bidding.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8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11.9 Table of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on loans (NIM on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internal overdue loans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non - performing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 / Net Earned Premium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4680"/>
        <w:spacing w:after="0"/>
        <w:rPr>
          <w:sz w:val="20"/>
          <w:szCs w:val="20"/>
          <w:color w:val="auto"/>
        </w:rPr>
      </w:pPr>
      <w:r>
        <w:rPr>
          <w:rFonts w:ascii="Arial" w:cs="Arial" w:eastAsia="Arial" w:hAnsi="Arial"/>
          <w:sz w:val="17"/>
          <w:szCs w:val="17"/>
          <w:b w:val="1"/>
          <w:bCs w:val="1"/>
          <w:color w:val="auto"/>
        </w:rPr>
        <w:t xml:space="preserve">Table of calculations </w:t>
      </w:r>
      <w:r>
        <w:rPr>
          <w:rFonts w:ascii="Arial" w:cs="Arial" w:eastAsia="Arial" w:hAnsi="Arial"/>
          <w:sz w:val="28"/>
          <w:szCs w:val="28"/>
          <w:b w:val="1"/>
          <w:bCs w:val="1"/>
          <w:color w:val="auto"/>
          <w:vertAlign w:val="superscript"/>
        </w:rPr>
        <w:t>(1)</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 Average Interest Earning Assets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Annualized (Interest on loans − (Interest expense * (Average total loans / Average Interest earning assets)) / 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net equity</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Gross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 − performing loans / Gross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for loan losses / Gross loans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claims / Net earned premiums) + (Acquisition cost + operating expenses / Net earned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Life insurance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(Net interest income + Fee income + Result on exchange difference + Net gain on Derivatives + Net gain on foreign exchange transactions + Net gain from associates + Net premium earned)</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Average total assets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 – 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/Risk – weighted assets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Capital + Reserves – 100% of applicable deductions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Retained Earnings + Unrealized gains or losses</w:t>
      </w:r>
    </w:p>
    <w:p>
      <w:pPr>
        <w:spacing w:after="0" w:line="200" w:lineRule="exact"/>
        <w:rPr>
          <w:sz w:val="20"/>
          <w:szCs w:val="20"/>
          <w:color w:val="auto"/>
        </w:rPr>
      </w:pPr>
    </w:p>
    <w:p>
      <w:pPr>
        <w:sectPr>
          <w:pgSz w:w="11900" w:h="16838" w:orient="portrait"/>
          <w:cols w:equalWidth="0" w:num="2">
            <w:col w:w="3980" w:space="720"/>
            <w:col w:w="6720"/>
          </w:cols>
          <w:pgMar w:left="240" w:top="904" w:right="239" w:bottom="1440" w:gutter="0" w:footer="0" w:header="0"/>
        </w:sectPr>
      </w:pPr>
    </w:p>
    <w:p>
      <w:pPr>
        <w:spacing w:after="0" w:line="2" w:lineRule="exact"/>
        <w:rPr>
          <w:sz w:val="20"/>
          <w:szCs w:val="20"/>
          <w:color w:val="auto"/>
        </w:rPr>
      </w:pPr>
    </w:p>
    <w:p>
      <w:pPr>
        <w:ind w:left="400" w:hanging="264"/>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400" w:hanging="264"/>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lowerRoman"/>
      <w:start w:val="1"/>
    </w:lvl>
  </w:abstractNum>
  <w:abstractNum w:abstractNumId="6">
    <w:nsid w:val="153EA438"/>
    <w:multiLevelType w:val="hybridMultilevel"/>
    <w:lvl w:ilvl="0">
      <w:lvlJc w:val="left"/>
      <w:lvlText w:val="(%1)"/>
      <w:numFmt w:val="lowerRoman"/>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1)"/>
      <w:numFmt w:val="lowerRoman"/>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2"/>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2"/>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bullet"/>
      <w:start w:val="1"/>
    </w:lvl>
  </w:abstractNum>
  <w:abstractNum w:abstractNumId="17">
    <w:nsid w:val="542289EC"/>
    <w:multiLevelType w:val="hybridMultilevel"/>
    <w:lvl w:ilvl="0">
      <w:lvlJc w:val="left"/>
      <w:lvlText w:val="(%1)"/>
      <w:numFmt w:val="lowerRoman"/>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2"/>
      <w:numFmt w:val="bullet"/>
      <w:start w:val="1"/>
    </w:lvl>
  </w:abstractNum>
  <w:abstractNum w:abstractNumId="20">
    <w:nsid w:val="7644A45C"/>
    <w:multiLevelType w:val="hybridMultilevel"/>
    <w:lvl w:ilvl="0">
      <w:lvlJc w:val="left"/>
      <w:lvlText w:val="%1."/>
      <w:numFmt w:val="decimal"/>
      <w:start w:val="3"/>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lowerRoman"/>
      <w:start w:val="1"/>
    </w:lvl>
  </w:abstractNum>
  <w:abstractNum w:abstractNumId="23">
    <w:nsid w:val="579478FE"/>
    <w:multiLevelType w:val="hybridMultilevel"/>
    <w:lvl w:ilvl="0">
      <w:lvlJc w:val="left"/>
      <w:lvlText w:val="3"/>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lowerRoman"/>
      <w:start w:val="1"/>
    </w:lvl>
  </w:abstractNum>
  <w:abstractNum w:abstractNumId="26">
    <w:nsid w:val="1BA026FA"/>
    <w:multiLevelType w:val="hybridMultilevel"/>
    <w:lvl w:ilvl="0">
      <w:lvlJc w:val="left"/>
      <w:lvlText w:val="(%1)"/>
      <w:numFmt w:val="lowerRoman"/>
      <w:start w:val="1"/>
    </w:lvl>
  </w:abstractNum>
  <w:abstractNum w:abstractNumId="27">
    <w:nsid w:val="79A1DEAA"/>
    <w:multiLevelType w:val="hybridMultilevel"/>
    <w:lvl w:ilvl="0">
      <w:lvlJc w:val="left"/>
      <w:lvlText w:val="(%1)"/>
      <w:numFmt w:val="lowerRoman"/>
      <w:start w:val="2"/>
    </w:lvl>
  </w:abstractNum>
  <w:abstractNum w:abstractNumId="28">
    <w:nsid w:val="75C6C33A"/>
    <w:multiLevelType w:val="hybridMultilevel"/>
    <w:lvl w:ilvl="0">
      <w:lvlJc w:val="left"/>
      <w:lvlText w:val="(%1)"/>
      <w:numFmt w:val="lowerRoman"/>
      <w:start w:val="3"/>
    </w:lvl>
  </w:abstractNum>
  <w:abstractNum w:abstractNumId="29">
    <w:nsid w:val="12E685FB"/>
    <w:multiLevelType w:val="hybridMultilevel"/>
    <w:lvl w:ilvl="0">
      <w:lvlJc w:val="left"/>
      <w:lvlText w:val="(%1)"/>
      <w:numFmt w:val="lowerRoman"/>
      <w:start w:val="4"/>
    </w:lvl>
  </w:abstractNum>
  <w:abstractNum w:abstractNumId="30">
    <w:nsid w:val="70C6A529"/>
    <w:multiLevelType w:val="hybridMultilevel"/>
    <w:lvl w:ilvl="0">
      <w:lvlJc w:val="left"/>
      <w:lvlText w:val="%1"/>
      <w:numFmt w:val="lowerRoman"/>
      <w:start w:val="1"/>
    </w:lvl>
    <w:lvl w:ilvl="1">
      <w:lvlJc w:val="left"/>
      <w:lvlText w:val="(%2)"/>
      <w:numFmt w:val="decimal"/>
      <w:start w:val="1"/>
    </w:lvl>
  </w:abstractNum>
  <w:abstractNum w:abstractNumId="31">
    <w:nsid w:val="520EEDD1"/>
    <w:multiLevelType w:val="hybridMultilevel"/>
    <w:lvl w:ilvl="0">
      <w:lvlJc w:val="left"/>
      <w:lvlText w:val="(%1)"/>
      <w:numFmt w:val="lowerRoman"/>
      <w:start w:val="5"/>
    </w:lvl>
    <w:lvl w:ilvl="1">
      <w:lvlJc w:val="left"/>
      <w:lvlText w:val="%2"/>
      <w:numFmt w:val="decimal"/>
      <w:start w:val="1"/>
    </w:lvl>
  </w:abstractNum>
  <w:abstractNum w:abstractNumId="32">
    <w:nsid w:val="374A3FE6"/>
    <w:multiLevelType w:val="hybridMultilevel"/>
    <w:lvl w:ilvl="0">
      <w:lvlJc w:val="left"/>
      <w:lvlText w:val="%1"/>
      <w:numFmt w:val="lowerRoman"/>
      <w:start w:val="1"/>
    </w:lvl>
    <w:lvl w:ilvl="1">
      <w:lvlJc w:val="left"/>
      <w:lvlText w:val="(%2)"/>
      <w:numFmt w:val="decimal"/>
      <w:start w:val="1"/>
    </w:lvl>
  </w:abstractNum>
  <w:abstractNum w:abstractNumId="33">
    <w:nsid w:val="4F4EF005"/>
    <w:multiLevelType w:val="hybridMultilevel"/>
    <w:lvl w:ilvl="0">
      <w:lvlJc w:val="left"/>
      <w:lvlText w:val="(%1)"/>
      <w:numFmt w:val="lowerRoman"/>
      <w:start w:val="6"/>
    </w:lvl>
    <w:lvl w:ilvl="1">
      <w:lvlJc w:val="left"/>
      <w:lvlText w:val="%2"/>
      <w:numFmt w:val="decimal"/>
      <w:start w:val="1"/>
    </w:lvl>
  </w:abstractNum>
  <w:abstractNum w:abstractNumId="34">
    <w:nsid w:val="23F9C13C"/>
    <w:multiLevelType w:val="hybridMultilevel"/>
    <w:lvl w:ilvl="0">
      <w:lvlJc w:val="left"/>
      <w:lvlText w:val="(%1)"/>
      <w:numFmt w:val="lowerRoman"/>
      <w:start w:val="7"/>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lowerRoman"/>
      <w:start w:val="8"/>
    </w:lvl>
  </w:abstractNum>
  <w:abstractNum w:abstractNumId="37">
    <w:nsid w:val="39386575"/>
    <w:multiLevelType w:val="hybridMultilevel"/>
    <w:lvl w:ilvl="0">
      <w:lvlJc w:val="left"/>
      <w:lvlText w:val="%1."/>
      <w:numFmt w:val="decimal"/>
      <w:start w:val="4"/>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lowerRoman"/>
      <w:start w:val="1"/>
    </w:lvl>
  </w:abstractNum>
  <w:abstractNum w:abstractNumId="40">
    <w:nsid w:val="235BA861"/>
    <w:multiLevelType w:val="hybridMultilevel"/>
    <w:lvl w:ilvl="0">
      <w:lvlJc w:val="left"/>
      <w:lvlText w:val="(%1)"/>
      <w:numFmt w:val="lowerRoman"/>
      <w:start w:val="2"/>
    </w:lvl>
  </w:abstractNum>
  <w:abstractNum w:abstractNumId="41">
    <w:nsid w:val="47398C89"/>
    <w:multiLevelType w:val="hybridMultilevel"/>
    <w:lvl w:ilvl="0">
      <w:lvlJc w:val="left"/>
      <w:lvlText w:val="4"/>
      <w:numFmt w:val="bullet"/>
      <w:start w:val="1"/>
    </w:lvl>
  </w:abstractNum>
  <w:abstractNum w:abstractNumId="42">
    <w:nsid w:val="354FE9F9"/>
    <w:multiLevelType w:val="hybridMultilevel"/>
    <w:lvl w:ilvl="0">
      <w:lvlJc w:val="left"/>
      <w:lvlText w:val="%1."/>
      <w:numFmt w:val="decimal"/>
      <w:start w:val="5"/>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lowerRoman"/>
      <w:start w:val="1"/>
    </w:lvl>
  </w:abstractNum>
  <w:abstractNum w:abstractNumId="45">
    <w:nsid w:val="D34B6A8"/>
    <w:multiLevelType w:val="hybridMultilevel"/>
    <w:lvl w:ilvl="0">
      <w:lvlJc w:val="left"/>
      <w:lvlText w:val="(%1)"/>
      <w:numFmt w:val="lowerRoman"/>
      <w:start w:val="1"/>
    </w:lvl>
  </w:abstractNum>
  <w:abstractNum w:abstractNumId="46">
    <w:nsid w:val="10233C99"/>
    <w:multiLevelType w:val="hybridMultilevel"/>
    <w:lvl w:ilvl="0">
      <w:lvlJc w:val="left"/>
      <w:lvlText w:val="(%1)"/>
      <w:numFmt w:val="lowerRoman"/>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lowerRoman"/>
      <w:start w:val="1"/>
    </w:lvl>
  </w:abstractNum>
  <w:abstractNum w:abstractNumId="50">
    <w:nsid w:val="77AE35EB"/>
    <w:multiLevelType w:val="hybridMultilevel"/>
    <w:lvl w:ilvl="0">
      <w:lvlJc w:val="left"/>
      <w:lvlText w:val="%1."/>
      <w:numFmt w:val="decimal"/>
      <w:start w:val="6"/>
    </w:lvl>
  </w:abstractNum>
  <w:abstractNum w:abstractNumId="51">
    <w:nsid w:val="579BE4F1"/>
    <w:multiLevelType w:val="hybridMultilevel"/>
    <w:lvl w:ilvl="0">
      <w:lvlJc w:val="left"/>
      <w:lvlText w:val="5"/>
      <w:numFmt w:val="bullet"/>
      <w:start w:val="1"/>
    </w:lvl>
  </w:abstractNum>
  <w:abstractNum w:abstractNumId="52">
    <w:nsid w:val="310C50B3"/>
    <w:multiLevelType w:val="hybridMultilevel"/>
    <w:lvl w:ilvl="0">
      <w:lvlJc w:val="left"/>
      <w:lvlText w:val="%1."/>
      <w:numFmt w:val="decimal"/>
      <w:start w:val="7"/>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lowerRoman"/>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9"/>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lowerRoman"/>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lowerRoman"/>
      <w:start w:val="1"/>
    </w:lvl>
    <w:lvl w:ilvl="1">
      <w:lvlJc w:val="left"/>
      <w:lvlText w:val="§"/>
      <w:numFmt w:val="bullet"/>
      <w:start w:val="1"/>
    </w:lvl>
  </w:abstractNum>
  <w:abstractNum w:abstractNumId="64">
    <w:nsid w:val="5F5E7FD0"/>
    <w:multiLevelType w:val="hybridMultilevel"/>
    <w:lvl w:ilvl="0">
      <w:lvlJc w:val="left"/>
      <w:lvlText w:val="%1."/>
      <w:numFmt w:val="decimal"/>
      <w:start w:val="1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lowerRoman"/>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2019-12-06T03:18:56Z</dcterms:created>
  <dcterms:modified xsi:type="dcterms:W3CDTF">2019-12-06T03:18:56Z</dcterms:modified>
</cp:coreProperties>
</file>